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outlineLvl w:val="0"/>
      </w:pPr>
      <w:bookmarkStart w:id="0" w:name="_GoBack"/>
      <w:bookmarkEnd w:id="0"/>
      <w:r>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_Toc125705883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_Toc125705884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_Toc125705885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w:t>
      </w:r>
    </w:p>
    <w:p>
      <w:pPr>
        <w:pStyle w:val="TOC8"/>
        <w:rPr>
          <w:rFonts w:asciiTheme="minorHAnsi" w:eastAsiaTheme="minorEastAsia" w:hAnsiTheme="minorHAnsi" w:cstheme="minorBidi"/>
          <w:szCs w:val="22"/>
        </w:rPr>
      </w:pPr>
      <w:r>
        <w:t>4.</w:t>
      </w:r>
      <w:r>
        <w:tab/>
        <w:t>Threshold contract value for construction contracts required to be in writing and contain mandatory information</w:t>
      </w:r>
      <w:r>
        <w:tab/>
      </w:r>
      <w:r>
        <w:fldChar w:fldCharType="begin"/>
      </w:r>
      <w:r>
        <w:instrText xml:space="preserve"> PAGEREF _Toc125705887 \h </w:instrText>
      </w:r>
      <w:r>
        <w:fldChar w:fldCharType="separate"/>
      </w:r>
      <w:r>
        <w:t>2</w:t>
      </w:r>
      <w:r>
        <w:fldChar w:fldCharType="end"/>
      </w:r>
    </w:p>
    <w:p>
      <w:pPr>
        <w:pStyle w:val="TOC8"/>
        <w:rPr>
          <w:rFonts w:asciiTheme="minorHAnsi" w:eastAsiaTheme="minorEastAsia" w:hAnsiTheme="minorHAnsi" w:cstheme="minorBidi"/>
          <w:szCs w:val="22"/>
        </w:rPr>
      </w:pPr>
      <w:r>
        <w:t>5.</w:t>
      </w:r>
      <w:r>
        <w:tab/>
        <w:t>Other prohibited terms of construction contracts (s. 15)</w:t>
      </w:r>
      <w:r>
        <w:tab/>
      </w:r>
      <w:r>
        <w:fldChar w:fldCharType="begin"/>
      </w:r>
      <w:r>
        <w:instrText xml:space="preserve"> PAGEREF _Toc125705888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8"/>
        <w:rPr>
          <w:rFonts w:asciiTheme="minorHAnsi" w:eastAsiaTheme="minorEastAsia" w:hAnsiTheme="minorHAnsi" w:cstheme="minorBidi"/>
          <w:szCs w:val="22"/>
        </w:rPr>
      </w:pPr>
      <w:r>
        <w:t>6.</w:t>
      </w:r>
      <w:r>
        <w:tab/>
        <w:t>Form of homeowner’s notice to be included in payment claim</w:t>
      </w:r>
      <w:r>
        <w:tab/>
      </w:r>
      <w:r>
        <w:fldChar w:fldCharType="begin"/>
      </w:r>
      <w:r>
        <w:instrText xml:space="preserve"> PAGEREF _Toc125705890 \h </w:instrText>
      </w:r>
      <w:r>
        <w:fldChar w:fldCharType="separate"/>
      </w:r>
      <w:r>
        <w:t>3</w:t>
      </w:r>
      <w:r>
        <w:fldChar w:fldCharType="end"/>
      </w:r>
    </w:p>
    <w:p>
      <w:pPr>
        <w:pStyle w:val="TOC8"/>
        <w:rPr>
          <w:rFonts w:asciiTheme="minorHAnsi" w:eastAsiaTheme="minorEastAsia" w:hAnsiTheme="minorHAnsi" w:cstheme="minorBidi"/>
          <w:szCs w:val="22"/>
        </w:rPr>
      </w:pPr>
      <w:r>
        <w:t>7.</w:t>
      </w:r>
      <w:r>
        <w:tab/>
        <w:t>Additional kinds of conflicts of interests of adjudicators</w:t>
      </w:r>
      <w:r>
        <w:tab/>
      </w:r>
      <w:r>
        <w:fldChar w:fldCharType="begin"/>
      </w:r>
      <w:r>
        <w:instrText xml:space="preserve"> PAGEREF _Toc125705891 \h </w:instrText>
      </w:r>
      <w:r>
        <w:fldChar w:fldCharType="separate"/>
      </w:r>
      <w:r>
        <w:t>3</w:t>
      </w:r>
      <w:r>
        <w:fldChar w:fldCharType="end"/>
      </w:r>
    </w:p>
    <w:p>
      <w:pPr>
        <w:pStyle w:val="TOC8"/>
        <w:rPr>
          <w:rFonts w:asciiTheme="minorHAnsi" w:eastAsiaTheme="minorEastAsia" w:hAnsiTheme="minorHAnsi" w:cstheme="minorBidi"/>
          <w:szCs w:val="22"/>
        </w:rPr>
      </w:pPr>
      <w:r>
        <w:t>8.</w:t>
      </w:r>
      <w:r>
        <w:tab/>
        <w:t>Threshold for review of adjudication</w:t>
      </w:r>
      <w:r>
        <w:tab/>
      </w:r>
      <w:r>
        <w:fldChar w:fldCharType="begin"/>
      </w:r>
      <w:r>
        <w:instrText xml:space="preserve"> PAGEREF _Toc125705892 \h </w:instrText>
      </w:r>
      <w:r>
        <w:fldChar w:fldCharType="separate"/>
      </w:r>
      <w:r>
        <w:t>4</w:t>
      </w:r>
      <w:r>
        <w:fldChar w:fldCharType="end"/>
      </w:r>
    </w:p>
    <w:p>
      <w:pPr>
        <w:pStyle w:val="TOC8"/>
        <w:rPr>
          <w:rFonts w:asciiTheme="minorHAnsi" w:eastAsiaTheme="minorEastAsia" w:hAnsiTheme="minorHAnsi" w:cstheme="minorBidi"/>
          <w:szCs w:val="22"/>
        </w:rPr>
      </w:pPr>
      <w:r>
        <w:t>9.</w:t>
      </w:r>
      <w:r>
        <w:tab/>
        <w:t>Maximum adjudication fees and expenses of adjudicators</w:t>
      </w:r>
      <w:r>
        <w:tab/>
      </w:r>
      <w:r>
        <w:fldChar w:fldCharType="begin"/>
      </w:r>
      <w:r>
        <w:instrText xml:space="preserve"> PAGEREF _Toc125705893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Retention money trusts</w:t>
      </w:r>
    </w:p>
    <w:p>
      <w:pPr>
        <w:pStyle w:val="TOC8"/>
        <w:rPr>
          <w:rFonts w:asciiTheme="minorHAnsi" w:eastAsiaTheme="minorEastAsia" w:hAnsiTheme="minorHAnsi" w:cstheme="minorBidi"/>
          <w:szCs w:val="22"/>
        </w:rPr>
      </w:pPr>
      <w:r>
        <w:t>11.</w:t>
      </w:r>
      <w:r>
        <w:tab/>
        <w:t>Prescribed retention money threshold for trust scheme</w:t>
      </w:r>
      <w:r>
        <w:tab/>
      </w:r>
      <w:r>
        <w:fldChar w:fldCharType="begin"/>
      </w:r>
      <w:r>
        <w:instrText xml:space="preserve"> PAGEREF _Toc125705895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Exclusion of small</w:t>
      </w:r>
      <w:r>
        <w:noBreakHyphen/>
        <w:t>scale residential contracts from retention money trust scheme</w:t>
      </w:r>
      <w:r>
        <w:tab/>
      </w:r>
      <w:r>
        <w:fldChar w:fldCharType="begin"/>
      </w:r>
      <w:r>
        <w:instrText xml:space="preserve"> PAGEREF _Toc125705896 \h </w:instrText>
      </w:r>
      <w:r>
        <w:fldChar w:fldCharType="separate"/>
      </w:r>
      <w:r>
        <w:t>6</w:t>
      </w:r>
      <w:r>
        <w:fldChar w:fldCharType="end"/>
      </w:r>
    </w:p>
    <w:p>
      <w:pPr>
        <w:pStyle w:val="TOC8"/>
        <w:rPr>
          <w:rFonts w:asciiTheme="minorHAnsi" w:eastAsiaTheme="minorEastAsia" w:hAnsiTheme="minorHAnsi" w:cstheme="minorBidi"/>
          <w:szCs w:val="22"/>
        </w:rPr>
      </w:pPr>
      <w:r>
        <w:t>13.</w:t>
      </w:r>
      <w:r>
        <w:tab/>
        <w:t>Withdrawal from retention money trust account of interest earned before release</w:t>
      </w:r>
      <w:r>
        <w:tab/>
      </w:r>
      <w:r>
        <w:fldChar w:fldCharType="begin"/>
      </w:r>
      <w:r>
        <w:instrText xml:space="preserve"> PAGEREF _Toc125705897 \h </w:instrText>
      </w:r>
      <w:r>
        <w:fldChar w:fldCharType="separate"/>
      </w:r>
      <w:r>
        <w:t>7</w:t>
      </w:r>
      <w:r>
        <w:fldChar w:fldCharType="end"/>
      </w:r>
    </w:p>
    <w:p>
      <w:pPr>
        <w:pStyle w:val="TOC8"/>
        <w:rPr>
          <w:rFonts w:asciiTheme="minorHAnsi" w:eastAsiaTheme="minorEastAsia" w:hAnsiTheme="minorHAnsi" w:cstheme="minorBidi"/>
          <w:szCs w:val="22"/>
        </w:rPr>
      </w:pPr>
      <w:r>
        <w:t>14.</w:t>
      </w:r>
      <w:r>
        <w:tab/>
        <w:t>Redaction of information relating to identity of other beneficiaries from trust accounts when inspected or copied (s. 79(4))</w:t>
      </w:r>
      <w:r>
        <w:tab/>
      </w:r>
      <w:r>
        <w:fldChar w:fldCharType="begin"/>
      </w:r>
      <w:r>
        <w:instrText xml:space="preserve"> PAGEREF _Toc125705898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8"/>
        <w:rPr>
          <w:rFonts w:asciiTheme="minorHAnsi" w:eastAsiaTheme="minorEastAsia" w:hAnsiTheme="minorHAnsi" w:cstheme="minorBidi"/>
          <w:szCs w:val="22"/>
        </w:rPr>
      </w:pPr>
      <w:r>
        <w:t>15.</w:t>
      </w:r>
      <w:r>
        <w:tab/>
        <w:t>Fees prescribed</w:t>
      </w:r>
      <w:r>
        <w:tab/>
      </w:r>
      <w:r>
        <w:fldChar w:fldCharType="begin"/>
      </w:r>
      <w:r>
        <w:instrText xml:space="preserve"> PAGEREF _Toc125705900 \h </w:instrText>
      </w:r>
      <w:r>
        <w:fldChar w:fldCharType="separate"/>
      </w:r>
      <w:r>
        <w:t>9</w:t>
      </w:r>
      <w:r>
        <w:fldChar w:fldCharType="end"/>
      </w:r>
    </w:p>
    <w:p>
      <w:pPr>
        <w:pStyle w:val="TOC8"/>
        <w:rPr>
          <w:rFonts w:asciiTheme="minorHAnsi" w:eastAsiaTheme="minorEastAsia" w:hAnsiTheme="minorHAnsi" w:cstheme="minorBidi"/>
          <w:szCs w:val="22"/>
        </w:rPr>
      </w:pPr>
      <w:r>
        <w:t>16.</w:t>
      </w:r>
      <w:r>
        <w:tab/>
        <w:t>Refund of registration fees</w:t>
      </w:r>
      <w:r>
        <w:tab/>
      </w:r>
      <w:r>
        <w:fldChar w:fldCharType="begin"/>
      </w:r>
      <w:r>
        <w:instrText xml:space="preserve"> PAGEREF _Toc125705901 \h </w:instrText>
      </w:r>
      <w:r>
        <w:fldChar w:fldCharType="separate"/>
      </w:r>
      <w:r>
        <w:t>10</w:t>
      </w:r>
      <w:r>
        <w:fldChar w:fldCharType="end"/>
      </w:r>
    </w:p>
    <w:p>
      <w:pPr>
        <w:pStyle w:val="TOC8"/>
        <w:rPr>
          <w:rFonts w:asciiTheme="minorHAnsi" w:eastAsiaTheme="minorEastAsia" w:hAnsiTheme="minorHAnsi" w:cstheme="minorBidi"/>
          <w:szCs w:val="22"/>
        </w:rPr>
      </w:pPr>
      <w:r>
        <w:t>17.</w:t>
      </w:r>
      <w:r>
        <w:tab/>
        <w:t>Code of practice for authorised nominating authorities (s. 97)</w:t>
      </w:r>
      <w:r>
        <w:tab/>
      </w:r>
      <w:r>
        <w:fldChar w:fldCharType="begin"/>
      </w:r>
      <w:r>
        <w:instrText xml:space="preserve"> PAGEREF _Toc125705902 \h </w:instrText>
      </w:r>
      <w:r>
        <w:fldChar w:fldCharType="separate"/>
      </w:r>
      <w:r>
        <w:t>10</w:t>
      </w:r>
      <w:r>
        <w:fldChar w:fldCharType="end"/>
      </w:r>
    </w:p>
    <w:p>
      <w:pPr>
        <w:pStyle w:val="TOC8"/>
        <w:rPr>
          <w:rFonts w:asciiTheme="minorHAnsi" w:eastAsiaTheme="minorEastAsia" w:hAnsiTheme="minorHAnsi" w:cstheme="minorBidi"/>
          <w:szCs w:val="22"/>
        </w:rPr>
      </w:pPr>
      <w:r>
        <w:t>18.</w:t>
      </w:r>
      <w:r>
        <w:tab/>
        <w:t>Qualifications for registration as adjudicators or review adjudicators (s. 102(1)(a) and (2)(b))</w:t>
      </w:r>
      <w:r>
        <w:tab/>
      </w:r>
      <w:r>
        <w:fldChar w:fldCharType="begin"/>
      </w:r>
      <w:r>
        <w:instrText xml:space="preserve"> PAGEREF _Toc125705903 \h </w:instrText>
      </w:r>
      <w:r>
        <w:fldChar w:fldCharType="separate"/>
      </w:r>
      <w:r>
        <w:t>10</w:t>
      </w:r>
      <w:r>
        <w:fldChar w:fldCharType="end"/>
      </w:r>
    </w:p>
    <w:p>
      <w:pPr>
        <w:pStyle w:val="TOC8"/>
        <w:rPr>
          <w:rFonts w:asciiTheme="minorHAnsi" w:eastAsiaTheme="minorEastAsia" w:hAnsiTheme="minorHAnsi" w:cstheme="minorBidi"/>
          <w:szCs w:val="22"/>
        </w:rPr>
      </w:pPr>
      <w:r>
        <w:t>19.</w:t>
      </w:r>
      <w:r>
        <w:tab/>
        <w:t>Experience for registration as adjudicators or review adjudicators (s. 102(1)(a) and (2)(b))</w:t>
      </w:r>
      <w:r>
        <w:tab/>
      </w:r>
      <w:r>
        <w:fldChar w:fldCharType="begin"/>
      </w:r>
      <w:r>
        <w:instrText xml:space="preserve"> PAGEREF _Toc125705904 \h </w:instrText>
      </w:r>
      <w:r>
        <w:fldChar w:fldCharType="separate"/>
      </w:r>
      <w:r>
        <w:t>12</w:t>
      </w:r>
      <w:r>
        <w:fldChar w:fldCharType="end"/>
      </w:r>
    </w:p>
    <w:p>
      <w:pPr>
        <w:pStyle w:val="TOC8"/>
        <w:rPr>
          <w:rFonts w:asciiTheme="minorHAnsi" w:eastAsiaTheme="minorEastAsia" w:hAnsiTheme="minorHAnsi" w:cstheme="minorBidi"/>
          <w:szCs w:val="22"/>
        </w:rPr>
      </w:pPr>
      <w:r>
        <w:t>20.</w:t>
      </w:r>
      <w:r>
        <w:tab/>
        <w:t>Grading of adjudicators (s. 101(4))</w:t>
      </w:r>
      <w:r>
        <w:tab/>
      </w:r>
      <w:r>
        <w:fldChar w:fldCharType="begin"/>
      </w:r>
      <w:r>
        <w:instrText xml:space="preserve"> PAGEREF _Toc125705905 \h </w:instrText>
      </w:r>
      <w:r>
        <w:fldChar w:fldCharType="separate"/>
      </w:r>
      <w:r>
        <w:t>13</w:t>
      </w:r>
      <w:r>
        <w:fldChar w:fldCharType="end"/>
      </w:r>
    </w:p>
    <w:p>
      <w:pPr>
        <w:pStyle w:val="TOC8"/>
        <w:rPr>
          <w:rFonts w:asciiTheme="minorHAnsi" w:eastAsiaTheme="minorEastAsia" w:hAnsiTheme="minorHAnsi" w:cstheme="minorBidi"/>
          <w:szCs w:val="22"/>
        </w:rPr>
      </w:pPr>
      <w:r>
        <w:t>21.</w:t>
      </w:r>
      <w:r>
        <w:tab/>
        <w:t>Code of practice for adjudicators and review adjudicators (s. 109)</w:t>
      </w:r>
      <w:r>
        <w:tab/>
      </w:r>
      <w:r>
        <w:fldChar w:fldCharType="begin"/>
      </w:r>
      <w:r>
        <w:instrText xml:space="preserve"> PAGEREF _Toc125705906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Electronic lock</w:t>
      </w:r>
      <w:r>
        <w:noBreakHyphen/>
        <w:t>box service of documents on authorised nominating authorities (s. 113(3)(e))</w:t>
      </w:r>
      <w:r>
        <w:tab/>
      </w:r>
      <w:r>
        <w:fldChar w:fldCharType="begin"/>
      </w:r>
      <w:r>
        <w:instrText xml:space="preserve"> PAGEREF _Toc125705908 \h </w:instrText>
      </w:r>
      <w:r>
        <w:fldChar w:fldCharType="separate"/>
      </w:r>
      <w:r>
        <w:t>16</w:t>
      </w:r>
      <w:r>
        <w:fldChar w:fldCharType="end"/>
      </w:r>
    </w:p>
    <w:p>
      <w:pPr>
        <w:pStyle w:val="TOC8"/>
        <w:rPr>
          <w:rFonts w:asciiTheme="minorHAnsi" w:eastAsiaTheme="minorEastAsia" w:hAnsiTheme="minorHAnsi" w:cstheme="minorBidi"/>
          <w:szCs w:val="22"/>
        </w:rPr>
      </w:pPr>
      <w:r>
        <w:t>23.</w:t>
      </w:r>
      <w:r>
        <w:tab/>
        <w:t>Time of service of documents (s. 113(4))</w:t>
      </w:r>
      <w:r>
        <w:tab/>
      </w:r>
      <w:r>
        <w:fldChar w:fldCharType="begin"/>
      </w:r>
      <w:r>
        <w:instrText xml:space="preserve"> PAGEREF _Toc125705909 \h </w:instrText>
      </w:r>
      <w:r>
        <w:fldChar w:fldCharType="separate"/>
      </w:r>
      <w:r>
        <w:t>16</w:t>
      </w:r>
      <w:r>
        <w:fldChar w:fldCharType="end"/>
      </w:r>
    </w:p>
    <w:p>
      <w:pPr>
        <w:pStyle w:val="TOC8"/>
        <w:rPr>
          <w:rFonts w:asciiTheme="minorHAnsi" w:eastAsiaTheme="minorEastAsia" w:hAnsiTheme="minorHAnsi" w:cstheme="minorBidi"/>
          <w:szCs w:val="22"/>
        </w:rPr>
      </w:pPr>
      <w:r>
        <w:t>24.</w:t>
      </w:r>
      <w:r>
        <w:tab/>
        <w:t>Infringement notices: prescribed offences and modified penalties</w:t>
      </w:r>
      <w:r>
        <w:tab/>
      </w:r>
      <w:r>
        <w:fldChar w:fldCharType="begin"/>
      </w:r>
      <w:r>
        <w:instrText xml:space="preserve"> PAGEREF _Toc125705910 \h </w:instrText>
      </w:r>
      <w:r>
        <w:fldChar w:fldCharType="separate"/>
      </w:r>
      <w:r>
        <w:t>17</w:t>
      </w:r>
      <w:r>
        <w:fldChar w:fldCharType="end"/>
      </w:r>
    </w:p>
    <w:p>
      <w:pPr>
        <w:pStyle w:val="TOC8"/>
        <w:rPr>
          <w:rFonts w:asciiTheme="minorHAnsi" w:eastAsiaTheme="minorEastAsia" w:hAnsiTheme="minorHAnsi" w:cstheme="minorBidi"/>
          <w:szCs w:val="22"/>
        </w:rPr>
      </w:pPr>
      <w:r>
        <w:t>25.</w:t>
      </w:r>
      <w:r>
        <w:tab/>
        <w:t>Infringement notices: authorised officers and approved officers</w:t>
      </w:r>
      <w:r>
        <w:tab/>
      </w:r>
      <w:r>
        <w:fldChar w:fldCharType="begin"/>
      </w:r>
      <w:r>
        <w:instrText xml:space="preserve"> PAGEREF _Toc125705911 \h </w:instrText>
      </w:r>
      <w:r>
        <w:fldChar w:fldCharType="separate"/>
      </w:r>
      <w:r>
        <w:t>17</w:t>
      </w:r>
      <w:r>
        <w:fldChar w:fldCharType="end"/>
      </w:r>
    </w:p>
    <w:p>
      <w:pPr>
        <w:pStyle w:val="TOC8"/>
        <w:rPr>
          <w:rFonts w:asciiTheme="minorHAnsi" w:eastAsiaTheme="minorEastAsia" w:hAnsiTheme="minorHAnsi" w:cstheme="minorBidi"/>
          <w:szCs w:val="22"/>
        </w:rPr>
      </w:pPr>
      <w:r>
        <w:t>26.</w:t>
      </w:r>
      <w:r>
        <w:tab/>
        <w:t>Infringement notices: forms</w:t>
      </w:r>
      <w:r>
        <w:tab/>
      </w:r>
      <w:r>
        <w:fldChar w:fldCharType="begin"/>
      </w:r>
      <w:r>
        <w:instrText xml:space="preserve"> PAGEREF _Toc125705912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 of homeowner’s notice</w:t>
      </w:r>
    </w:p>
    <w:p>
      <w:pPr>
        <w:pStyle w:val="TOC2"/>
        <w:tabs>
          <w:tab w:val="right" w:leader="dot" w:pos="7077"/>
        </w:tabs>
        <w:rPr>
          <w:rFonts w:asciiTheme="minorHAnsi" w:eastAsiaTheme="minorEastAsia" w:hAnsiTheme="minorHAnsi" w:cstheme="minorBidi"/>
          <w:b w:val="0"/>
          <w:sz w:val="22"/>
          <w:szCs w:val="22"/>
        </w:rPr>
      </w:pPr>
      <w:r>
        <w:t>Schedule 2 — Code of practice for authorised nominating authorities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_Toc125705916 \h </w:instrText>
      </w:r>
      <w:r>
        <w:fldChar w:fldCharType="separate"/>
      </w:r>
      <w:r>
        <w:t>22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_Toc125705917 \h </w:instrText>
      </w:r>
      <w:r>
        <w:fldChar w:fldCharType="separate"/>
      </w:r>
      <w:r>
        <w:t>22</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_Toc125705918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Standards of business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_Toc125705920 \h </w:instrText>
      </w:r>
      <w:r>
        <w:fldChar w:fldCharType="separate"/>
      </w:r>
      <w:r>
        <w:t>23</w:t>
      </w:r>
      <w:r>
        <w:fldChar w:fldCharType="end"/>
      </w:r>
    </w:p>
    <w:p>
      <w:pPr>
        <w:pStyle w:val="TOC8"/>
        <w:rPr>
          <w:rFonts w:asciiTheme="minorHAnsi" w:eastAsiaTheme="minorEastAsia" w:hAnsiTheme="minorHAnsi" w:cstheme="minorBidi"/>
          <w:szCs w:val="22"/>
        </w:rPr>
      </w:pPr>
      <w:r>
        <w:t>5.</w:t>
      </w:r>
      <w:r>
        <w:tab/>
        <w:t>Duty of care, diligence and skill</w:t>
      </w:r>
      <w:r>
        <w:tab/>
      </w:r>
      <w:r>
        <w:fldChar w:fldCharType="begin"/>
      </w:r>
      <w:r>
        <w:instrText xml:space="preserve"> PAGEREF _Toc125705921 \h </w:instrText>
      </w:r>
      <w:r>
        <w:fldChar w:fldCharType="separate"/>
      </w:r>
      <w:r>
        <w:t>23</w:t>
      </w:r>
      <w:r>
        <w:fldChar w:fldCharType="end"/>
      </w:r>
    </w:p>
    <w:p>
      <w:pPr>
        <w:pStyle w:val="TOC8"/>
        <w:rPr>
          <w:rFonts w:asciiTheme="minorHAnsi" w:eastAsiaTheme="minorEastAsia" w:hAnsiTheme="minorHAnsi" w:cstheme="minorBidi"/>
          <w:szCs w:val="22"/>
        </w:rPr>
      </w:pPr>
      <w:r>
        <w:t>6.</w:t>
      </w:r>
      <w:r>
        <w:tab/>
        <w:t>Duty to act honestly, fairly and professionally</w:t>
      </w:r>
      <w:r>
        <w:tab/>
      </w:r>
      <w:r>
        <w:fldChar w:fldCharType="begin"/>
      </w:r>
      <w:r>
        <w:instrText xml:space="preserve"> PAGEREF _Toc125705922 \h </w:instrText>
      </w:r>
      <w:r>
        <w:fldChar w:fldCharType="separate"/>
      </w:r>
      <w:r>
        <w:t>23</w:t>
      </w:r>
      <w:r>
        <w:fldChar w:fldCharType="end"/>
      </w:r>
    </w:p>
    <w:p>
      <w:pPr>
        <w:pStyle w:val="TOC8"/>
        <w:rPr>
          <w:rFonts w:asciiTheme="minorHAnsi" w:eastAsiaTheme="minorEastAsia" w:hAnsiTheme="minorHAnsi" w:cstheme="minorBidi"/>
          <w:szCs w:val="22"/>
        </w:rPr>
      </w:pPr>
      <w:r>
        <w:t>7.</w:t>
      </w:r>
      <w:r>
        <w:tab/>
        <w:t>Duty not to direct or influence adjudicators or review adjudicators</w:t>
      </w:r>
      <w:r>
        <w:tab/>
      </w:r>
      <w:r>
        <w:fldChar w:fldCharType="begin"/>
      </w:r>
      <w:r>
        <w:instrText xml:space="preserve"> PAGEREF _Toc125705923 \h </w:instrText>
      </w:r>
      <w:r>
        <w:fldChar w:fldCharType="separate"/>
      </w:r>
      <w:r>
        <w:t>24</w:t>
      </w:r>
      <w:r>
        <w:fldChar w:fldCharType="end"/>
      </w:r>
    </w:p>
    <w:p>
      <w:pPr>
        <w:pStyle w:val="TOC8"/>
        <w:rPr>
          <w:rFonts w:asciiTheme="minorHAnsi" w:eastAsiaTheme="minorEastAsia" w:hAnsiTheme="minorHAnsi" w:cstheme="minorBidi"/>
          <w:szCs w:val="22"/>
        </w:rPr>
      </w:pPr>
      <w:r>
        <w:t>8.</w:t>
      </w:r>
      <w:r>
        <w:tab/>
        <w:t>Duty not to delegate or abrogate responsibility</w:t>
      </w:r>
      <w:r>
        <w:tab/>
      </w:r>
      <w:r>
        <w:fldChar w:fldCharType="begin"/>
      </w:r>
      <w:r>
        <w:instrText xml:space="preserve"> PAGEREF _Toc125705924 \h </w:instrText>
      </w:r>
      <w:r>
        <w:fldChar w:fldCharType="separate"/>
      </w:r>
      <w:r>
        <w:t>24</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_Toc125705925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Conflicts of interest policy</w:t>
      </w:r>
      <w:r>
        <w:tab/>
      </w:r>
      <w:r>
        <w:fldChar w:fldCharType="begin"/>
      </w:r>
      <w:r>
        <w:instrText xml:space="preserve"> PAGEREF _Toc125705927 \h </w:instrText>
      </w:r>
      <w:r>
        <w:fldChar w:fldCharType="separate"/>
      </w:r>
      <w:r>
        <w:t>25</w:t>
      </w:r>
      <w:r>
        <w:fldChar w:fldCharType="end"/>
      </w:r>
    </w:p>
    <w:p>
      <w:pPr>
        <w:pStyle w:val="TOC8"/>
        <w:rPr>
          <w:rFonts w:asciiTheme="minorHAnsi" w:eastAsiaTheme="minorEastAsia" w:hAnsiTheme="minorHAnsi" w:cstheme="minorBidi"/>
          <w:szCs w:val="22"/>
        </w:rPr>
      </w:pPr>
      <w:r>
        <w:t>11.</w:t>
      </w:r>
      <w:r>
        <w:tab/>
        <w:t>Applications for adjudication or adjudication review must not be referred if conflict of interest</w:t>
      </w:r>
      <w:r>
        <w:tab/>
      </w:r>
      <w:r>
        <w:fldChar w:fldCharType="begin"/>
      </w:r>
      <w:r>
        <w:instrText xml:space="preserve"> PAGEREF _Toc125705928 \h </w:instrText>
      </w:r>
      <w:r>
        <w:fldChar w:fldCharType="separate"/>
      </w:r>
      <w:r>
        <w:t>25</w:t>
      </w:r>
      <w:r>
        <w:fldChar w:fldCharType="end"/>
      </w:r>
    </w:p>
    <w:p>
      <w:pPr>
        <w:pStyle w:val="TOC8"/>
        <w:rPr>
          <w:rFonts w:asciiTheme="minorHAnsi" w:eastAsiaTheme="minorEastAsia" w:hAnsiTheme="minorHAnsi" w:cstheme="minorBidi"/>
          <w:szCs w:val="22"/>
        </w:rPr>
      </w:pPr>
      <w:r>
        <w:t>12.</w:t>
      </w:r>
      <w:r>
        <w:tab/>
        <w:t>Authorised nominating authority must not seek, accept, agree to or offer inducements</w:t>
      </w:r>
      <w:r>
        <w:tab/>
      </w:r>
      <w:r>
        <w:fldChar w:fldCharType="begin"/>
      </w:r>
      <w:r>
        <w:instrText xml:space="preserve"> PAGEREF _Toc125705929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Professional management arrangements</w:t>
      </w:r>
    </w:p>
    <w:p>
      <w:pPr>
        <w:pStyle w:val="TOC8"/>
        <w:rPr>
          <w:rFonts w:asciiTheme="minorHAnsi" w:eastAsiaTheme="minorEastAsia" w:hAnsiTheme="minorHAnsi" w:cstheme="minorBidi"/>
          <w:szCs w:val="22"/>
        </w:rPr>
      </w:pPr>
      <w:r>
        <w:t>13.</w:t>
      </w:r>
      <w:r>
        <w:tab/>
        <w:t>Professional management policy</w:t>
      </w:r>
      <w:r>
        <w:tab/>
      </w:r>
      <w:r>
        <w:fldChar w:fldCharType="begin"/>
      </w:r>
      <w:r>
        <w:instrText xml:space="preserve"> PAGEREF _Toc125705931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Complaints and internal disputes resolution</w:t>
      </w:r>
    </w:p>
    <w:p>
      <w:pPr>
        <w:pStyle w:val="TOC8"/>
        <w:rPr>
          <w:rFonts w:asciiTheme="minorHAnsi" w:eastAsiaTheme="minorEastAsia" w:hAnsiTheme="minorHAnsi" w:cstheme="minorBidi"/>
          <w:szCs w:val="22"/>
        </w:rPr>
      </w:pPr>
      <w:r>
        <w:t>14.</w:t>
      </w:r>
      <w:r>
        <w:tab/>
        <w:t>Complaints and internal disputes resolution policy</w:t>
      </w:r>
      <w:r>
        <w:tab/>
      </w:r>
      <w:r>
        <w:fldChar w:fldCharType="begin"/>
      </w:r>
      <w:r>
        <w:instrText xml:space="preserve"> PAGEREF _Toc125705933 \h </w:instrText>
      </w:r>
      <w:r>
        <w:fldChar w:fldCharType="separate"/>
      </w:r>
      <w:r>
        <w:t>27</w:t>
      </w:r>
      <w:r>
        <w:fldChar w:fldCharType="end"/>
      </w:r>
    </w:p>
    <w:p>
      <w:pPr>
        <w:pStyle w:val="TOC8"/>
        <w:rPr>
          <w:rFonts w:asciiTheme="minorHAnsi" w:eastAsiaTheme="minorEastAsia" w:hAnsiTheme="minorHAnsi" w:cstheme="minorBidi"/>
          <w:szCs w:val="22"/>
        </w:rPr>
      </w:pPr>
      <w:r>
        <w:t>15.</w:t>
      </w:r>
      <w:r>
        <w:tab/>
        <w:t>Notification of Building Commissioner of complaints and internal disputes</w:t>
      </w:r>
      <w:r>
        <w:tab/>
      </w:r>
      <w:r>
        <w:fldChar w:fldCharType="begin"/>
      </w:r>
      <w:r>
        <w:instrText xml:space="preserve"> PAGEREF _Toc125705934 \h </w:instrText>
      </w:r>
      <w:r>
        <w:fldChar w:fldCharType="separate"/>
      </w:r>
      <w:r>
        <w:t>28</w:t>
      </w:r>
      <w:r>
        <w:fldChar w:fldCharType="end"/>
      </w:r>
    </w:p>
    <w:p>
      <w:pPr>
        <w:pStyle w:val="TOC8"/>
        <w:rPr>
          <w:rFonts w:asciiTheme="minorHAnsi" w:eastAsiaTheme="minorEastAsia" w:hAnsiTheme="minorHAnsi" w:cstheme="minorBidi"/>
          <w:szCs w:val="22"/>
        </w:rPr>
      </w:pPr>
      <w:r>
        <w:t>16.</w:t>
      </w:r>
      <w:r>
        <w:tab/>
        <w:t>Records of complaints and internal disputes</w:t>
      </w:r>
      <w:r>
        <w:tab/>
      </w:r>
      <w:r>
        <w:fldChar w:fldCharType="begin"/>
      </w:r>
      <w:r>
        <w:instrText xml:space="preserve"> PAGEREF _Toc125705935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Adjudication applications</w:t>
      </w:r>
    </w:p>
    <w:p>
      <w:pPr>
        <w:pStyle w:val="TOC8"/>
        <w:rPr>
          <w:rFonts w:asciiTheme="minorHAnsi" w:eastAsiaTheme="minorEastAsia" w:hAnsiTheme="minorHAnsi" w:cstheme="minorBidi"/>
          <w:szCs w:val="22"/>
        </w:rPr>
      </w:pPr>
      <w:r>
        <w:t>17.</w:t>
      </w:r>
      <w:r>
        <w:tab/>
        <w:t>Adjudicator appointment policy</w:t>
      </w:r>
      <w:r>
        <w:tab/>
      </w:r>
      <w:r>
        <w:fldChar w:fldCharType="begin"/>
      </w:r>
      <w:r>
        <w:instrText xml:space="preserve"> PAGEREF _Toc125705937 \h </w:instrText>
      </w:r>
      <w:r>
        <w:fldChar w:fldCharType="separate"/>
      </w:r>
      <w:r>
        <w:t>29</w:t>
      </w:r>
      <w:r>
        <w:fldChar w:fldCharType="end"/>
      </w:r>
    </w:p>
    <w:p>
      <w:pPr>
        <w:pStyle w:val="TOC8"/>
        <w:rPr>
          <w:rFonts w:asciiTheme="minorHAnsi" w:eastAsiaTheme="minorEastAsia" w:hAnsiTheme="minorHAnsi" w:cstheme="minorBidi"/>
          <w:szCs w:val="22"/>
        </w:rPr>
      </w:pPr>
      <w:r>
        <w:t>18.</w:t>
      </w:r>
      <w:r>
        <w:tab/>
        <w:t>Appointment of adjudicators</w:t>
      </w:r>
      <w:r>
        <w:tab/>
      </w:r>
      <w:r>
        <w:fldChar w:fldCharType="begin"/>
      </w:r>
      <w:r>
        <w:instrText xml:space="preserve"> PAGEREF _Toc125705938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Adjudication review applications</w:t>
      </w:r>
    </w:p>
    <w:p>
      <w:pPr>
        <w:pStyle w:val="TOC8"/>
        <w:rPr>
          <w:rFonts w:asciiTheme="minorHAnsi" w:eastAsiaTheme="minorEastAsia" w:hAnsiTheme="minorHAnsi" w:cstheme="minorBidi"/>
          <w:szCs w:val="22"/>
        </w:rPr>
      </w:pPr>
      <w:r>
        <w:t>19.</w:t>
      </w:r>
      <w:r>
        <w:tab/>
        <w:t>Review adjudicator appointment policy</w:t>
      </w:r>
      <w:r>
        <w:tab/>
      </w:r>
      <w:r>
        <w:fldChar w:fldCharType="begin"/>
      </w:r>
      <w:r>
        <w:instrText xml:space="preserve"> PAGEREF _Toc125705940 \h </w:instrText>
      </w:r>
      <w:r>
        <w:fldChar w:fldCharType="separate"/>
      </w:r>
      <w:r>
        <w:t>30</w:t>
      </w:r>
      <w:r>
        <w:fldChar w:fldCharType="end"/>
      </w:r>
    </w:p>
    <w:p>
      <w:pPr>
        <w:pStyle w:val="TOC8"/>
        <w:rPr>
          <w:rFonts w:asciiTheme="minorHAnsi" w:eastAsiaTheme="minorEastAsia" w:hAnsiTheme="minorHAnsi" w:cstheme="minorBidi"/>
          <w:szCs w:val="22"/>
        </w:rPr>
      </w:pPr>
      <w:r>
        <w:t>20.</w:t>
      </w:r>
      <w:r>
        <w:tab/>
        <w:t>Appointment of review adjudicators</w:t>
      </w:r>
      <w:r>
        <w:tab/>
      </w:r>
      <w:r>
        <w:fldChar w:fldCharType="begin"/>
      </w:r>
      <w:r>
        <w:instrText xml:space="preserve"> PAGEREF _Toc125705941 \h </w:instrText>
      </w:r>
      <w:r>
        <w:fldChar w:fldCharType="separate"/>
      </w:r>
      <w:r>
        <w:t>30</w:t>
      </w:r>
      <w:r>
        <w:fldChar w:fldCharType="end"/>
      </w:r>
    </w:p>
    <w:p>
      <w:pPr>
        <w:pStyle w:val="TOC8"/>
        <w:rPr>
          <w:rFonts w:asciiTheme="minorHAnsi" w:eastAsiaTheme="minorEastAsia" w:hAnsiTheme="minorHAnsi" w:cstheme="minorBidi"/>
          <w:szCs w:val="22"/>
        </w:rPr>
      </w:pPr>
      <w:r>
        <w:t>21.</w:t>
      </w:r>
      <w:r>
        <w:tab/>
        <w:t>Disputed adjudicated amounts and deposits or security held on trust</w:t>
      </w:r>
      <w:r>
        <w:tab/>
      </w:r>
      <w:r>
        <w:fldChar w:fldCharType="begin"/>
      </w:r>
      <w:r>
        <w:instrText xml:space="preserve"> PAGEREF _Toc125705942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8 — Fees and expenses</w:t>
      </w:r>
    </w:p>
    <w:p>
      <w:pPr>
        <w:pStyle w:val="TOC8"/>
        <w:rPr>
          <w:rFonts w:asciiTheme="minorHAnsi" w:eastAsiaTheme="minorEastAsia" w:hAnsiTheme="minorHAnsi" w:cstheme="minorBidi"/>
          <w:szCs w:val="22"/>
        </w:rPr>
      </w:pPr>
      <w:r>
        <w:t>22.</w:t>
      </w:r>
      <w:r>
        <w:tab/>
        <w:t>Charging of fees and expenses</w:t>
      </w:r>
      <w:r>
        <w:tab/>
      </w:r>
      <w:r>
        <w:fldChar w:fldCharType="begin"/>
      </w:r>
      <w:r>
        <w:instrText xml:space="preserve"> PAGEREF _Toc125705944 \h </w:instrText>
      </w:r>
      <w:r>
        <w:fldChar w:fldCharType="separate"/>
      </w:r>
      <w:r>
        <w:t>32</w:t>
      </w:r>
      <w:r>
        <w:fldChar w:fldCharType="end"/>
      </w:r>
    </w:p>
    <w:p>
      <w:pPr>
        <w:pStyle w:val="TOC8"/>
        <w:rPr>
          <w:rFonts w:asciiTheme="minorHAnsi" w:eastAsiaTheme="minorEastAsia" w:hAnsiTheme="minorHAnsi" w:cstheme="minorBidi"/>
          <w:szCs w:val="22"/>
        </w:rPr>
      </w:pPr>
      <w:r>
        <w:t>23.</w:t>
      </w:r>
      <w:r>
        <w:tab/>
        <w:t>Notification of deposit or security for adjudication fees and expenses</w:t>
      </w:r>
      <w:r>
        <w:tab/>
      </w:r>
      <w:r>
        <w:fldChar w:fldCharType="begin"/>
      </w:r>
      <w:r>
        <w:instrText xml:space="preserve"> PAGEREF _Toc125705945 \h </w:instrText>
      </w:r>
      <w:r>
        <w:fldChar w:fldCharType="separate"/>
      </w:r>
      <w:r>
        <w:t>33</w:t>
      </w:r>
      <w:r>
        <w:fldChar w:fldCharType="end"/>
      </w:r>
    </w:p>
    <w:p>
      <w:pPr>
        <w:pStyle w:val="TOC8"/>
        <w:rPr>
          <w:rFonts w:asciiTheme="minorHAnsi" w:eastAsiaTheme="minorEastAsia" w:hAnsiTheme="minorHAnsi" w:cstheme="minorBidi"/>
          <w:szCs w:val="22"/>
        </w:rPr>
      </w:pPr>
      <w:r>
        <w:t>24.</w:t>
      </w:r>
      <w:r>
        <w:tab/>
        <w:t>Refund of application fee</w:t>
      </w:r>
      <w:r>
        <w:tab/>
      </w:r>
      <w:r>
        <w:fldChar w:fldCharType="begin"/>
      </w:r>
      <w:r>
        <w:instrText xml:space="preserve"> PAGEREF _Toc125705946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9 — Information for Building Commissioner</w:t>
      </w:r>
    </w:p>
    <w:p>
      <w:pPr>
        <w:pStyle w:val="TOC8"/>
        <w:rPr>
          <w:rFonts w:asciiTheme="minorHAnsi" w:eastAsiaTheme="minorEastAsia" w:hAnsiTheme="minorHAnsi" w:cstheme="minorBidi"/>
          <w:szCs w:val="22"/>
        </w:rPr>
      </w:pPr>
      <w:r>
        <w:t>25.</w:t>
      </w:r>
      <w:r>
        <w:tab/>
        <w:t>Notifications to Building Commissioner</w:t>
      </w:r>
      <w:r>
        <w:tab/>
      </w:r>
      <w:r>
        <w:fldChar w:fldCharType="begin"/>
      </w:r>
      <w:r>
        <w:instrText xml:space="preserve"> PAGEREF _Toc125705948 \h </w:instrText>
      </w:r>
      <w:r>
        <w:fldChar w:fldCharType="separate"/>
      </w:r>
      <w:r>
        <w:t>34</w:t>
      </w:r>
      <w:r>
        <w:fldChar w:fldCharType="end"/>
      </w:r>
    </w:p>
    <w:p>
      <w:pPr>
        <w:pStyle w:val="TOC8"/>
        <w:rPr>
          <w:rFonts w:asciiTheme="minorHAnsi" w:eastAsiaTheme="minorEastAsia" w:hAnsiTheme="minorHAnsi" w:cstheme="minorBidi"/>
          <w:szCs w:val="22"/>
        </w:rPr>
      </w:pPr>
      <w:r>
        <w:t>26.</w:t>
      </w:r>
      <w:r>
        <w:tab/>
        <w:t>Information that must be provided before surrender of authorisation</w:t>
      </w:r>
      <w:r>
        <w:tab/>
      </w:r>
      <w:r>
        <w:fldChar w:fldCharType="begin"/>
      </w:r>
      <w:r>
        <w:instrText xml:space="preserve"> PAGEREF _Toc125705949 \h </w:instrText>
      </w:r>
      <w:r>
        <w:fldChar w:fldCharType="separate"/>
      </w:r>
      <w:r>
        <w:t>34</w:t>
      </w:r>
      <w:r>
        <w:fldChar w:fldCharType="end"/>
      </w:r>
    </w:p>
    <w:p>
      <w:pPr>
        <w:pStyle w:val="TOC8"/>
        <w:rPr>
          <w:rFonts w:asciiTheme="minorHAnsi" w:eastAsiaTheme="minorEastAsia" w:hAnsiTheme="minorHAnsi" w:cstheme="minorBidi"/>
          <w:szCs w:val="22"/>
        </w:rPr>
      </w:pPr>
      <w:r>
        <w:t>27.</w:t>
      </w:r>
      <w:r>
        <w:tab/>
        <w:t>Inspection and provision of copies of written policies of authorised nominating authorities</w:t>
      </w:r>
      <w:r>
        <w:tab/>
      </w:r>
      <w:r>
        <w:fldChar w:fldCharType="begin"/>
      </w:r>
      <w:r>
        <w:instrText xml:space="preserve"> PAGEREF _Toc125705950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28.</w:t>
      </w:r>
      <w:r>
        <w:tab/>
        <w:t>Authorised nominating authority must maintain website</w:t>
      </w:r>
      <w:r>
        <w:tab/>
      </w:r>
      <w:r>
        <w:fldChar w:fldCharType="begin"/>
      </w:r>
      <w:r>
        <w:instrText xml:space="preserve"> PAGEREF _Toc125705952 \h </w:instrText>
      </w:r>
      <w:r>
        <w:fldChar w:fldCharType="separate"/>
      </w:r>
      <w:r>
        <w:t>35</w:t>
      </w:r>
      <w:r>
        <w:fldChar w:fldCharType="end"/>
      </w:r>
    </w:p>
    <w:p>
      <w:pPr>
        <w:pStyle w:val="TOC8"/>
        <w:rPr>
          <w:rFonts w:asciiTheme="minorHAnsi" w:eastAsiaTheme="minorEastAsia" w:hAnsiTheme="minorHAnsi" w:cstheme="minorBidi"/>
          <w:szCs w:val="22"/>
        </w:rPr>
      </w:pPr>
      <w:r>
        <w:t>29.</w:t>
      </w:r>
      <w:r>
        <w:tab/>
        <w:t>Service of documents</w:t>
      </w:r>
      <w:r>
        <w:tab/>
      </w:r>
      <w:r>
        <w:fldChar w:fldCharType="begin"/>
      </w:r>
      <w:r>
        <w:instrText xml:space="preserve"> PAGEREF _Toc125705953 \h </w:instrText>
      </w:r>
      <w:r>
        <w:fldChar w:fldCharType="separate"/>
      </w:r>
      <w:r>
        <w:t>36</w:t>
      </w:r>
      <w:r>
        <w:fldChar w:fldCharType="end"/>
      </w:r>
    </w:p>
    <w:p>
      <w:pPr>
        <w:pStyle w:val="TOC8"/>
        <w:rPr>
          <w:rFonts w:asciiTheme="minorHAnsi" w:eastAsiaTheme="minorEastAsia" w:hAnsiTheme="minorHAnsi" w:cstheme="minorBidi"/>
          <w:szCs w:val="22"/>
        </w:rPr>
      </w:pPr>
      <w:r>
        <w:t>30.</w:t>
      </w:r>
      <w:r>
        <w:tab/>
        <w:t>Building Commissioner’s practice notes</w:t>
      </w:r>
      <w:r>
        <w:tab/>
      </w:r>
      <w:r>
        <w:fldChar w:fldCharType="begin"/>
      </w:r>
      <w:r>
        <w:instrText xml:space="preserve"> PAGEREF _Toc125705954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practice for adjudicators and review adjudicators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_Toc125705957 \h </w:instrText>
      </w:r>
      <w:r>
        <w:fldChar w:fldCharType="separate"/>
      </w:r>
      <w:r>
        <w:t>37</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_Toc125705958 \h </w:instrText>
      </w:r>
      <w:r>
        <w:fldChar w:fldCharType="separate"/>
      </w:r>
      <w:r>
        <w:t>37</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_Toc125705959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Professional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_Toc125705961 \h </w:instrText>
      </w:r>
      <w:r>
        <w:fldChar w:fldCharType="separate"/>
      </w:r>
      <w:r>
        <w:t>38</w:t>
      </w:r>
      <w:r>
        <w:fldChar w:fldCharType="end"/>
      </w:r>
    </w:p>
    <w:p>
      <w:pPr>
        <w:pStyle w:val="TOC8"/>
        <w:rPr>
          <w:rFonts w:asciiTheme="minorHAnsi" w:eastAsiaTheme="minorEastAsia" w:hAnsiTheme="minorHAnsi" w:cstheme="minorBidi"/>
          <w:szCs w:val="22"/>
        </w:rPr>
      </w:pPr>
      <w:r>
        <w:t>5.</w:t>
      </w:r>
      <w:r>
        <w:tab/>
        <w:t>Duty not to engage in unprofessional conduct</w:t>
      </w:r>
      <w:r>
        <w:tab/>
      </w:r>
      <w:r>
        <w:fldChar w:fldCharType="begin"/>
      </w:r>
      <w:r>
        <w:instrText xml:space="preserve"> PAGEREF _Toc125705962 \h </w:instrText>
      </w:r>
      <w:r>
        <w:fldChar w:fldCharType="separate"/>
      </w:r>
      <w:r>
        <w:t>38</w:t>
      </w:r>
      <w:r>
        <w:fldChar w:fldCharType="end"/>
      </w:r>
    </w:p>
    <w:p>
      <w:pPr>
        <w:pStyle w:val="TOC8"/>
        <w:rPr>
          <w:rFonts w:asciiTheme="minorHAnsi" w:eastAsiaTheme="minorEastAsia" w:hAnsiTheme="minorHAnsi" w:cstheme="minorBidi"/>
          <w:szCs w:val="22"/>
        </w:rPr>
      </w:pPr>
      <w:r>
        <w:t>6.</w:t>
      </w:r>
      <w:r>
        <w:tab/>
        <w:t>Duty to act independently and impartially</w:t>
      </w:r>
      <w:r>
        <w:tab/>
      </w:r>
      <w:r>
        <w:fldChar w:fldCharType="begin"/>
      </w:r>
      <w:r>
        <w:instrText xml:space="preserve"> PAGEREF _Toc125705963 \h </w:instrText>
      </w:r>
      <w:r>
        <w:fldChar w:fldCharType="separate"/>
      </w:r>
      <w:r>
        <w:t>39</w:t>
      </w:r>
      <w:r>
        <w:fldChar w:fldCharType="end"/>
      </w:r>
    </w:p>
    <w:p>
      <w:pPr>
        <w:pStyle w:val="TOC8"/>
        <w:rPr>
          <w:rFonts w:asciiTheme="minorHAnsi" w:eastAsiaTheme="minorEastAsia" w:hAnsiTheme="minorHAnsi" w:cstheme="minorBidi"/>
          <w:szCs w:val="22"/>
        </w:rPr>
      </w:pPr>
      <w:r>
        <w:t>7.</w:t>
      </w:r>
      <w:r>
        <w:tab/>
        <w:t>Duty not to delegate or abrogate responsibility</w:t>
      </w:r>
      <w:r>
        <w:tab/>
      </w:r>
      <w:r>
        <w:fldChar w:fldCharType="begin"/>
      </w:r>
      <w:r>
        <w:instrText xml:space="preserve"> PAGEREF _Toc125705964 \h </w:instrText>
      </w:r>
      <w:r>
        <w:fldChar w:fldCharType="separate"/>
      </w:r>
      <w:r>
        <w:t>39</w:t>
      </w:r>
      <w:r>
        <w:fldChar w:fldCharType="end"/>
      </w:r>
    </w:p>
    <w:p>
      <w:pPr>
        <w:pStyle w:val="TOC8"/>
        <w:rPr>
          <w:rFonts w:asciiTheme="minorHAnsi" w:eastAsiaTheme="minorEastAsia" w:hAnsiTheme="minorHAnsi" w:cstheme="minorBidi"/>
          <w:szCs w:val="22"/>
        </w:rPr>
      </w:pPr>
      <w:r>
        <w:t>8.</w:t>
      </w:r>
      <w:r>
        <w:tab/>
        <w:t>Duty to maintain eligibility for registration</w:t>
      </w:r>
      <w:r>
        <w:tab/>
      </w:r>
      <w:r>
        <w:fldChar w:fldCharType="begin"/>
      </w:r>
      <w:r>
        <w:instrText xml:space="preserve"> PAGEREF _Toc125705965 \h </w:instrText>
      </w:r>
      <w:r>
        <w:fldChar w:fldCharType="separate"/>
      </w:r>
      <w:r>
        <w:t>39</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_Toc125705966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Conflicts of interest</w:t>
      </w:r>
    </w:p>
    <w:p>
      <w:pPr>
        <w:pStyle w:val="TOC8"/>
        <w:rPr>
          <w:rFonts w:asciiTheme="minorHAnsi" w:eastAsiaTheme="minorEastAsia" w:hAnsiTheme="minorHAnsi" w:cstheme="minorBidi"/>
          <w:szCs w:val="22"/>
        </w:rPr>
      </w:pPr>
      <w:r>
        <w:t>10.</w:t>
      </w:r>
      <w:r>
        <w:tab/>
        <w:t>Adjudicator or review adjudicator must not accept appointment if they are, or are related to, authorised nominating authority</w:t>
      </w:r>
      <w:r>
        <w:tab/>
      </w:r>
      <w:r>
        <w:fldChar w:fldCharType="begin"/>
      </w:r>
      <w:r>
        <w:instrText xml:space="preserve"> PAGEREF _Toc125705968 \h </w:instrText>
      </w:r>
      <w:r>
        <w:fldChar w:fldCharType="separate"/>
      </w:r>
      <w:r>
        <w:t>40</w:t>
      </w:r>
      <w:r>
        <w:fldChar w:fldCharType="end"/>
      </w:r>
    </w:p>
    <w:p>
      <w:pPr>
        <w:pStyle w:val="TOC8"/>
        <w:rPr>
          <w:rFonts w:asciiTheme="minorHAnsi" w:eastAsiaTheme="minorEastAsia" w:hAnsiTheme="minorHAnsi" w:cstheme="minorBidi"/>
          <w:szCs w:val="22"/>
        </w:rPr>
      </w:pPr>
      <w:r>
        <w:t>11.</w:t>
      </w:r>
      <w:r>
        <w:tab/>
        <w:t>Checking for conflicts of interest</w:t>
      </w:r>
      <w:r>
        <w:tab/>
      </w:r>
      <w:r>
        <w:fldChar w:fldCharType="begin"/>
      </w:r>
      <w:r>
        <w:instrText xml:space="preserve"> PAGEREF _Toc125705969 \h </w:instrText>
      </w:r>
      <w:r>
        <w:fldChar w:fldCharType="separate"/>
      </w:r>
      <w:r>
        <w:t>41</w:t>
      </w:r>
      <w:r>
        <w:fldChar w:fldCharType="end"/>
      </w:r>
    </w:p>
    <w:p>
      <w:pPr>
        <w:pStyle w:val="TOC8"/>
        <w:rPr>
          <w:rFonts w:asciiTheme="minorHAnsi" w:eastAsiaTheme="minorEastAsia" w:hAnsiTheme="minorHAnsi" w:cstheme="minorBidi"/>
          <w:szCs w:val="22"/>
        </w:rPr>
      </w:pPr>
      <w:r>
        <w:t>12.</w:t>
      </w:r>
      <w:r>
        <w:tab/>
        <w:t>Adjudicators and review adjudicators must not seek, accept, agree to or offer inducements</w:t>
      </w:r>
      <w:r>
        <w:tab/>
      </w:r>
      <w:r>
        <w:fldChar w:fldCharType="begin"/>
      </w:r>
      <w:r>
        <w:instrText xml:space="preserve"> PAGEREF _Toc125705970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Appointment of adjudicator or review adjudicator</w:t>
      </w:r>
    </w:p>
    <w:p>
      <w:pPr>
        <w:pStyle w:val="TOC8"/>
        <w:rPr>
          <w:rFonts w:asciiTheme="minorHAnsi" w:eastAsiaTheme="minorEastAsia" w:hAnsiTheme="minorHAnsi" w:cstheme="minorBidi"/>
          <w:szCs w:val="22"/>
        </w:rPr>
      </w:pPr>
      <w:r>
        <w:t>13.</w:t>
      </w:r>
      <w:r>
        <w:tab/>
        <w:t>Acceptance of appointments</w:t>
      </w:r>
      <w:r>
        <w:tab/>
      </w:r>
      <w:r>
        <w:fldChar w:fldCharType="begin"/>
      </w:r>
      <w:r>
        <w:instrText xml:space="preserve"> PAGEREF _Toc125705972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Making of determinations</w:t>
      </w:r>
    </w:p>
    <w:p>
      <w:pPr>
        <w:pStyle w:val="TOC8"/>
        <w:rPr>
          <w:rFonts w:asciiTheme="minorHAnsi" w:eastAsiaTheme="minorEastAsia" w:hAnsiTheme="minorHAnsi" w:cstheme="minorBidi"/>
          <w:szCs w:val="22"/>
        </w:rPr>
      </w:pPr>
      <w:r>
        <w:t>14.</w:t>
      </w:r>
      <w:r>
        <w:tab/>
        <w:t>Form of determinations</w:t>
      </w:r>
      <w:r>
        <w:tab/>
      </w:r>
      <w:r>
        <w:fldChar w:fldCharType="begin"/>
      </w:r>
      <w:r>
        <w:instrText xml:space="preserve"> PAGEREF _Toc125705974 \h </w:instrText>
      </w:r>
      <w:r>
        <w:fldChar w:fldCharType="separate"/>
      </w:r>
      <w:r>
        <w:t>42</w:t>
      </w:r>
      <w:r>
        <w:fldChar w:fldCharType="end"/>
      </w:r>
    </w:p>
    <w:p>
      <w:pPr>
        <w:pStyle w:val="TOC8"/>
        <w:rPr>
          <w:rFonts w:asciiTheme="minorHAnsi" w:eastAsiaTheme="minorEastAsia" w:hAnsiTheme="minorHAnsi" w:cstheme="minorBidi"/>
          <w:szCs w:val="22"/>
        </w:rPr>
      </w:pPr>
      <w:r>
        <w:t>15.</w:t>
      </w:r>
      <w:r>
        <w:tab/>
        <w:t>Correction of determinations</w:t>
      </w:r>
      <w:r>
        <w:tab/>
      </w:r>
      <w:r>
        <w:fldChar w:fldCharType="begin"/>
      </w:r>
      <w:r>
        <w:instrText xml:space="preserve"> PAGEREF _Toc125705975 \h </w:instrText>
      </w:r>
      <w:r>
        <w:fldChar w:fldCharType="separate"/>
      </w:r>
      <w:r>
        <w:t>43</w:t>
      </w:r>
      <w:r>
        <w:fldChar w:fldCharType="end"/>
      </w:r>
    </w:p>
    <w:p>
      <w:pPr>
        <w:pStyle w:val="TOC8"/>
        <w:rPr>
          <w:rFonts w:asciiTheme="minorHAnsi" w:eastAsiaTheme="minorEastAsia" w:hAnsiTheme="minorHAnsi" w:cstheme="minorBidi"/>
          <w:szCs w:val="22"/>
        </w:rPr>
      </w:pPr>
      <w:r>
        <w:t>16.</w:t>
      </w:r>
      <w:r>
        <w:tab/>
        <w:t>Record keeping with respect to determinations</w:t>
      </w:r>
      <w:r>
        <w:tab/>
      </w:r>
      <w:r>
        <w:fldChar w:fldCharType="begin"/>
      </w:r>
      <w:r>
        <w:instrText xml:space="preserve"> PAGEREF _Toc125705976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Adjudication fees and expenses</w:t>
      </w:r>
    </w:p>
    <w:p>
      <w:pPr>
        <w:pStyle w:val="TOC8"/>
        <w:rPr>
          <w:rFonts w:asciiTheme="minorHAnsi" w:eastAsiaTheme="minorEastAsia" w:hAnsiTheme="minorHAnsi" w:cstheme="minorBidi"/>
          <w:szCs w:val="22"/>
        </w:rPr>
      </w:pPr>
      <w:r>
        <w:t>17.</w:t>
      </w:r>
      <w:r>
        <w:tab/>
        <w:t>Amount of adjudication fees and expenses that may be charged</w:t>
      </w:r>
      <w:r>
        <w:tab/>
      </w:r>
      <w:r>
        <w:fldChar w:fldCharType="begin"/>
      </w:r>
      <w:r>
        <w:instrText xml:space="preserve"> PAGEREF _Toc125705978 \h </w:instrText>
      </w:r>
      <w:r>
        <w:fldChar w:fldCharType="separate"/>
      </w:r>
      <w:r>
        <w:t>44</w:t>
      </w:r>
      <w:r>
        <w:fldChar w:fldCharType="end"/>
      </w:r>
    </w:p>
    <w:p>
      <w:pPr>
        <w:pStyle w:val="TOC8"/>
        <w:rPr>
          <w:rFonts w:asciiTheme="minorHAnsi" w:eastAsiaTheme="minorEastAsia" w:hAnsiTheme="minorHAnsi" w:cstheme="minorBidi"/>
          <w:szCs w:val="22"/>
        </w:rPr>
      </w:pPr>
      <w:r>
        <w:t>18.</w:t>
      </w:r>
      <w:r>
        <w:tab/>
        <w:t>Notification of adjudication fees and expenses</w:t>
      </w:r>
      <w:r>
        <w:tab/>
      </w:r>
      <w:r>
        <w:fldChar w:fldCharType="begin"/>
      </w:r>
      <w:r>
        <w:instrText xml:space="preserve"> PAGEREF _Toc125705979 \h </w:instrText>
      </w:r>
      <w:r>
        <w:fldChar w:fldCharType="separate"/>
      </w:r>
      <w:r>
        <w:t>45</w:t>
      </w:r>
      <w:r>
        <w:fldChar w:fldCharType="end"/>
      </w:r>
    </w:p>
    <w:p>
      <w:pPr>
        <w:pStyle w:val="TOC8"/>
        <w:rPr>
          <w:rFonts w:asciiTheme="minorHAnsi" w:eastAsiaTheme="minorEastAsia" w:hAnsiTheme="minorHAnsi" w:cstheme="minorBidi"/>
          <w:szCs w:val="22"/>
        </w:rPr>
      </w:pPr>
      <w:r>
        <w:t>19.</w:t>
      </w:r>
      <w:r>
        <w:tab/>
        <w:t>Deposit or security for adjudication fees and expenses</w:t>
      </w:r>
      <w:r>
        <w:tab/>
      </w:r>
      <w:r>
        <w:fldChar w:fldCharType="begin"/>
      </w:r>
      <w:r>
        <w:instrText xml:space="preserve"> PAGEREF _Toc125705980 \h </w:instrText>
      </w:r>
      <w:r>
        <w:fldChar w:fldCharType="separate"/>
      </w:r>
      <w:r>
        <w:t>45</w:t>
      </w:r>
      <w:r>
        <w:fldChar w:fldCharType="end"/>
      </w:r>
    </w:p>
    <w:p>
      <w:pPr>
        <w:pStyle w:val="TOC8"/>
        <w:rPr>
          <w:rFonts w:asciiTheme="minorHAnsi" w:eastAsiaTheme="minorEastAsia" w:hAnsiTheme="minorHAnsi" w:cstheme="minorBidi"/>
          <w:szCs w:val="22"/>
        </w:rPr>
      </w:pPr>
      <w:r>
        <w:t>20.</w:t>
      </w:r>
      <w:r>
        <w:tab/>
        <w:t>Expert and testing adjudication expenses</w:t>
      </w:r>
      <w:r>
        <w:tab/>
      </w:r>
      <w:r>
        <w:fldChar w:fldCharType="begin"/>
      </w:r>
      <w:r>
        <w:instrText xml:space="preserve"> PAGEREF _Toc125705981 \h </w:instrText>
      </w:r>
      <w:r>
        <w:fldChar w:fldCharType="separate"/>
      </w:r>
      <w:r>
        <w:t>46</w:t>
      </w:r>
      <w:r>
        <w:fldChar w:fldCharType="end"/>
      </w:r>
    </w:p>
    <w:p>
      <w:pPr>
        <w:pStyle w:val="TOC8"/>
        <w:rPr>
          <w:rFonts w:asciiTheme="minorHAnsi" w:eastAsiaTheme="minorEastAsia" w:hAnsiTheme="minorHAnsi" w:cstheme="minorBidi"/>
          <w:szCs w:val="22"/>
        </w:rPr>
      </w:pPr>
      <w:r>
        <w:t>21.</w:t>
      </w:r>
      <w:r>
        <w:tab/>
        <w:t>Withholding determination</w:t>
      </w:r>
      <w:r>
        <w:tab/>
      </w:r>
      <w:r>
        <w:fldChar w:fldCharType="begin"/>
      </w:r>
      <w:r>
        <w:instrText xml:space="preserve"> PAGEREF _Toc125705982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22.</w:t>
      </w:r>
      <w:r>
        <w:tab/>
        <w:t>Information that must be provided by adjudicator appointed by parties</w:t>
      </w:r>
      <w:r>
        <w:tab/>
      </w:r>
      <w:r>
        <w:fldChar w:fldCharType="begin"/>
      </w:r>
      <w:r>
        <w:instrText xml:space="preserve"> PAGEREF _Toc125705984 \h </w:instrText>
      </w:r>
      <w:r>
        <w:fldChar w:fldCharType="separate"/>
      </w:r>
      <w:r>
        <w:t>47</w:t>
      </w:r>
      <w:r>
        <w:fldChar w:fldCharType="end"/>
      </w:r>
    </w:p>
    <w:p>
      <w:pPr>
        <w:pStyle w:val="TOC8"/>
        <w:rPr>
          <w:rFonts w:asciiTheme="minorHAnsi" w:eastAsiaTheme="minorEastAsia" w:hAnsiTheme="minorHAnsi" w:cstheme="minorBidi"/>
          <w:szCs w:val="22"/>
        </w:rPr>
      </w:pPr>
      <w:r>
        <w:t>23.</w:t>
      </w:r>
      <w:r>
        <w:tab/>
        <w:t>Building Commissioner’s practice notes</w:t>
      </w:r>
      <w:r>
        <w:tab/>
      </w:r>
      <w:r>
        <w:fldChar w:fldCharType="begin"/>
      </w:r>
      <w:r>
        <w:instrText xml:space="preserve"> PAGEREF _Toc125705985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_Toc125705989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_Toc125705990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2" w:name="_Toc125362511"/>
      <w:bookmarkStart w:id="3" w:name="_Toc125705882"/>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25705883"/>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6" w:name="_Toc125705884"/>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7" w:name="_Toc125705885"/>
      <w:r>
        <w:rPr>
          <w:rStyle w:val="CharSectno"/>
        </w:rPr>
        <w:t>3</w:t>
      </w:r>
      <w:r>
        <w:rPr>
          <w:spacing w:val="-2"/>
        </w:rPr>
        <w:t>.</w:t>
      </w:r>
      <w:r>
        <w:rPr>
          <w:spacing w:val="-2"/>
        </w:rPr>
        <w:tab/>
        <w:t>Terms used</w:t>
      </w:r>
      <w:bookmarkEnd w:id="7"/>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8" w:name="_Toc125362515"/>
      <w:bookmarkStart w:id="9" w:name="_Toc125705886"/>
      <w:r>
        <w:rPr>
          <w:rStyle w:val="CharPartNo"/>
        </w:rPr>
        <w:lastRenderedPageBreak/>
        <w:t>Part 2</w:t>
      </w:r>
      <w:r>
        <w:rPr>
          <w:rStyle w:val="CharDivNo"/>
        </w:rPr>
        <w:t> </w:t>
      </w:r>
      <w:r>
        <w:t>—</w:t>
      </w:r>
      <w:r>
        <w:rPr>
          <w:rStyle w:val="CharDivText"/>
        </w:rPr>
        <w:t> </w:t>
      </w:r>
      <w:r>
        <w:rPr>
          <w:rStyle w:val="CharPartText"/>
        </w:rPr>
        <w:t>Construction contracts</w:t>
      </w:r>
      <w:bookmarkEnd w:id="8"/>
      <w:bookmarkEnd w:id="9"/>
    </w:p>
    <w:p>
      <w:pPr>
        <w:pStyle w:val="Heading5"/>
      </w:pPr>
      <w:bookmarkStart w:id="10" w:name="_Toc125705887"/>
      <w:r>
        <w:rPr>
          <w:rStyle w:val="CharSectno"/>
        </w:rPr>
        <w:t>4</w:t>
      </w:r>
      <w:r>
        <w:t>.</w:t>
      </w:r>
      <w:r>
        <w:tab/>
        <w:t>Threshold contract value for construction contracts required to be in writing and contain mandatory information</w:t>
      </w:r>
      <w:bookmarkEnd w:id="10"/>
    </w:p>
    <w:p>
      <w:pPr>
        <w:pStyle w:val="Subsection"/>
      </w:pPr>
      <w:r>
        <w:tab/>
      </w:r>
      <w:r>
        <w:tab/>
        <w:t>For the purposes of section 13(2)(d), the amount is $20 000.</w:t>
      </w:r>
    </w:p>
    <w:p>
      <w:pPr>
        <w:pStyle w:val="Heading5"/>
      </w:pPr>
      <w:bookmarkStart w:id="11" w:name="_Toc125705888"/>
      <w:r>
        <w:rPr>
          <w:rStyle w:val="CharSectno"/>
        </w:rPr>
        <w:t>5</w:t>
      </w:r>
      <w:r>
        <w:t>.</w:t>
      </w:r>
      <w:r>
        <w:tab/>
        <w:t>Other prohibited terms of construction contracts (s. 15)</w:t>
      </w:r>
      <w:bookmarkEnd w:id="11"/>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12" w:name="_Toc125362518"/>
      <w:bookmarkStart w:id="13" w:name="_Toc125705889"/>
      <w:r>
        <w:rPr>
          <w:rStyle w:val="CharPartNo"/>
        </w:rPr>
        <w:lastRenderedPageBreak/>
        <w:t>Part 3</w:t>
      </w:r>
      <w:r>
        <w:rPr>
          <w:rStyle w:val="CharDivNo"/>
        </w:rPr>
        <w:t> </w:t>
      </w:r>
      <w:r>
        <w:t>—</w:t>
      </w:r>
      <w:r>
        <w:rPr>
          <w:rStyle w:val="CharDivText"/>
        </w:rPr>
        <w:t> </w:t>
      </w:r>
      <w:r>
        <w:rPr>
          <w:rStyle w:val="CharPartText"/>
        </w:rPr>
        <w:t>Procedure for obtaining progress payments</w:t>
      </w:r>
      <w:bookmarkEnd w:id="12"/>
      <w:bookmarkEnd w:id="13"/>
    </w:p>
    <w:p>
      <w:pPr>
        <w:pStyle w:val="Heading5"/>
      </w:pPr>
      <w:bookmarkStart w:id="14" w:name="_Toc125705890"/>
      <w:r>
        <w:rPr>
          <w:rStyle w:val="CharSectno"/>
        </w:rPr>
        <w:t>6</w:t>
      </w:r>
      <w:r>
        <w:t>.</w:t>
      </w:r>
      <w:r>
        <w:tab/>
        <w:t>Form of homeowner’s notice to be included in payment claim</w:t>
      </w:r>
      <w:bookmarkEnd w:id="14"/>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15" w:name="_Toc125705891"/>
      <w:r>
        <w:rPr>
          <w:rStyle w:val="CharSectno"/>
        </w:rPr>
        <w:t>7</w:t>
      </w:r>
      <w:r>
        <w:t>.</w:t>
      </w:r>
      <w:r>
        <w:tab/>
        <w:t>Additional kinds of conflicts of interests of adjudicators</w:t>
      </w:r>
      <w:bookmarkEnd w:id="15"/>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16" w:name="_Toc125705892"/>
      <w:r>
        <w:rPr>
          <w:rStyle w:val="CharSectno"/>
        </w:rPr>
        <w:lastRenderedPageBreak/>
        <w:t>8</w:t>
      </w:r>
      <w:r>
        <w:t>.</w:t>
      </w:r>
      <w:r>
        <w:tab/>
        <w:t>Threshold for review of adjudication</w:t>
      </w:r>
      <w:bookmarkEnd w:id="16"/>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17" w:name="_Toc125705893"/>
      <w:r>
        <w:rPr>
          <w:rStyle w:val="CharSectno"/>
        </w:rPr>
        <w:t>9</w:t>
      </w:r>
      <w:r>
        <w:t>.</w:t>
      </w:r>
      <w:r>
        <w:tab/>
        <w:t>Maximum adjudication fees and expenses of adjudicators</w:t>
      </w:r>
      <w:bookmarkEnd w:id="17"/>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lastRenderedPageBreak/>
        <w:tab/>
        <w:t>(3)</w:t>
      </w:r>
      <w:r>
        <w:tab/>
        <w:t>This regulation does not apply to the fees and expenses of a review adjudicator in connection with an adjudication review application.</w:t>
      </w:r>
    </w:p>
    <w:p>
      <w:pPr>
        <w:pStyle w:val="Ednotesection"/>
      </w:pPr>
      <w:r>
        <w:t>[</w:t>
      </w:r>
      <w:r>
        <w:rPr>
          <w:b/>
        </w:rPr>
        <w:t>10.</w:t>
      </w:r>
      <w:r>
        <w:tab/>
        <w:t>Has not come into operation.]</w:t>
      </w:r>
    </w:p>
    <w:p>
      <w:pPr>
        <w:pStyle w:val="Heading2"/>
      </w:pPr>
      <w:bookmarkStart w:id="18" w:name="_Ref100740229"/>
      <w:bookmarkStart w:id="19" w:name="_Toc104209640"/>
      <w:bookmarkStart w:id="20" w:name="_Toc104212960"/>
      <w:bookmarkStart w:id="21" w:name="_Toc104276781"/>
      <w:bookmarkStart w:id="22" w:name="_Toc104277188"/>
      <w:bookmarkStart w:id="23" w:name="_Toc106098101"/>
      <w:bookmarkStart w:id="24" w:name="_Toc125362523"/>
      <w:bookmarkStart w:id="25" w:name="_Toc125705894"/>
      <w:r>
        <w:rPr>
          <w:rStyle w:val="CharPartNo"/>
        </w:rPr>
        <w:lastRenderedPageBreak/>
        <w:t>Part 4</w:t>
      </w:r>
      <w:r>
        <w:rPr>
          <w:rStyle w:val="CharDivNo"/>
        </w:rPr>
        <w:t> </w:t>
      </w:r>
      <w:r>
        <w:t>—</w:t>
      </w:r>
      <w:r>
        <w:rPr>
          <w:rStyle w:val="CharDivText"/>
        </w:rPr>
        <w:t> </w:t>
      </w:r>
      <w:r>
        <w:rPr>
          <w:rStyle w:val="CharPartText"/>
        </w:rPr>
        <w:t>Retention money trusts</w:t>
      </w:r>
      <w:bookmarkEnd w:id="18"/>
      <w:bookmarkEnd w:id="19"/>
      <w:bookmarkEnd w:id="20"/>
      <w:bookmarkEnd w:id="21"/>
      <w:bookmarkEnd w:id="22"/>
      <w:bookmarkEnd w:id="23"/>
      <w:bookmarkEnd w:id="24"/>
      <w:bookmarkEnd w:id="25"/>
    </w:p>
    <w:p>
      <w:pPr>
        <w:pStyle w:val="Heading5"/>
      </w:pPr>
      <w:bookmarkStart w:id="26" w:name="_Toc104277189"/>
      <w:bookmarkStart w:id="27" w:name="_Toc106098102"/>
      <w:bookmarkStart w:id="28" w:name="_Toc125705895"/>
      <w:r>
        <w:rPr>
          <w:rStyle w:val="CharSectno"/>
        </w:rPr>
        <w:t>11</w:t>
      </w:r>
      <w:r>
        <w:t>.</w:t>
      </w:r>
      <w:r>
        <w:tab/>
        <w:t>Prescribed retention money threshold for trust scheme</w:t>
      </w:r>
      <w:bookmarkEnd w:id="26"/>
      <w:bookmarkEnd w:id="27"/>
      <w:bookmarkEnd w:id="28"/>
    </w:p>
    <w:p>
      <w:pPr>
        <w:pStyle w:val="Subsection"/>
      </w:pPr>
      <w:r>
        <w:tab/>
      </w:r>
      <w:r>
        <w:tab/>
        <w:t>For the purposes of section 70(1)(b), the prescribed retention money threshold is —</w:t>
      </w:r>
    </w:p>
    <w:p>
      <w:pPr>
        <w:pStyle w:val="Indenta"/>
      </w:pPr>
      <w:r>
        <w:tab/>
        <w:t>(a)</w:t>
      </w:r>
      <w:r>
        <w:tab/>
        <w:t>in the case of a construction contract entered into on or after 1 February 2023 and before 1 February 2024 — $1 000 000; or</w:t>
      </w:r>
    </w:p>
    <w:p>
      <w:pPr>
        <w:pStyle w:val="Indenta"/>
      </w:pPr>
      <w:r>
        <w:tab/>
        <w:t>(b)</w:t>
      </w:r>
      <w:r>
        <w:tab/>
        <w:t>in the case of a construction contract entered into on or after 1 February 2024 — $20 000.</w:t>
      </w:r>
    </w:p>
    <w:p>
      <w:pPr>
        <w:pStyle w:val="Heading5"/>
      </w:pPr>
      <w:bookmarkStart w:id="29" w:name="_Toc104277190"/>
      <w:bookmarkStart w:id="30" w:name="_Toc106098103"/>
      <w:bookmarkStart w:id="31" w:name="_Toc125705896"/>
      <w:r>
        <w:rPr>
          <w:rStyle w:val="CharSectno"/>
        </w:rPr>
        <w:t>12</w:t>
      </w:r>
      <w:r>
        <w:t>.</w:t>
      </w:r>
      <w:r>
        <w:tab/>
        <w:t>Exclusion of small</w:t>
      </w:r>
      <w:r>
        <w:noBreakHyphen/>
        <w:t>scale residential contracts from retention money trust scheme</w:t>
      </w:r>
      <w:bookmarkEnd w:id="29"/>
      <w:bookmarkEnd w:id="30"/>
      <w:bookmarkEnd w:id="31"/>
    </w:p>
    <w:p>
      <w:pPr>
        <w:pStyle w:val="Subsection"/>
      </w:pPr>
      <w:r>
        <w:tab/>
        <w:t>(1)</w:t>
      </w:r>
      <w:r>
        <w:tab/>
        <w:t xml:space="preserve">In this regulation — </w:t>
      </w:r>
    </w:p>
    <w:p>
      <w:pPr>
        <w:pStyle w:val="Defstart"/>
      </w:pPr>
      <w:r>
        <w:tab/>
      </w:r>
      <w:r>
        <w:rPr>
          <w:rStyle w:val="CharDefText"/>
        </w:rPr>
        <w:t>associated structure</w:t>
      </w:r>
      <w:r>
        <w:t xml:space="preserve"> means a granny flat, shed, patio, deck, pergola, carport, driveway, swimming pool or similar kind of structure;</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dwelling</w:t>
      </w:r>
      <w:r>
        <w:t xml:space="preserve"> means a building occupied or intended for occupation solely or mainly as a place of residence;</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For the purposes of section 70(1)(d), a construction contract for home building work that is a small</w:t>
      </w:r>
      <w:r>
        <w:noBreakHyphen/>
        <w:t>scale residential contract is excluded from Part 4 of the Act.</w:t>
      </w:r>
    </w:p>
    <w:p>
      <w:pPr>
        <w:pStyle w:val="Subsection"/>
        <w:keepNext/>
      </w:pPr>
      <w:r>
        <w:tab/>
        <w:t>(3)</w:t>
      </w:r>
      <w:r>
        <w:tab/>
        <w:t xml:space="preserve">A </w:t>
      </w:r>
      <w:r>
        <w:rPr>
          <w:rStyle w:val="CharDefText"/>
        </w:rPr>
        <w:t>small</w:t>
      </w:r>
      <w:r>
        <w:rPr>
          <w:rStyle w:val="CharDefText"/>
        </w:rPr>
        <w:noBreakHyphen/>
        <w:t>scale residential contract</w:t>
      </w:r>
      <w:r>
        <w:t xml:space="preserve"> is — </w:t>
      </w:r>
    </w:p>
    <w:p>
      <w:pPr>
        <w:pStyle w:val="Indenta"/>
      </w:pPr>
      <w:r>
        <w:tab/>
        <w:t>(a)</w:t>
      </w:r>
      <w:r>
        <w:tab/>
        <w:t>a construction contract in respect of a single dwelling between a head contractor and a subcontractor or between 2 subcontractors; or</w:t>
      </w:r>
    </w:p>
    <w:p>
      <w:pPr>
        <w:pStyle w:val="Indenta"/>
      </w:pPr>
      <w:r>
        <w:lastRenderedPageBreak/>
        <w:tab/>
        <w:t>(b)</w:t>
      </w:r>
      <w:r>
        <w:tab/>
        <w:t>a construction contract for an associated structure connected to, or on the same lot as, an existing or proposed single dwelling; or</w:t>
      </w:r>
    </w:p>
    <w:p>
      <w:pPr>
        <w:pStyle w:val="Indenta"/>
      </w:pPr>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p>
    <w:p>
      <w:pPr>
        <w:pStyle w:val="Subsection"/>
        <w:keepNext/>
      </w:pPr>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p>
    <w:p>
      <w:pPr>
        <w:pStyle w:val="Indenta"/>
      </w:pPr>
      <w:r>
        <w:tab/>
        <w:t>(a)</w:t>
      </w:r>
      <w:r>
        <w:tab/>
        <w:t>the parties to the construction contracts are the same; and</w:t>
      </w:r>
    </w:p>
    <w:p>
      <w:pPr>
        <w:pStyle w:val="Indenta"/>
      </w:pPr>
      <w:r>
        <w:tab/>
        <w:t>(b)</w:t>
      </w:r>
      <w:r>
        <w:tab/>
        <w:t>the work is to be carried out at the same lot or at adjacent lots; and</w:t>
      </w:r>
    </w:p>
    <w:p>
      <w:pPr>
        <w:pStyle w:val="Indenta"/>
      </w:pPr>
      <w:r>
        <w:tab/>
        <w:t>(c)</w:t>
      </w:r>
      <w:r>
        <w:tab/>
        <w:t>a single construction contract could have been entered into for the work; and</w:t>
      </w:r>
    </w:p>
    <w:p>
      <w:pPr>
        <w:pStyle w:val="Indenta"/>
      </w:pPr>
      <w:r>
        <w:tab/>
        <w:t>(d)</w:t>
      </w:r>
      <w:r>
        <w:tab/>
        <w:t>the construction contracts were not entered into after separate tender processes.</w:t>
      </w:r>
    </w:p>
    <w:p>
      <w:pPr>
        <w:pStyle w:val="PermNoteHeading"/>
      </w:pPr>
      <w:r>
        <w:tab/>
        <w:t>Note for this regulation:</w:t>
      </w:r>
    </w:p>
    <w:p>
      <w:pPr>
        <w:pStyle w:val="PermNoteText"/>
      </w:pPr>
      <w:r>
        <w:tab/>
      </w:r>
      <w:r>
        <w:tab/>
        <w:t xml:space="preserve">Section 70(2) also excludes certain other construction contracts for home building work from the retention money trust scheme in Part 4 of the Act. </w:t>
      </w:r>
    </w:p>
    <w:p>
      <w:pPr>
        <w:pStyle w:val="Heading5"/>
      </w:pPr>
      <w:bookmarkStart w:id="32" w:name="_Toc104277191"/>
      <w:bookmarkStart w:id="33" w:name="_Toc106098104"/>
      <w:bookmarkStart w:id="34" w:name="_Toc125705897"/>
      <w:r>
        <w:rPr>
          <w:rStyle w:val="CharSectno"/>
        </w:rPr>
        <w:t>13</w:t>
      </w:r>
      <w:r>
        <w:t>.</w:t>
      </w:r>
      <w:r>
        <w:tab/>
        <w:t>Withdrawal from retention money trust account of interest earned before release</w:t>
      </w:r>
      <w:bookmarkEnd w:id="32"/>
      <w:bookmarkEnd w:id="33"/>
      <w:bookmarkEnd w:id="34"/>
    </w:p>
    <w:p>
      <w:pPr>
        <w:pStyle w:val="Subsection"/>
      </w:pPr>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p>
    <w:p>
      <w:pPr>
        <w:pStyle w:val="Subsection"/>
        <w:keepNext/>
      </w:pPr>
      <w:r>
        <w:lastRenderedPageBreak/>
        <w:tab/>
        <w:t>(2)</w:t>
      </w:r>
      <w:r>
        <w:tab/>
        <w:t xml:space="preserve">For the purposes of section 76(4), a withdrawal from the account under subregulation (1) — </w:t>
      </w:r>
    </w:p>
    <w:p>
      <w:pPr>
        <w:pStyle w:val="Indenta"/>
      </w:pPr>
      <w:r>
        <w:tab/>
        <w:t>(a)</w:t>
      </w:r>
      <w:r>
        <w:tab/>
        <w:t>before the retention money trust end date — may not be made more frequently than once every 6 months; and</w:t>
      </w:r>
    </w:p>
    <w:p>
      <w:pPr>
        <w:pStyle w:val="Indenta"/>
      </w:pPr>
      <w:r>
        <w:tab/>
        <w:t>(b)</w:t>
      </w:r>
      <w:r>
        <w:tab/>
        <w:t>on or after the retention money trust end date — may be made at any time.</w:t>
      </w:r>
    </w:p>
    <w:p>
      <w:pPr>
        <w:pStyle w:val="PermNoteHeading"/>
      </w:pPr>
      <w:r>
        <w:tab/>
        <w:t>Note for this regulation:</w:t>
      </w:r>
    </w:p>
    <w:p>
      <w:pPr>
        <w:pStyle w:val="PermNoteText"/>
      </w:pPr>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p>
    <w:p>
      <w:pPr>
        <w:pStyle w:val="Heading5"/>
      </w:pPr>
      <w:bookmarkStart w:id="35" w:name="_Toc104277192"/>
      <w:bookmarkStart w:id="36" w:name="_Toc106098105"/>
      <w:bookmarkStart w:id="37" w:name="_Toc125705898"/>
      <w:r>
        <w:rPr>
          <w:rStyle w:val="CharSectno"/>
        </w:rPr>
        <w:t>14</w:t>
      </w:r>
      <w:r>
        <w:t>.</w:t>
      </w:r>
      <w:r>
        <w:tab/>
        <w:t>Redaction of information relating to identity of other beneficiaries from trust accounts when inspected or copied (s. 79(4))</w:t>
      </w:r>
      <w:bookmarkEnd w:id="35"/>
      <w:bookmarkEnd w:id="36"/>
      <w:bookmarkEnd w:id="37"/>
    </w:p>
    <w:p>
      <w:pPr>
        <w:pStyle w:val="Subsection"/>
      </w:pPr>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p>
    <w:p>
      <w:pPr>
        <w:pStyle w:val="Indenta"/>
      </w:pPr>
      <w:r>
        <w:tab/>
        <w:t>(a)</w:t>
      </w:r>
      <w:r>
        <w:tab/>
        <w:t>the name of another beneficiary of money in the account; and</w:t>
      </w:r>
    </w:p>
    <w:p>
      <w:pPr>
        <w:pStyle w:val="Indenta"/>
      </w:pPr>
      <w:r>
        <w:tab/>
        <w:t>(b)</w:t>
      </w:r>
      <w:r>
        <w:tab/>
        <w:t>any other information that identifies the other beneficiary.</w:t>
      </w:r>
    </w:p>
    <w:p>
      <w:pPr>
        <w:pStyle w:val="Subsection"/>
      </w:pPr>
      <w:r>
        <w:tab/>
        <w:t>(2)</w:t>
      </w:r>
      <w:r>
        <w:tab/>
        <w:t>This regulation does not authorise the redaction of information about the amount of money in which the other beneficiary has a beneficial interest.</w:t>
      </w:r>
    </w:p>
    <w:p>
      <w:pPr>
        <w:pStyle w:val="Heading2"/>
      </w:pPr>
      <w:bookmarkStart w:id="38" w:name="_Toc125362528"/>
      <w:bookmarkStart w:id="39" w:name="_Toc125705899"/>
      <w:r>
        <w:rPr>
          <w:rStyle w:val="CharPartNo"/>
        </w:rPr>
        <w:lastRenderedPageBreak/>
        <w:t>Part 5</w:t>
      </w:r>
      <w:r>
        <w:rPr>
          <w:rStyle w:val="CharDivNo"/>
        </w:rPr>
        <w:t> </w:t>
      </w:r>
      <w:r>
        <w:t>—</w:t>
      </w:r>
      <w:r>
        <w:rPr>
          <w:rStyle w:val="CharDivText"/>
        </w:rPr>
        <w:t> </w:t>
      </w:r>
      <w:r>
        <w:rPr>
          <w:rStyle w:val="CharPartText"/>
        </w:rPr>
        <w:t>Nominating authorities, adjudicators and review adjudicators</w:t>
      </w:r>
      <w:bookmarkEnd w:id="38"/>
      <w:bookmarkEnd w:id="39"/>
    </w:p>
    <w:p>
      <w:pPr>
        <w:pStyle w:val="Heading5"/>
      </w:pPr>
      <w:bookmarkStart w:id="40" w:name="_Toc125705900"/>
      <w:r>
        <w:rPr>
          <w:rStyle w:val="CharSectno"/>
        </w:rPr>
        <w:t>15</w:t>
      </w:r>
      <w:r>
        <w:t>.</w:t>
      </w:r>
      <w:r>
        <w:tab/>
        <w:t>Fees prescribed</w:t>
      </w:r>
      <w:bookmarkEnd w:id="40"/>
    </w:p>
    <w:p>
      <w:pPr>
        <w:pStyle w:val="Subsection"/>
      </w:pPr>
      <w:r>
        <w:tab/>
      </w:r>
      <w:r>
        <w:tab/>
        <w:t>The Table sets out the fees payable for the purposes of the Act.</w:t>
      </w:r>
    </w:p>
    <w:p>
      <w:pPr>
        <w:pStyle w:val="THeadingNAm"/>
      </w:pPr>
      <w:r>
        <w:t>Table</w:t>
      </w:r>
    </w:p>
    <w:tbl>
      <w:tblPr>
        <w:tblW w:w="6188"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0"/>
        <w:gridCol w:w="3074"/>
        <w:gridCol w:w="1134"/>
      </w:tblGrid>
      <w:tr>
        <w:trPr>
          <w:tblHeader/>
        </w:trPr>
        <w:tc>
          <w:tcPr>
            <w:tcW w:w="1980" w:type="dxa"/>
            <w:noWrap/>
          </w:tcPr>
          <w:p>
            <w:pPr>
              <w:pStyle w:val="TableNAm"/>
              <w:jc w:val="center"/>
              <w:rPr>
                <w:b/>
                <w:bCs/>
              </w:rPr>
            </w:pPr>
            <w:r>
              <w:rPr>
                <w:b/>
                <w:bCs/>
              </w:rPr>
              <w:t>Provision under which fee prescribed</w:t>
            </w:r>
          </w:p>
        </w:tc>
        <w:tc>
          <w:tcPr>
            <w:tcW w:w="3074" w:type="dxa"/>
            <w:noWrap/>
          </w:tcPr>
          <w:p>
            <w:pPr>
              <w:pStyle w:val="TableNAm"/>
              <w:jc w:val="center"/>
              <w:rPr>
                <w:b/>
                <w:bCs/>
              </w:rPr>
            </w:pPr>
            <w:r>
              <w:rPr>
                <w:b/>
                <w:bCs/>
              </w:rPr>
              <w:t>Description of fee</w:t>
            </w:r>
          </w:p>
        </w:tc>
        <w:tc>
          <w:tcPr>
            <w:tcW w:w="1134" w:type="dxa"/>
            <w:noWrap/>
          </w:tcPr>
          <w:p>
            <w:pPr>
              <w:pStyle w:val="TableNAm"/>
              <w:jc w:val="center"/>
              <w:rPr>
                <w:b/>
                <w:bCs/>
              </w:rPr>
            </w:pPr>
            <w:r>
              <w:rPr>
                <w:b/>
                <w:bCs/>
              </w:rPr>
              <w:t>Amount of fee</w:t>
            </w:r>
          </w:p>
        </w:tc>
      </w:tr>
      <w:tr>
        <w:tc>
          <w:tcPr>
            <w:tcW w:w="1980" w:type="dxa"/>
            <w:noWrap/>
          </w:tcPr>
          <w:p>
            <w:pPr>
              <w:pStyle w:val="TableNAm"/>
            </w:pPr>
            <w:r>
              <w:t>Section 88(2)(b)</w:t>
            </w:r>
          </w:p>
        </w:tc>
        <w:tc>
          <w:tcPr>
            <w:tcW w:w="3074" w:type="dxa"/>
            <w:noWrap/>
          </w:tcPr>
          <w:p>
            <w:pPr>
              <w:pStyle w:val="TableNAm"/>
            </w:pPr>
            <w:r>
              <w:t>Application fee for authorisation as nominating authority</w:t>
            </w:r>
          </w:p>
        </w:tc>
        <w:tc>
          <w:tcPr>
            <w:tcW w:w="1134" w:type="dxa"/>
            <w:noWrap/>
            <w:vAlign w:val="bottom"/>
          </w:tcPr>
          <w:p>
            <w:pPr>
              <w:pStyle w:val="TableNAm"/>
              <w:tabs>
                <w:tab w:val="clear" w:pos="567"/>
              </w:tabs>
              <w:ind w:right="232"/>
              <w:jc w:val="right"/>
            </w:pPr>
            <w:r>
              <w:t>$915</w:t>
            </w:r>
          </w:p>
        </w:tc>
      </w:tr>
      <w:tr>
        <w:tc>
          <w:tcPr>
            <w:tcW w:w="1980" w:type="dxa"/>
            <w:noWrap/>
          </w:tcPr>
          <w:p>
            <w:pPr>
              <w:pStyle w:val="TableNAm"/>
            </w:pPr>
            <w:r>
              <w:t>Section 100(3)(b)</w:t>
            </w:r>
          </w:p>
        </w:tc>
        <w:tc>
          <w:tcPr>
            <w:tcW w:w="3074" w:type="dxa"/>
            <w:noWrap/>
          </w:tcPr>
          <w:p>
            <w:pPr>
              <w:pStyle w:val="TableNAm"/>
            </w:pPr>
            <w:r>
              <w:t>Application fee for registration as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review adjudicator</w:t>
            </w:r>
          </w:p>
        </w:tc>
        <w:tc>
          <w:tcPr>
            <w:tcW w:w="1134" w:type="dxa"/>
            <w:noWrap/>
            <w:vAlign w:val="bottom"/>
          </w:tcPr>
          <w:p>
            <w:pPr>
              <w:pStyle w:val="TableNAm"/>
              <w:tabs>
                <w:tab w:val="clear" w:pos="567"/>
              </w:tabs>
              <w:ind w:right="232"/>
              <w:jc w:val="right"/>
            </w:pPr>
            <w:r>
              <w:t>$89</w:t>
            </w:r>
          </w:p>
        </w:tc>
      </w:tr>
      <w:tr>
        <w:tc>
          <w:tcPr>
            <w:tcW w:w="1980" w:type="dxa"/>
            <w:noWrap/>
          </w:tcPr>
          <w:p>
            <w:pPr>
              <w:pStyle w:val="TableNAm"/>
            </w:pPr>
            <w:r>
              <w:t>Section 100(3)(b)</w:t>
            </w:r>
          </w:p>
        </w:tc>
        <w:tc>
          <w:tcPr>
            <w:tcW w:w="3074" w:type="dxa"/>
            <w:noWrap/>
          </w:tcPr>
          <w:p>
            <w:pPr>
              <w:pStyle w:val="TableNAm"/>
            </w:pPr>
            <w:r>
              <w:t>Application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$178</w:t>
            </w:r>
          </w:p>
        </w:tc>
      </w:tr>
      <w:tr>
        <w:tc>
          <w:tcPr>
            <w:tcW w:w="1980" w:type="dxa"/>
            <w:noWrap/>
          </w:tcPr>
          <w:p>
            <w:pPr>
              <w:pStyle w:val="TableNAm"/>
            </w:pPr>
            <w:r>
              <w:t>Section 100(3)(c)</w:t>
            </w:r>
          </w:p>
        </w:tc>
        <w:tc>
          <w:tcPr>
            <w:tcW w:w="3074" w:type="dxa"/>
            <w:noWrap/>
          </w:tcPr>
          <w:p>
            <w:pPr>
              <w:pStyle w:val="TableNAm"/>
            </w:pPr>
            <w:r>
              <w:t>Registration fee for registration as adjudicator</w:t>
            </w:r>
          </w:p>
        </w:tc>
        <w:tc>
          <w:tcPr>
            <w:tcW w:w="1134" w:type="dxa"/>
            <w:noWrap/>
            <w:vAlign w:val="bottom"/>
          </w:tcPr>
          <w:p>
            <w:pPr>
              <w:pStyle w:val="TableNAm"/>
              <w:tabs>
                <w:tab w:val="clear" w:pos="567"/>
              </w:tabs>
              <w:ind w:right="232"/>
              <w:jc w:val="right"/>
            </w:pPr>
            <w:r>
              <w:t>$356</w:t>
            </w:r>
          </w:p>
        </w:tc>
      </w:tr>
      <w:tr>
        <w:tc>
          <w:tcPr>
            <w:tcW w:w="1980" w:type="dxa"/>
            <w:noWrap/>
          </w:tcPr>
          <w:p>
            <w:pPr>
              <w:pStyle w:val="TableNAm"/>
            </w:pPr>
            <w:r>
              <w:t>Section 100(3)(c)</w:t>
            </w:r>
          </w:p>
        </w:tc>
        <w:tc>
          <w:tcPr>
            <w:tcW w:w="3074" w:type="dxa"/>
            <w:noWrap/>
          </w:tcPr>
          <w:p>
            <w:pPr>
              <w:pStyle w:val="TableNAm"/>
            </w:pPr>
            <w:r>
              <w:t>Registration fee for registration as review adjudicator</w:t>
            </w:r>
          </w:p>
        </w:tc>
        <w:tc>
          <w:tcPr>
            <w:tcW w:w="1134" w:type="dxa"/>
            <w:noWrap/>
            <w:vAlign w:val="bottom"/>
          </w:tcPr>
          <w:p>
            <w:pPr>
              <w:pStyle w:val="TableNAm"/>
              <w:tabs>
                <w:tab w:val="clear" w:pos="567"/>
              </w:tabs>
              <w:ind w:right="232"/>
              <w:jc w:val="right"/>
            </w:pPr>
            <w:r>
              <w:t>$356</w:t>
            </w:r>
          </w:p>
        </w:tc>
      </w:tr>
      <w:tr>
        <w:trPr>
          <w:cantSplit/>
        </w:trPr>
        <w:tc>
          <w:tcPr>
            <w:tcW w:w="1980" w:type="dxa"/>
            <w:noWrap/>
          </w:tcPr>
          <w:p>
            <w:pPr>
              <w:pStyle w:val="TableNAm"/>
            </w:pPr>
            <w:r>
              <w:lastRenderedPageBreak/>
              <w:t>Section 100(3)(c)</w:t>
            </w:r>
          </w:p>
        </w:tc>
        <w:tc>
          <w:tcPr>
            <w:tcW w:w="3074" w:type="dxa"/>
            <w:noWrap/>
          </w:tcPr>
          <w:p>
            <w:pPr>
              <w:pStyle w:val="TableNAm"/>
            </w:pPr>
            <w:r>
              <w:t>Registration fee for registration as both adjudicator and review adjudicator</w:t>
            </w:r>
          </w:p>
        </w:tc>
        <w:tc>
          <w:tcPr>
            <w:tcW w:w="1134" w:type="dxa"/>
            <w:noWrap/>
            <w:vAlign w:val="bottom"/>
          </w:tcPr>
          <w:p>
            <w:pPr>
              <w:pStyle w:val="TableNAm"/>
              <w:tabs>
                <w:tab w:val="clear" w:pos="567"/>
              </w:tabs>
              <w:ind w:right="232"/>
              <w:jc w:val="right"/>
              <w:rPr>
                <w:highlight w:val="yellow"/>
              </w:rPr>
            </w:pPr>
            <w:r>
              <w:t>$712</w:t>
            </w:r>
          </w:p>
        </w:tc>
      </w:tr>
    </w:tbl>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Heading5"/>
      </w:pPr>
      <w:bookmarkStart w:id="41" w:name="_Toc125705901"/>
      <w:r>
        <w:rPr>
          <w:rStyle w:val="CharSectno"/>
        </w:rPr>
        <w:t>16</w:t>
      </w:r>
      <w:r>
        <w:t>.</w:t>
      </w:r>
      <w:r>
        <w:tab/>
        <w:t>Refund of registration fees</w:t>
      </w:r>
      <w:bookmarkEnd w:id="41"/>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42" w:name="_Toc125705902"/>
      <w:r>
        <w:rPr>
          <w:rStyle w:val="CharSectno"/>
        </w:rPr>
        <w:t>17</w:t>
      </w:r>
      <w:r>
        <w:t>.</w:t>
      </w:r>
      <w:r>
        <w:tab/>
        <w:t>Code of practice for authorised nominating authorities (s. 97)</w:t>
      </w:r>
      <w:bookmarkEnd w:id="42"/>
    </w:p>
    <w:p>
      <w:pPr>
        <w:pStyle w:val="Subsection"/>
      </w:pPr>
      <w:r>
        <w:tab/>
      </w:r>
      <w:r>
        <w:tab/>
        <w:t>The code of practice set out in Schedule 2 applies to the performance of the functions under the Act of authorised nominating authorities.</w:t>
      </w:r>
    </w:p>
    <w:p>
      <w:pPr>
        <w:pStyle w:val="Heading5"/>
      </w:pPr>
      <w:bookmarkStart w:id="43" w:name="_Toc125705903"/>
      <w:r>
        <w:rPr>
          <w:rStyle w:val="CharSectno"/>
        </w:rPr>
        <w:t>18</w:t>
      </w:r>
      <w:r>
        <w:t>.</w:t>
      </w:r>
      <w:r>
        <w:tab/>
        <w:t>Qualifications for registration as adjudicators or review adjudicators (s. 102(1)(a) and (2)(b))</w:t>
      </w:r>
      <w:bookmarkEnd w:id="43"/>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w:t>
      </w:r>
      <w:r>
        <w:lastRenderedPageBreak/>
        <w:t xml:space="preserve">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lastRenderedPageBreak/>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44" w:name="_Toc125705904"/>
      <w:r>
        <w:rPr>
          <w:rStyle w:val="CharSectno"/>
        </w:rPr>
        <w:t>19</w:t>
      </w:r>
      <w:r>
        <w:t>.</w:t>
      </w:r>
      <w:r>
        <w:tab/>
        <w:t>Experience for registration as adjudicators or review adjudicators (s. 102(1)(a) and (2)(b))</w:t>
      </w:r>
      <w:bookmarkEnd w:id="44"/>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lastRenderedPageBreak/>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45" w:name="_Toc125705905"/>
      <w:r>
        <w:rPr>
          <w:rStyle w:val="CharSectno"/>
        </w:rPr>
        <w:t>20</w:t>
      </w:r>
      <w:r>
        <w:t>.</w:t>
      </w:r>
      <w:r>
        <w:tab/>
        <w:t>Grading of adjudicators (s. 101(4))</w:t>
      </w:r>
      <w:bookmarkEnd w:id="45"/>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lastRenderedPageBreak/>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46" w:name="_Toc125705906"/>
      <w:r>
        <w:rPr>
          <w:rStyle w:val="CharSectno"/>
        </w:rPr>
        <w:lastRenderedPageBreak/>
        <w:t>21</w:t>
      </w:r>
      <w:r>
        <w:t>.</w:t>
      </w:r>
      <w:r>
        <w:tab/>
        <w:t>Code of practice for adjudicators and review adjudicators (s. 109)</w:t>
      </w:r>
      <w:bookmarkEnd w:id="46"/>
    </w:p>
    <w:p>
      <w:pPr>
        <w:pStyle w:val="Subsection"/>
      </w:pPr>
      <w:r>
        <w:tab/>
      </w:r>
      <w:r>
        <w:tab/>
        <w:t>The code of practice set out in Schedule 3 applies to the performance of the functions under the Act of adjudicators and review adjudicators.</w:t>
      </w:r>
    </w:p>
    <w:p>
      <w:pPr>
        <w:pStyle w:val="Heading2"/>
      </w:pPr>
      <w:bookmarkStart w:id="47" w:name="_Toc125362536"/>
      <w:bookmarkStart w:id="48" w:name="_Toc125705907"/>
      <w:r>
        <w:rPr>
          <w:rStyle w:val="CharPartNo"/>
        </w:rPr>
        <w:lastRenderedPageBreak/>
        <w:t>Part 6</w:t>
      </w:r>
      <w:r>
        <w:rPr>
          <w:rStyle w:val="CharDivNo"/>
        </w:rPr>
        <w:t> </w:t>
      </w:r>
      <w:r>
        <w:t>—</w:t>
      </w:r>
      <w:r>
        <w:rPr>
          <w:rStyle w:val="CharDivText"/>
        </w:rPr>
        <w:t> </w:t>
      </w:r>
      <w:r>
        <w:rPr>
          <w:rStyle w:val="CharPartText"/>
        </w:rPr>
        <w:t>Miscellaneous</w:t>
      </w:r>
      <w:bookmarkEnd w:id="47"/>
      <w:bookmarkEnd w:id="48"/>
    </w:p>
    <w:p>
      <w:pPr>
        <w:pStyle w:val="Heading5"/>
      </w:pPr>
      <w:bookmarkStart w:id="49" w:name="_Toc125705908"/>
      <w:r>
        <w:rPr>
          <w:rStyle w:val="CharSectno"/>
        </w:rPr>
        <w:t>22</w:t>
      </w:r>
      <w:r>
        <w:t>.</w:t>
      </w:r>
      <w:r>
        <w:tab/>
        <w:t>Electronic lock</w:t>
      </w:r>
      <w:r>
        <w:noBreakHyphen/>
        <w:t>box service of documents on authorised nominating authorities (s. 113(3)(e))</w:t>
      </w:r>
      <w:bookmarkEnd w:id="49"/>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50" w:name="_Toc125705909"/>
      <w:r>
        <w:rPr>
          <w:rStyle w:val="CharSectno"/>
        </w:rPr>
        <w:t>23</w:t>
      </w:r>
      <w:r>
        <w:t>.</w:t>
      </w:r>
      <w:r>
        <w:tab/>
        <w:t>Time of service of documents (s. 113(4))</w:t>
      </w:r>
      <w:bookmarkEnd w:id="50"/>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pPr>
      <w:r>
        <w:tab/>
        <w:t>(b)</w:t>
      </w:r>
      <w:r>
        <w:tab/>
        <w:t xml:space="preserve">in the case of a document left for the person at the person’s ordinary place of business — when the </w:t>
      </w:r>
      <w:r>
        <w:lastRenderedPageBreak/>
        <w:t>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51" w:name="_Toc125705910"/>
      <w:r>
        <w:rPr>
          <w:rStyle w:val="CharSectno"/>
        </w:rPr>
        <w:t>24</w:t>
      </w:r>
      <w:r>
        <w:t>.</w:t>
      </w:r>
      <w:r>
        <w:tab/>
        <w:t>Infringement notices: prescribed offences and modified penalties</w:t>
      </w:r>
      <w:bookmarkEnd w:id="51"/>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52" w:name="_Toc125705911"/>
      <w:r>
        <w:rPr>
          <w:rStyle w:val="CharSectno"/>
        </w:rPr>
        <w:t>25</w:t>
      </w:r>
      <w:r>
        <w:t>.</w:t>
      </w:r>
      <w:r>
        <w:tab/>
        <w:t>Infringement notices: authorised officers and approved officers</w:t>
      </w:r>
      <w:bookmarkEnd w:id="52"/>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tab/>
        <w:t>(2)</w:t>
      </w:r>
      <w:r>
        <w:tab/>
        <w:t>The Building Commissioner must issue to each authorised officer a certificate, badge or identity card identifying the officer as a person authorised to issue infringement notices.</w:t>
      </w:r>
    </w:p>
    <w:p>
      <w:pPr>
        <w:pStyle w:val="Subsection"/>
      </w:pPr>
      <w:r>
        <w:lastRenderedPageBreak/>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53" w:name="_Toc125705912"/>
      <w:r>
        <w:rPr>
          <w:rStyle w:val="CharSectno"/>
        </w:rPr>
        <w:t>26</w:t>
      </w:r>
      <w:r>
        <w:t>.</w:t>
      </w:r>
      <w:r>
        <w:tab/>
        <w:t>Infringement notices: forms</w:t>
      </w:r>
      <w:bookmarkEnd w:id="53"/>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14"/>
          <w:headerReference w:type="default" r:id="rId15"/>
          <w:headerReference w:type="first" r:id="rId16"/>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4" w:name="_Toc125362542"/>
      <w:bookmarkStart w:id="55" w:name="_Toc125705913"/>
      <w:r>
        <w:rPr>
          <w:rStyle w:val="CharSchNo"/>
        </w:rPr>
        <w:lastRenderedPageBreak/>
        <w:t>Schedule 1</w:t>
      </w:r>
      <w:r>
        <w:rPr>
          <w:rStyle w:val="CharSDivNo"/>
        </w:rPr>
        <w:t> </w:t>
      </w:r>
      <w:r>
        <w:t>—</w:t>
      </w:r>
      <w:r>
        <w:rPr>
          <w:rStyle w:val="CharSDivText"/>
        </w:rPr>
        <w:t> </w:t>
      </w:r>
      <w:r>
        <w:rPr>
          <w:rStyle w:val="CharSchText"/>
        </w:rPr>
        <w:t>Form of homeowner’s notice</w:t>
      </w:r>
      <w:bookmarkEnd w:id="54"/>
      <w:bookmarkEnd w:id="55"/>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lastRenderedPageBreak/>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17"/>
          <w:headerReference w:type="default" r:id="rId18"/>
          <w:headerReference w:type="first" r:id="rId19"/>
          <w:footerReference w:type="first" r:id="rId20"/>
          <w:endnotePr>
            <w:numFmt w:val="decimal"/>
          </w:endnotePr>
          <w:pgSz w:w="11907" w:h="16840" w:code="9"/>
          <w:pgMar w:top="2381" w:right="2410" w:bottom="3544" w:left="2410" w:header="720" w:footer="3544" w:gutter="0"/>
          <w:cols w:space="720"/>
          <w:noEndnote/>
          <w:docGrid w:linePitch="326"/>
        </w:sectPr>
      </w:pPr>
    </w:p>
    <w:p>
      <w:pPr>
        <w:pStyle w:val="yScheduleHeading"/>
      </w:pPr>
      <w:bookmarkStart w:id="56" w:name="_Toc125362543"/>
      <w:bookmarkStart w:id="57" w:name="_Toc125705914"/>
      <w:r>
        <w:rPr>
          <w:rStyle w:val="CharSchNo"/>
        </w:rPr>
        <w:lastRenderedPageBreak/>
        <w:t>Schedule 2</w:t>
      </w:r>
      <w:r>
        <w:t> — </w:t>
      </w:r>
      <w:r>
        <w:rPr>
          <w:rStyle w:val="CharSchText"/>
        </w:rPr>
        <w:t>Code of practice for authorised nominating authorities</w:t>
      </w:r>
      <w:bookmarkEnd w:id="56"/>
      <w:bookmarkEnd w:id="57"/>
    </w:p>
    <w:p>
      <w:pPr>
        <w:pStyle w:val="yShoulderClause"/>
      </w:pPr>
      <w:r>
        <w:t>[r. 17]</w:t>
      </w:r>
    </w:p>
    <w:p>
      <w:pPr>
        <w:pStyle w:val="yHeading3"/>
      </w:pPr>
      <w:bookmarkStart w:id="58" w:name="_Toc125362544"/>
      <w:bookmarkStart w:id="59" w:name="_Toc125705915"/>
      <w:r>
        <w:rPr>
          <w:rStyle w:val="CharSDivNo"/>
        </w:rPr>
        <w:t>Division 1</w:t>
      </w:r>
      <w:r>
        <w:t> — </w:t>
      </w:r>
      <w:r>
        <w:rPr>
          <w:rStyle w:val="CharSDivText"/>
        </w:rPr>
        <w:t>Preliminary</w:t>
      </w:r>
      <w:bookmarkEnd w:id="58"/>
      <w:bookmarkEnd w:id="59"/>
    </w:p>
    <w:p>
      <w:pPr>
        <w:pStyle w:val="yHeading5"/>
      </w:pPr>
      <w:bookmarkStart w:id="60" w:name="_Toc125705916"/>
      <w:r>
        <w:rPr>
          <w:rStyle w:val="CharSClsNo"/>
        </w:rPr>
        <w:t>1</w:t>
      </w:r>
      <w:r>
        <w:t>.</w:t>
      </w:r>
      <w:r>
        <w:tab/>
        <w:t>Citation</w:t>
      </w:r>
      <w:bookmarkEnd w:id="60"/>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61" w:name="_Toc125705917"/>
      <w:r>
        <w:rPr>
          <w:rStyle w:val="CharSClsNo"/>
        </w:rPr>
        <w:t>2</w:t>
      </w:r>
      <w:r>
        <w:t>.</w:t>
      </w:r>
      <w:r>
        <w:tab/>
        <w:t>Terms used</w:t>
      </w:r>
      <w:bookmarkEnd w:id="61"/>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62" w:name="_Toc125705918"/>
      <w:r>
        <w:rPr>
          <w:rStyle w:val="CharSClsNo"/>
        </w:rPr>
        <w:t>3</w:t>
      </w:r>
      <w:r>
        <w:t>.</w:t>
      </w:r>
      <w:r>
        <w:tab/>
        <w:t>Compliance with code of practice</w:t>
      </w:r>
      <w:bookmarkEnd w:id="62"/>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w:t>
      </w:r>
      <w:r>
        <w:lastRenderedPageBreak/>
        <w:t xml:space="preserve">the Building Commissioner under Part 5 Division 1 of the Act (for example, in deciding to impose conditions on the authorisation of the authority or to revoke the authorisation of the authority). </w:t>
      </w:r>
    </w:p>
    <w:p>
      <w:pPr>
        <w:pStyle w:val="yHeading3"/>
      </w:pPr>
      <w:bookmarkStart w:id="63" w:name="_Toc125362548"/>
      <w:bookmarkStart w:id="64" w:name="_Toc125705919"/>
      <w:r>
        <w:rPr>
          <w:rStyle w:val="CharSDivNo"/>
        </w:rPr>
        <w:t>Division 2</w:t>
      </w:r>
      <w:r>
        <w:t> — </w:t>
      </w:r>
      <w:r>
        <w:rPr>
          <w:rStyle w:val="CharSDivText"/>
        </w:rPr>
        <w:t>Standards of business conduct</w:t>
      </w:r>
      <w:bookmarkEnd w:id="63"/>
      <w:bookmarkEnd w:id="64"/>
    </w:p>
    <w:p>
      <w:pPr>
        <w:pStyle w:val="yHeading5"/>
      </w:pPr>
      <w:bookmarkStart w:id="65" w:name="_Toc125705920"/>
      <w:r>
        <w:rPr>
          <w:rStyle w:val="CharSClsNo"/>
        </w:rPr>
        <w:t>4</w:t>
      </w:r>
      <w:r>
        <w:t>.</w:t>
      </w:r>
      <w:r>
        <w:tab/>
        <w:t>Compliance with laws</w:t>
      </w:r>
      <w:bookmarkEnd w:id="65"/>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66" w:name="_Toc125705921"/>
      <w:r>
        <w:rPr>
          <w:rStyle w:val="CharSClsNo"/>
        </w:rPr>
        <w:t>5</w:t>
      </w:r>
      <w:r>
        <w:t>.</w:t>
      </w:r>
      <w:r>
        <w:tab/>
        <w:t>Duty of care, diligence and skill</w:t>
      </w:r>
      <w:bookmarkEnd w:id="66"/>
    </w:p>
    <w:p>
      <w:pPr>
        <w:pStyle w:val="ySubsection"/>
      </w:pPr>
      <w:r>
        <w:tab/>
      </w:r>
      <w:r>
        <w:tab/>
        <w:t>An authorised nominating authority must perform its functions under the Act with all reasonable care, diligence and skill.</w:t>
      </w:r>
    </w:p>
    <w:p>
      <w:pPr>
        <w:pStyle w:val="yHeading5"/>
      </w:pPr>
      <w:bookmarkStart w:id="67" w:name="_Toc125705922"/>
      <w:r>
        <w:rPr>
          <w:rStyle w:val="CharSClsNo"/>
        </w:rPr>
        <w:t>6</w:t>
      </w:r>
      <w:r>
        <w:t>.</w:t>
      </w:r>
      <w:r>
        <w:tab/>
        <w:t>Duty to act honestly, fairly and professionally</w:t>
      </w:r>
      <w:bookmarkEnd w:id="67"/>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lastRenderedPageBreak/>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68" w:name="_Toc125705923"/>
      <w:r>
        <w:rPr>
          <w:rStyle w:val="CharSClsNo"/>
        </w:rPr>
        <w:t>7</w:t>
      </w:r>
      <w:r>
        <w:t>.</w:t>
      </w:r>
      <w:r>
        <w:tab/>
        <w:t>Duty not to direct or influence adjudicators or review adjudicators</w:t>
      </w:r>
      <w:bookmarkEnd w:id="68"/>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69" w:name="_Toc125705924"/>
      <w:r>
        <w:rPr>
          <w:rStyle w:val="CharSClsNo"/>
        </w:rPr>
        <w:t>8</w:t>
      </w:r>
      <w:r>
        <w:t>.</w:t>
      </w:r>
      <w:r>
        <w:tab/>
        <w:t>Duty not to delegate or abrogate responsibility</w:t>
      </w:r>
      <w:bookmarkEnd w:id="69"/>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70" w:name="_Toc125705925"/>
      <w:r>
        <w:rPr>
          <w:rStyle w:val="CharSClsNo"/>
        </w:rPr>
        <w:lastRenderedPageBreak/>
        <w:t>9</w:t>
      </w:r>
      <w:r>
        <w:t>.</w:t>
      </w:r>
      <w:r>
        <w:tab/>
        <w:t>Duty to ensure security of confidential information</w:t>
      </w:r>
      <w:bookmarkEnd w:id="70"/>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71" w:name="_Toc125362555"/>
      <w:bookmarkStart w:id="72" w:name="_Toc125705926"/>
      <w:r>
        <w:rPr>
          <w:rStyle w:val="CharSDivNo"/>
        </w:rPr>
        <w:t>Division 3</w:t>
      </w:r>
      <w:r>
        <w:t> — </w:t>
      </w:r>
      <w:r>
        <w:rPr>
          <w:rStyle w:val="CharSDivText"/>
        </w:rPr>
        <w:t>Conflicts of interest</w:t>
      </w:r>
      <w:bookmarkEnd w:id="71"/>
      <w:bookmarkEnd w:id="72"/>
    </w:p>
    <w:p>
      <w:pPr>
        <w:pStyle w:val="yHeading5"/>
      </w:pPr>
      <w:bookmarkStart w:id="73" w:name="_Toc125705927"/>
      <w:r>
        <w:rPr>
          <w:rStyle w:val="CharSClsNo"/>
        </w:rPr>
        <w:t>10</w:t>
      </w:r>
      <w:r>
        <w:t>.</w:t>
      </w:r>
      <w:r>
        <w:tab/>
        <w:t>Conflicts of interest policy</w:t>
      </w:r>
      <w:bookmarkEnd w:id="73"/>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74" w:name="_Toc125705928"/>
      <w:r>
        <w:rPr>
          <w:rStyle w:val="CharSClsNo"/>
        </w:rPr>
        <w:t>11</w:t>
      </w:r>
      <w:r>
        <w:t>.</w:t>
      </w:r>
      <w:r>
        <w:tab/>
        <w:t>Applications for adjudication or adjudication review must not be referred if conflict of interest</w:t>
      </w:r>
      <w:bookmarkEnd w:id="74"/>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lastRenderedPageBreak/>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75" w:name="_Toc125705929"/>
      <w:r>
        <w:rPr>
          <w:rStyle w:val="CharSClsNo"/>
        </w:rPr>
        <w:t>12</w:t>
      </w:r>
      <w:r>
        <w:t>.</w:t>
      </w:r>
      <w:r>
        <w:tab/>
        <w:t>Authorised nominating authority must not seek, accept, agree to or offer inducements</w:t>
      </w:r>
      <w:bookmarkEnd w:id="75"/>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76" w:name="_Toc125362559"/>
      <w:bookmarkStart w:id="77" w:name="_Toc125705930"/>
      <w:r>
        <w:rPr>
          <w:rStyle w:val="CharSDivNo"/>
        </w:rPr>
        <w:lastRenderedPageBreak/>
        <w:t>Division 4</w:t>
      </w:r>
      <w:r>
        <w:t> — </w:t>
      </w:r>
      <w:r>
        <w:rPr>
          <w:rStyle w:val="CharSDivText"/>
        </w:rPr>
        <w:t>Professional management arrangements</w:t>
      </w:r>
      <w:bookmarkEnd w:id="76"/>
      <w:bookmarkEnd w:id="77"/>
    </w:p>
    <w:p>
      <w:pPr>
        <w:pStyle w:val="yHeading5"/>
      </w:pPr>
      <w:bookmarkStart w:id="78" w:name="_Toc125705931"/>
      <w:r>
        <w:rPr>
          <w:rStyle w:val="CharSClsNo"/>
        </w:rPr>
        <w:t>13</w:t>
      </w:r>
      <w:r>
        <w:t>.</w:t>
      </w:r>
      <w:r>
        <w:tab/>
        <w:t>Professional management policy</w:t>
      </w:r>
      <w:bookmarkEnd w:id="78"/>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79" w:name="_Toc125362561"/>
      <w:bookmarkStart w:id="80" w:name="_Toc125705932"/>
      <w:r>
        <w:rPr>
          <w:rStyle w:val="CharSDivNo"/>
        </w:rPr>
        <w:t>Division 5</w:t>
      </w:r>
      <w:r>
        <w:t> — </w:t>
      </w:r>
      <w:r>
        <w:rPr>
          <w:rStyle w:val="CharSDivText"/>
        </w:rPr>
        <w:t>Complaints and internal disputes resolution</w:t>
      </w:r>
      <w:bookmarkEnd w:id="79"/>
      <w:bookmarkEnd w:id="80"/>
    </w:p>
    <w:p>
      <w:pPr>
        <w:pStyle w:val="yHeading5"/>
      </w:pPr>
      <w:bookmarkStart w:id="81" w:name="_Toc125705933"/>
      <w:r>
        <w:rPr>
          <w:rStyle w:val="CharSClsNo"/>
        </w:rPr>
        <w:t>14</w:t>
      </w:r>
      <w:r>
        <w:t>.</w:t>
      </w:r>
      <w:r>
        <w:tab/>
        <w:t>Complaints and internal disputes resolution policy</w:t>
      </w:r>
      <w:bookmarkEnd w:id="81"/>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82" w:name="_Toc125705934"/>
      <w:r>
        <w:rPr>
          <w:rStyle w:val="CharSClsNo"/>
        </w:rPr>
        <w:lastRenderedPageBreak/>
        <w:t>15</w:t>
      </w:r>
      <w:r>
        <w:t>.</w:t>
      </w:r>
      <w:r>
        <w:tab/>
        <w:t>Notification of Building Commissioner of complaints and internal disputes</w:t>
      </w:r>
      <w:bookmarkEnd w:id="82"/>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83" w:name="_Toc125705935"/>
      <w:r>
        <w:rPr>
          <w:rStyle w:val="CharSClsNo"/>
        </w:rPr>
        <w:t>16</w:t>
      </w:r>
      <w:r>
        <w:t>.</w:t>
      </w:r>
      <w:r>
        <w:tab/>
        <w:t>Records of complaints and internal disputes</w:t>
      </w:r>
      <w:bookmarkEnd w:id="83"/>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84" w:name="_Toc125362565"/>
      <w:bookmarkStart w:id="85" w:name="_Toc125705936"/>
      <w:r>
        <w:rPr>
          <w:rStyle w:val="CharSDivNo"/>
        </w:rPr>
        <w:lastRenderedPageBreak/>
        <w:t>Division 6</w:t>
      </w:r>
      <w:r>
        <w:t> — </w:t>
      </w:r>
      <w:r>
        <w:rPr>
          <w:rStyle w:val="CharSDivText"/>
        </w:rPr>
        <w:t>Adjudication applications</w:t>
      </w:r>
      <w:bookmarkEnd w:id="84"/>
      <w:bookmarkEnd w:id="85"/>
    </w:p>
    <w:p>
      <w:pPr>
        <w:pStyle w:val="yHeading5"/>
      </w:pPr>
      <w:bookmarkStart w:id="86" w:name="_Toc125705937"/>
      <w:r>
        <w:rPr>
          <w:rStyle w:val="CharSClsNo"/>
        </w:rPr>
        <w:t>17</w:t>
      </w:r>
      <w:r>
        <w:t>.</w:t>
      </w:r>
      <w:r>
        <w:tab/>
        <w:t>Adjudicator appointment policy</w:t>
      </w:r>
      <w:bookmarkEnd w:id="86"/>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87" w:name="_Toc125705938"/>
      <w:r>
        <w:rPr>
          <w:rStyle w:val="CharSClsNo"/>
        </w:rPr>
        <w:t>18</w:t>
      </w:r>
      <w:r>
        <w:t>.</w:t>
      </w:r>
      <w:r>
        <w:tab/>
        <w:t>Appointment of adjudicators</w:t>
      </w:r>
      <w:bookmarkEnd w:id="87"/>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lastRenderedPageBreak/>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88" w:name="_Toc125362568"/>
      <w:bookmarkStart w:id="89" w:name="_Toc125705939"/>
      <w:r>
        <w:rPr>
          <w:rStyle w:val="CharSDivNo"/>
        </w:rPr>
        <w:t>Division 7</w:t>
      </w:r>
      <w:r>
        <w:t> — </w:t>
      </w:r>
      <w:r>
        <w:rPr>
          <w:rStyle w:val="CharSDivText"/>
        </w:rPr>
        <w:t>Adjudication review applications</w:t>
      </w:r>
      <w:bookmarkEnd w:id="88"/>
      <w:bookmarkEnd w:id="89"/>
    </w:p>
    <w:p>
      <w:pPr>
        <w:pStyle w:val="yHeading5"/>
      </w:pPr>
      <w:bookmarkStart w:id="90" w:name="_Toc125705940"/>
      <w:r>
        <w:rPr>
          <w:rStyle w:val="CharSClsNo"/>
        </w:rPr>
        <w:t>19</w:t>
      </w:r>
      <w:r>
        <w:t>.</w:t>
      </w:r>
      <w:r>
        <w:tab/>
        <w:t>Review adjudicator appointment policy</w:t>
      </w:r>
      <w:bookmarkEnd w:id="90"/>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91" w:name="_Toc125705941"/>
      <w:r>
        <w:rPr>
          <w:rStyle w:val="CharSClsNo"/>
        </w:rPr>
        <w:t>20</w:t>
      </w:r>
      <w:r>
        <w:t>.</w:t>
      </w:r>
      <w:r>
        <w:tab/>
        <w:t>Appointment of review adjudicators</w:t>
      </w:r>
      <w:bookmarkEnd w:id="91"/>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lastRenderedPageBreak/>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92" w:name="_Toc125705942"/>
      <w:r>
        <w:rPr>
          <w:rStyle w:val="CharSClsNo"/>
        </w:rPr>
        <w:t>21</w:t>
      </w:r>
      <w:r>
        <w:t>.</w:t>
      </w:r>
      <w:r>
        <w:tab/>
        <w:t>Disputed adjudicated amounts and deposits or security held on trust</w:t>
      </w:r>
      <w:bookmarkEnd w:id="92"/>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lastRenderedPageBreak/>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93" w:name="_Toc125362572"/>
      <w:bookmarkStart w:id="94" w:name="_Toc125705943"/>
      <w:r>
        <w:rPr>
          <w:rStyle w:val="CharSDivNo"/>
        </w:rPr>
        <w:t>Division 8</w:t>
      </w:r>
      <w:r>
        <w:t> — </w:t>
      </w:r>
      <w:r>
        <w:rPr>
          <w:rStyle w:val="CharSDivText"/>
        </w:rPr>
        <w:t>Fees and expenses</w:t>
      </w:r>
      <w:bookmarkEnd w:id="93"/>
      <w:bookmarkEnd w:id="94"/>
    </w:p>
    <w:p>
      <w:pPr>
        <w:pStyle w:val="yHeading5"/>
      </w:pPr>
      <w:bookmarkStart w:id="95" w:name="_Toc125705944"/>
      <w:r>
        <w:rPr>
          <w:rStyle w:val="CharSClsNo"/>
        </w:rPr>
        <w:t>22</w:t>
      </w:r>
      <w:r>
        <w:t>.</w:t>
      </w:r>
      <w:r>
        <w:tab/>
        <w:t>Charging of fees and expenses</w:t>
      </w:r>
      <w:bookmarkEnd w:id="95"/>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 xml:space="preserve">Section 51(7) of the Act provides that conditions may be imposed on the authorisation of a nominating authority about the maximum amount that the authority may charge an adjudicator or review adjudicator for </w:t>
      </w:r>
      <w:r>
        <w:lastRenderedPageBreak/>
        <w:t>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96" w:name="_Toc125705945"/>
      <w:r>
        <w:rPr>
          <w:rStyle w:val="CharSClsNo"/>
        </w:rPr>
        <w:t>23</w:t>
      </w:r>
      <w:r>
        <w:t>.</w:t>
      </w:r>
      <w:r>
        <w:tab/>
        <w:t>Notification of deposit or security for adjudication fees and expenses</w:t>
      </w:r>
      <w:bookmarkEnd w:id="96"/>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97" w:name="_Toc125705946"/>
      <w:r>
        <w:rPr>
          <w:rStyle w:val="CharSClsNo"/>
        </w:rPr>
        <w:t>24</w:t>
      </w:r>
      <w:r>
        <w:t>.</w:t>
      </w:r>
      <w:r>
        <w:tab/>
        <w:t>Refund of application fee</w:t>
      </w:r>
      <w:bookmarkEnd w:id="97"/>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98" w:name="_Toc125362576"/>
      <w:bookmarkStart w:id="99" w:name="_Toc125705947"/>
      <w:r>
        <w:rPr>
          <w:rStyle w:val="CharSDivNo"/>
        </w:rPr>
        <w:lastRenderedPageBreak/>
        <w:t>Division 9</w:t>
      </w:r>
      <w:r>
        <w:t> — </w:t>
      </w:r>
      <w:r>
        <w:rPr>
          <w:rStyle w:val="CharSDivText"/>
        </w:rPr>
        <w:t>Information for Building Commissioner</w:t>
      </w:r>
      <w:bookmarkEnd w:id="98"/>
      <w:bookmarkEnd w:id="99"/>
    </w:p>
    <w:p>
      <w:pPr>
        <w:pStyle w:val="yHeading5"/>
      </w:pPr>
      <w:bookmarkStart w:id="100" w:name="_Toc125705948"/>
      <w:r>
        <w:rPr>
          <w:rStyle w:val="CharSClsNo"/>
        </w:rPr>
        <w:t>25</w:t>
      </w:r>
      <w:r>
        <w:t>.</w:t>
      </w:r>
      <w:r>
        <w:tab/>
        <w:t>Notifications to Building Commissioner</w:t>
      </w:r>
      <w:bookmarkEnd w:id="100"/>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101" w:name="_Toc125705949"/>
      <w:r>
        <w:rPr>
          <w:rStyle w:val="CharSClsNo"/>
        </w:rPr>
        <w:t>26</w:t>
      </w:r>
      <w:r>
        <w:t>.</w:t>
      </w:r>
      <w:r>
        <w:tab/>
        <w:t>Information that must be provided before surrender of authorisation</w:t>
      </w:r>
      <w:bookmarkEnd w:id="101"/>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lastRenderedPageBreak/>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102" w:name="_Toc125705950"/>
      <w:r>
        <w:rPr>
          <w:rStyle w:val="CharSClsNo"/>
        </w:rPr>
        <w:t>27</w:t>
      </w:r>
      <w:r>
        <w:t>.</w:t>
      </w:r>
      <w:r>
        <w:tab/>
        <w:t>Inspection and provision of copies of written policies of authorised nominating authorities</w:t>
      </w:r>
      <w:bookmarkEnd w:id="102"/>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103" w:name="_Toc125362580"/>
      <w:bookmarkStart w:id="104" w:name="_Toc125705951"/>
      <w:r>
        <w:rPr>
          <w:rStyle w:val="CharSDivNo"/>
        </w:rPr>
        <w:t>Division 10</w:t>
      </w:r>
      <w:r>
        <w:t> — </w:t>
      </w:r>
      <w:r>
        <w:rPr>
          <w:rStyle w:val="CharSDivText"/>
        </w:rPr>
        <w:t>Miscellaneous</w:t>
      </w:r>
      <w:bookmarkEnd w:id="103"/>
      <w:bookmarkEnd w:id="104"/>
    </w:p>
    <w:p>
      <w:pPr>
        <w:pStyle w:val="yHeading5"/>
      </w:pPr>
      <w:bookmarkStart w:id="105" w:name="_Toc125705952"/>
      <w:r>
        <w:rPr>
          <w:rStyle w:val="CharSClsNo"/>
        </w:rPr>
        <w:t>28</w:t>
      </w:r>
      <w:r>
        <w:t>.</w:t>
      </w:r>
      <w:r>
        <w:tab/>
        <w:t>Authorised nominating authority must maintain website</w:t>
      </w:r>
      <w:bookmarkEnd w:id="105"/>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lastRenderedPageBreak/>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106" w:name="_Toc125705953"/>
      <w:r>
        <w:rPr>
          <w:rStyle w:val="CharSClsNo"/>
        </w:rPr>
        <w:t>29</w:t>
      </w:r>
      <w:r>
        <w:t>.</w:t>
      </w:r>
      <w:r>
        <w:tab/>
        <w:t>Service of documents</w:t>
      </w:r>
      <w:bookmarkEnd w:id="106"/>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107" w:name="_Toc125705954"/>
      <w:r>
        <w:rPr>
          <w:rStyle w:val="CharSClsNo"/>
        </w:rPr>
        <w:t>30</w:t>
      </w:r>
      <w:r>
        <w:t>.</w:t>
      </w:r>
      <w:r>
        <w:tab/>
        <w:t>Building Commissioner’s practice notes</w:t>
      </w:r>
      <w:bookmarkEnd w:id="107"/>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108" w:name="_Toc125362584"/>
      <w:bookmarkStart w:id="109" w:name="_Toc125705955"/>
      <w:r>
        <w:rPr>
          <w:rStyle w:val="CharSchNo"/>
        </w:rPr>
        <w:lastRenderedPageBreak/>
        <w:t>Schedule 3</w:t>
      </w:r>
      <w:r>
        <w:t> — </w:t>
      </w:r>
      <w:r>
        <w:rPr>
          <w:rStyle w:val="CharSchText"/>
        </w:rPr>
        <w:t>Code of practice for adjudicators and review adjudicators</w:t>
      </w:r>
      <w:bookmarkEnd w:id="108"/>
      <w:bookmarkEnd w:id="109"/>
    </w:p>
    <w:p>
      <w:pPr>
        <w:pStyle w:val="yShoulderClause"/>
      </w:pPr>
      <w:r>
        <w:t>[r. 21]</w:t>
      </w:r>
    </w:p>
    <w:p>
      <w:pPr>
        <w:pStyle w:val="yHeading3"/>
      </w:pPr>
      <w:bookmarkStart w:id="110" w:name="_Toc125362585"/>
      <w:bookmarkStart w:id="111" w:name="_Toc125705956"/>
      <w:r>
        <w:rPr>
          <w:rStyle w:val="CharSDivNo"/>
        </w:rPr>
        <w:t>Division 1</w:t>
      </w:r>
      <w:r>
        <w:t> — </w:t>
      </w:r>
      <w:r>
        <w:rPr>
          <w:rStyle w:val="CharSDivText"/>
        </w:rPr>
        <w:t>Preliminary</w:t>
      </w:r>
      <w:bookmarkEnd w:id="110"/>
      <w:bookmarkEnd w:id="111"/>
    </w:p>
    <w:p>
      <w:pPr>
        <w:pStyle w:val="yHeading5"/>
      </w:pPr>
      <w:bookmarkStart w:id="112" w:name="_Toc125705957"/>
      <w:r>
        <w:rPr>
          <w:rStyle w:val="CharSClsNo"/>
        </w:rPr>
        <w:t>1</w:t>
      </w:r>
      <w:r>
        <w:t>.</w:t>
      </w:r>
      <w:r>
        <w:tab/>
        <w:t>Citation</w:t>
      </w:r>
      <w:bookmarkEnd w:id="112"/>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113" w:name="_Toc125705958"/>
      <w:r>
        <w:rPr>
          <w:rStyle w:val="CharSClsNo"/>
        </w:rPr>
        <w:t>2</w:t>
      </w:r>
      <w:r>
        <w:t>.</w:t>
      </w:r>
      <w:r>
        <w:tab/>
        <w:t>Terms used</w:t>
      </w:r>
      <w:bookmarkEnd w:id="113"/>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14" w:name="_Toc125705959"/>
      <w:r>
        <w:rPr>
          <w:rStyle w:val="CharSClsNo"/>
        </w:rPr>
        <w:lastRenderedPageBreak/>
        <w:t>3</w:t>
      </w:r>
      <w:r>
        <w:t>.</w:t>
      </w:r>
      <w:r>
        <w:tab/>
        <w:t>Compliance with code of practice</w:t>
      </w:r>
      <w:bookmarkEnd w:id="114"/>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115" w:name="_Toc125362589"/>
      <w:bookmarkStart w:id="116" w:name="_Toc125705960"/>
      <w:r>
        <w:rPr>
          <w:rStyle w:val="CharSDivNo"/>
        </w:rPr>
        <w:t>Division 2</w:t>
      </w:r>
      <w:r>
        <w:t> — </w:t>
      </w:r>
      <w:r>
        <w:rPr>
          <w:rStyle w:val="CharSDivText"/>
        </w:rPr>
        <w:t>Professional conduct</w:t>
      </w:r>
      <w:bookmarkEnd w:id="115"/>
      <w:bookmarkEnd w:id="116"/>
    </w:p>
    <w:p>
      <w:pPr>
        <w:pStyle w:val="yHeading5"/>
      </w:pPr>
      <w:bookmarkStart w:id="117" w:name="_Toc125705961"/>
      <w:r>
        <w:rPr>
          <w:rStyle w:val="CharSClsNo"/>
        </w:rPr>
        <w:t>4</w:t>
      </w:r>
      <w:r>
        <w:t>.</w:t>
      </w:r>
      <w:r>
        <w:tab/>
        <w:t>Compliance with laws</w:t>
      </w:r>
      <w:bookmarkEnd w:id="117"/>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118" w:name="_Toc125705962"/>
      <w:r>
        <w:rPr>
          <w:rStyle w:val="CharSClsNo"/>
        </w:rPr>
        <w:t>5</w:t>
      </w:r>
      <w:r>
        <w:t>.</w:t>
      </w:r>
      <w:r>
        <w:tab/>
        <w:t>Duty not to engage in unprofessional conduct</w:t>
      </w:r>
      <w:bookmarkEnd w:id="118"/>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119" w:name="_Toc125705963"/>
      <w:r>
        <w:rPr>
          <w:rStyle w:val="CharSClsNo"/>
        </w:rPr>
        <w:lastRenderedPageBreak/>
        <w:t>6</w:t>
      </w:r>
      <w:r>
        <w:t>.</w:t>
      </w:r>
      <w:r>
        <w:tab/>
        <w:t>Duty to act independently and impartially</w:t>
      </w:r>
      <w:bookmarkEnd w:id="119"/>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120" w:name="_Toc125705964"/>
      <w:r>
        <w:rPr>
          <w:rStyle w:val="CharSClsNo"/>
        </w:rPr>
        <w:t>7</w:t>
      </w:r>
      <w:r>
        <w:t>.</w:t>
      </w:r>
      <w:r>
        <w:tab/>
        <w:t>Duty not to delegate or abrogate responsibility</w:t>
      </w:r>
      <w:bookmarkEnd w:id="120"/>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121" w:name="_Toc125705965"/>
      <w:r>
        <w:rPr>
          <w:rStyle w:val="CharSClsNo"/>
        </w:rPr>
        <w:t>8</w:t>
      </w:r>
      <w:r>
        <w:t>.</w:t>
      </w:r>
      <w:r>
        <w:tab/>
        <w:t>Duty to maintain eligibility for registration</w:t>
      </w:r>
      <w:bookmarkEnd w:id="121"/>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122" w:name="_Toc125705966"/>
      <w:r>
        <w:rPr>
          <w:rStyle w:val="CharSClsNo"/>
        </w:rPr>
        <w:lastRenderedPageBreak/>
        <w:t>9</w:t>
      </w:r>
      <w:r>
        <w:t>.</w:t>
      </w:r>
      <w:r>
        <w:tab/>
        <w:t>Duty to ensure security of confidential information</w:t>
      </w:r>
      <w:bookmarkEnd w:id="122"/>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123" w:name="_Toc125362596"/>
      <w:bookmarkStart w:id="124" w:name="_Toc125705967"/>
      <w:r>
        <w:rPr>
          <w:rStyle w:val="CharSDivNo"/>
        </w:rPr>
        <w:t>Division 3</w:t>
      </w:r>
      <w:r>
        <w:t> — </w:t>
      </w:r>
      <w:r>
        <w:rPr>
          <w:rStyle w:val="CharSDivText"/>
        </w:rPr>
        <w:t>Conflicts of interest</w:t>
      </w:r>
      <w:bookmarkEnd w:id="123"/>
      <w:bookmarkEnd w:id="124"/>
    </w:p>
    <w:p>
      <w:pPr>
        <w:pStyle w:val="yHeading5"/>
      </w:pPr>
      <w:bookmarkStart w:id="125" w:name="_Toc125705968"/>
      <w:r>
        <w:rPr>
          <w:rStyle w:val="CharSClsNo"/>
        </w:rPr>
        <w:t>10</w:t>
      </w:r>
      <w:r>
        <w:t>.</w:t>
      </w:r>
      <w:r>
        <w:tab/>
        <w:t>Adjudicator or review adjudicator must not accept appointment if they are, or are related to, authorised nominating authority</w:t>
      </w:r>
      <w:bookmarkEnd w:id="125"/>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126" w:name="_Toc125705969"/>
      <w:r>
        <w:rPr>
          <w:rStyle w:val="CharSClsNo"/>
        </w:rPr>
        <w:lastRenderedPageBreak/>
        <w:t>11</w:t>
      </w:r>
      <w:r>
        <w:t>.</w:t>
      </w:r>
      <w:r>
        <w:tab/>
        <w:t>Checking for conflicts of interest</w:t>
      </w:r>
      <w:bookmarkEnd w:id="126"/>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127" w:name="_Toc125705970"/>
      <w:r>
        <w:rPr>
          <w:rStyle w:val="CharSClsNo"/>
        </w:rPr>
        <w:t>12</w:t>
      </w:r>
      <w:r>
        <w:t>.</w:t>
      </w:r>
      <w:r>
        <w:tab/>
        <w:t>Adjudicators and review adjudicators must not seek, accept, agree to or offer inducements</w:t>
      </w:r>
      <w:bookmarkEnd w:id="127"/>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128" w:name="_Toc125362600"/>
      <w:bookmarkStart w:id="129" w:name="_Toc125705971"/>
      <w:r>
        <w:rPr>
          <w:rStyle w:val="CharSDivNo"/>
        </w:rPr>
        <w:lastRenderedPageBreak/>
        <w:t>Division 4</w:t>
      </w:r>
      <w:r>
        <w:t> — </w:t>
      </w:r>
      <w:r>
        <w:rPr>
          <w:rStyle w:val="CharSDivText"/>
        </w:rPr>
        <w:t>Appointment of adjudicator or review adjudicator</w:t>
      </w:r>
      <w:bookmarkEnd w:id="128"/>
      <w:bookmarkEnd w:id="129"/>
    </w:p>
    <w:p>
      <w:pPr>
        <w:pStyle w:val="yHeading5"/>
      </w:pPr>
      <w:bookmarkStart w:id="130" w:name="_Toc125705972"/>
      <w:r>
        <w:rPr>
          <w:rStyle w:val="CharSClsNo"/>
        </w:rPr>
        <w:t>13</w:t>
      </w:r>
      <w:r>
        <w:t>.</w:t>
      </w:r>
      <w:r>
        <w:tab/>
        <w:t>Acceptance of appointments</w:t>
      </w:r>
      <w:bookmarkEnd w:id="130"/>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131" w:name="_Toc125362602"/>
      <w:bookmarkStart w:id="132" w:name="_Toc125705973"/>
      <w:r>
        <w:rPr>
          <w:rStyle w:val="CharSDivNo"/>
        </w:rPr>
        <w:t>Division 5</w:t>
      </w:r>
      <w:r>
        <w:t> — </w:t>
      </w:r>
      <w:r>
        <w:rPr>
          <w:rStyle w:val="CharSDivText"/>
        </w:rPr>
        <w:t>Making of determinations</w:t>
      </w:r>
      <w:bookmarkEnd w:id="131"/>
      <w:bookmarkEnd w:id="132"/>
    </w:p>
    <w:p>
      <w:pPr>
        <w:pStyle w:val="yHeading5"/>
      </w:pPr>
      <w:bookmarkStart w:id="133" w:name="_Toc125705974"/>
      <w:r>
        <w:rPr>
          <w:rStyle w:val="CharSClsNo"/>
        </w:rPr>
        <w:t>14</w:t>
      </w:r>
      <w:r>
        <w:t>.</w:t>
      </w:r>
      <w:r>
        <w:tab/>
        <w:t>Form of determinations</w:t>
      </w:r>
      <w:bookmarkEnd w:id="133"/>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lastRenderedPageBreak/>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134" w:name="_Toc125705975"/>
      <w:r>
        <w:rPr>
          <w:rStyle w:val="CharSClsNo"/>
        </w:rPr>
        <w:t>15</w:t>
      </w:r>
      <w:r>
        <w:t>.</w:t>
      </w:r>
      <w:r>
        <w:tab/>
        <w:t>Correction of determinations</w:t>
      </w:r>
      <w:bookmarkEnd w:id="134"/>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135" w:name="_Toc125705976"/>
      <w:r>
        <w:rPr>
          <w:rStyle w:val="CharSClsNo"/>
        </w:rPr>
        <w:t>16</w:t>
      </w:r>
      <w:r>
        <w:t>.</w:t>
      </w:r>
      <w:r>
        <w:tab/>
        <w:t>Record keeping with respect to determinations</w:t>
      </w:r>
      <w:bookmarkEnd w:id="135"/>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136" w:name="_Toc125362606"/>
      <w:bookmarkStart w:id="137" w:name="_Toc125705977"/>
      <w:r>
        <w:rPr>
          <w:rStyle w:val="CharSDivNo"/>
        </w:rPr>
        <w:lastRenderedPageBreak/>
        <w:t>Division 6</w:t>
      </w:r>
      <w:r>
        <w:t> — </w:t>
      </w:r>
      <w:r>
        <w:rPr>
          <w:rStyle w:val="CharSDivText"/>
        </w:rPr>
        <w:t>Adjudication fees and expenses</w:t>
      </w:r>
      <w:bookmarkEnd w:id="136"/>
      <w:bookmarkEnd w:id="137"/>
    </w:p>
    <w:p>
      <w:pPr>
        <w:pStyle w:val="yHeading5"/>
      </w:pPr>
      <w:bookmarkStart w:id="138" w:name="_Toc125705978"/>
      <w:r>
        <w:rPr>
          <w:rStyle w:val="CharSClsNo"/>
        </w:rPr>
        <w:t>17</w:t>
      </w:r>
      <w:r>
        <w:t>.</w:t>
      </w:r>
      <w:r>
        <w:tab/>
        <w:t>Amount of adjudication fees and expenses that may be charged</w:t>
      </w:r>
      <w:bookmarkEnd w:id="138"/>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139" w:name="_Toc125705979"/>
      <w:r>
        <w:rPr>
          <w:rStyle w:val="CharSClsNo"/>
        </w:rPr>
        <w:lastRenderedPageBreak/>
        <w:t>18</w:t>
      </w:r>
      <w:r>
        <w:t>.</w:t>
      </w:r>
      <w:r>
        <w:tab/>
        <w:t>Notification of adjudication fees and expenses</w:t>
      </w:r>
      <w:bookmarkEnd w:id="139"/>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140" w:name="_Toc125705980"/>
      <w:r>
        <w:rPr>
          <w:rStyle w:val="CharSClsNo"/>
        </w:rPr>
        <w:t>19</w:t>
      </w:r>
      <w:r>
        <w:t>.</w:t>
      </w:r>
      <w:r>
        <w:tab/>
        <w:t>Deposit or security for adjudication fees and expenses</w:t>
      </w:r>
      <w:bookmarkEnd w:id="140"/>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141" w:name="_Toc125705981"/>
      <w:r>
        <w:rPr>
          <w:rStyle w:val="CharSClsNo"/>
        </w:rPr>
        <w:lastRenderedPageBreak/>
        <w:t>20</w:t>
      </w:r>
      <w:r>
        <w:t>.</w:t>
      </w:r>
      <w:r>
        <w:tab/>
        <w:t>Expert and testing adjudication expenses</w:t>
      </w:r>
      <w:bookmarkEnd w:id="141"/>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142" w:name="_Toc125705982"/>
      <w:r>
        <w:rPr>
          <w:rStyle w:val="CharSClsNo"/>
        </w:rPr>
        <w:t>21</w:t>
      </w:r>
      <w:r>
        <w:t>.</w:t>
      </w:r>
      <w:r>
        <w:tab/>
        <w:t>Withholding determination</w:t>
      </w:r>
      <w:bookmarkEnd w:id="142"/>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143" w:name="_Toc125362612"/>
      <w:bookmarkStart w:id="144" w:name="_Toc125705983"/>
      <w:r>
        <w:rPr>
          <w:rStyle w:val="CharSDivNo"/>
        </w:rPr>
        <w:lastRenderedPageBreak/>
        <w:t>Division 7</w:t>
      </w:r>
      <w:r>
        <w:t> — </w:t>
      </w:r>
      <w:r>
        <w:rPr>
          <w:rStyle w:val="CharSDivText"/>
        </w:rPr>
        <w:t>Miscellaneous</w:t>
      </w:r>
      <w:bookmarkEnd w:id="143"/>
      <w:bookmarkEnd w:id="144"/>
    </w:p>
    <w:p>
      <w:pPr>
        <w:pStyle w:val="yHeading5"/>
      </w:pPr>
      <w:bookmarkStart w:id="145" w:name="_Toc125705984"/>
      <w:r>
        <w:rPr>
          <w:rStyle w:val="CharSClsNo"/>
        </w:rPr>
        <w:t>22</w:t>
      </w:r>
      <w:r>
        <w:t>.</w:t>
      </w:r>
      <w:r>
        <w:tab/>
        <w:t>Information that must be provided by adjudicator appointed by parties</w:t>
      </w:r>
      <w:bookmarkEnd w:id="145"/>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146" w:name="_Toc125705985"/>
      <w:r>
        <w:rPr>
          <w:rStyle w:val="CharSClsNo"/>
        </w:rPr>
        <w:t>23</w:t>
      </w:r>
      <w:r>
        <w:t>.</w:t>
      </w:r>
      <w:r>
        <w:tab/>
        <w:t>Building Commissioner’s practice notes</w:t>
      </w:r>
      <w:bookmarkEnd w:id="146"/>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47" w:name="_Toc125362615"/>
      <w:bookmarkStart w:id="148" w:name="_Toc125705986"/>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147"/>
      <w:bookmarkEnd w:id="148"/>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49" w:name="_Toc125362616"/>
      <w:bookmarkStart w:id="150" w:name="_Toc125705987"/>
      <w:r>
        <w:rPr>
          <w:rStyle w:val="CharSchNo"/>
        </w:rPr>
        <w:lastRenderedPageBreak/>
        <w:t>Schedule 5</w:t>
      </w:r>
      <w:r>
        <w:rPr>
          <w:rStyle w:val="CharSDivNo"/>
        </w:rPr>
        <w:t> </w:t>
      </w:r>
      <w:r>
        <w:t>—</w:t>
      </w:r>
      <w:r>
        <w:rPr>
          <w:rStyle w:val="CharSDivText"/>
        </w:rPr>
        <w:t> </w:t>
      </w:r>
      <w:r>
        <w:rPr>
          <w:rStyle w:val="CharSchText"/>
        </w:rPr>
        <w:t>Infringement notice forms</w:t>
      </w:r>
      <w:bookmarkEnd w:id="149"/>
      <w:bookmarkEnd w:id="150"/>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lastRenderedPageBreak/>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headerReference w:type="first" r:id="rId32"/>
          <w:footerReference w:type="first" r:id="rId33"/>
          <w:endnotePr>
            <w:numFmt w:val="decimal"/>
          </w:endnotePr>
          <w:pgSz w:w="11907" w:h="16840" w:code="9"/>
          <w:pgMar w:top="2381" w:right="2410" w:bottom="3544" w:left="2410" w:header="720" w:footer="3544" w:gutter="0"/>
          <w:cols w:space="720"/>
          <w:noEndnote/>
          <w:docGrid w:linePitch="326"/>
        </w:sectPr>
      </w:pPr>
    </w:p>
    <w:p>
      <w:pPr>
        <w:pStyle w:val="nHeading2"/>
      </w:pPr>
      <w:bookmarkStart w:id="151" w:name="_Toc125362617"/>
      <w:bookmarkStart w:id="152" w:name="_Toc125705988"/>
      <w:r>
        <w:lastRenderedPageBreak/>
        <w:t>Notes</w:t>
      </w:r>
      <w:bookmarkEnd w:id="151"/>
      <w:bookmarkEnd w:id="152"/>
    </w:p>
    <w:p>
      <w:pPr>
        <w:pStyle w:val="nStatement"/>
      </w:pPr>
      <w:r>
        <w:t xml:space="preserve">This is a compilation of the </w:t>
      </w:r>
      <w:r>
        <w:rPr>
          <w:i/>
          <w:noProof/>
        </w:rPr>
        <w:t>Building and Construction Industry (Security of Payment) Regulations 2022</w:t>
      </w:r>
      <w:r>
        <w:t>. For provisions that have come into operation see the compilation table. For provisions that have not yet come into operation see the uncommenced provisions table.</w:t>
      </w:r>
    </w:p>
    <w:p>
      <w:pPr>
        <w:pStyle w:val="nHeading3"/>
      </w:pPr>
      <w:bookmarkStart w:id="153" w:name="_Toc125705989"/>
      <w:r>
        <w:t>Compilation table</w:t>
      </w:r>
      <w:bookmarkEnd w:id="1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(other than r. 10)</w:t>
            </w:r>
          </w:p>
        </w:tc>
        <w:tc>
          <w:tcPr>
            <w:tcW w:w="1276" w:type="dxa"/>
          </w:tcPr>
          <w:p>
            <w:pPr>
              <w:pStyle w:val="nTable"/>
              <w:spacing w:after="40"/>
            </w:pPr>
            <w:r>
              <w:t>SL 2022/85 17 Jun 2022</w:t>
            </w:r>
          </w:p>
        </w:tc>
        <w:tc>
          <w:tcPr>
            <w:tcW w:w="2693" w:type="dxa"/>
          </w:tcPr>
          <w:p>
            <w:pPr>
              <w:pStyle w:val="nTable"/>
              <w:spacing w:after="40"/>
            </w:pPr>
            <w:r>
              <w:t>Regulations other than r. 10 and Pt. 4: 1 Aug 2022 (see r. 2(c));</w:t>
            </w:r>
            <w:r>
              <w:br/>
              <w:t>Pt. 4: 1 Feb 2023 (see r. 2(b))</w:t>
            </w:r>
          </w:p>
        </w:tc>
      </w:tr>
    </w:tbl>
    <w:p>
      <w:pPr>
        <w:pStyle w:val="nHeading3"/>
      </w:pPr>
      <w:bookmarkStart w:id="154" w:name="_Toc125705990"/>
      <w:r>
        <w:t>Uncommenced provisions table</w:t>
      </w:r>
      <w:bookmarkEnd w:id="1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r. 10</w:t>
            </w:r>
          </w:p>
        </w:tc>
        <w:tc>
          <w:tcPr>
            <w:tcW w:w="1276" w:type="dxa"/>
          </w:tcPr>
          <w:p>
            <w:pPr>
              <w:pStyle w:val="nTable"/>
              <w:spacing w:after="40"/>
            </w:pPr>
            <w:r>
              <w:t>SL 2022/85 17 Jun 2022</w:t>
            </w:r>
          </w:p>
        </w:tc>
        <w:tc>
          <w:tcPr>
            <w:tcW w:w="2693" w:type="dxa"/>
          </w:tcPr>
          <w:p>
            <w:pPr>
              <w:pStyle w:val="nTable"/>
              <w:spacing w:after="40"/>
            </w:pPr>
            <w:r>
              <w:t>1 Feb 2024 (see r. 2(a))</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56" w:name="_Toc125705991"/>
      <w:r>
        <w:rPr>
          <w:sz w:val="28"/>
        </w:rPr>
        <w:lastRenderedPageBreak/>
        <w:t>Defined terms</w:t>
      </w:r>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 Sch. 3 cl. 2(1)</w:t>
      </w:r>
    </w:p>
    <w:p>
      <w:pPr>
        <w:pStyle w:val="DefinedTerms"/>
      </w:pPr>
      <w:r>
        <w:t>adjudicator appointed by the parties</w:t>
      </w:r>
      <w:r>
        <w:tab/>
        <w:t>Sch. 3 cl. 2(1)</w:t>
      </w:r>
    </w:p>
    <w:p>
      <w:pPr>
        <w:pStyle w:val="DefinedTerms"/>
      </w:pPr>
      <w:r>
        <w:t>agent</w:t>
      </w:r>
      <w:r>
        <w:tab/>
        <w:t>Sch. 2 cl. 12(1)</w:t>
      </w:r>
    </w:p>
    <w:p>
      <w:pPr>
        <w:pStyle w:val="DefinedTerms"/>
      </w:pPr>
      <w:r>
        <w:t>associated structure</w:t>
      </w:r>
      <w:r>
        <w:tab/>
        <w:t>12(1)</w:t>
      </w:r>
    </w:p>
    <w:p>
      <w:pPr>
        <w:pStyle w:val="DefinedTerms"/>
      </w:pPr>
      <w:r>
        <w:t>close family member</w:t>
      </w:r>
      <w:r>
        <w:tab/>
        <w:t>7(1)</w:t>
      </w:r>
    </w:p>
    <w:p>
      <w:pPr>
        <w:pStyle w:val="DefinedTerms"/>
      </w:pPr>
      <w:r>
        <w:t>community corporation</w:t>
      </w:r>
      <w:r>
        <w:tab/>
        <w:t>12(1)</w:t>
      </w:r>
    </w:p>
    <w:p>
      <w:pPr>
        <w:pStyle w:val="DefinedTerms"/>
      </w:pPr>
      <w:r>
        <w:t>confidential information</w:t>
      </w:r>
      <w:r>
        <w:tab/>
        <w:t>Sch. 2 cl. 2(1), Sch. 3 cl. 2(1)</w:t>
      </w:r>
    </w:p>
    <w:p>
      <w:pPr>
        <w:pStyle w:val="DefinedTerms"/>
      </w:pPr>
      <w:r>
        <w:t>conflict of interest</w:t>
      </w:r>
      <w:r>
        <w:tab/>
        <w:t>Sch. 2 cl. 2(1), Sch. 3 cl. 11(1)</w:t>
      </w:r>
    </w:p>
    <w:p>
      <w:pPr>
        <w:pStyle w:val="DefinedTerms"/>
      </w:pPr>
      <w:r>
        <w:t>dispute resolution process</w:t>
      </w:r>
      <w:r>
        <w:tab/>
        <w:t>5(1)</w:t>
      </w:r>
    </w:p>
    <w:p>
      <w:pPr>
        <w:pStyle w:val="DefinedTerms"/>
      </w:pPr>
      <w:r>
        <w:t>dwelling</w:t>
      </w:r>
      <w:r>
        <w:tab/>
        <w:t>12(1)</w:t>
      </w:r>
    </w:p>
    <w:p>
      <w:pPr>
        <w:pStyle w:val="DefinedTerms"/>
      </w:pPr>
      <w:r>
        <w:t>employed</w:t>
      </w:r>
      <w:r>
        <w:tab/>
        <w:t>7(1)</w:t>
      </w:r>
    </w:p>
    <w:p>
      <w:pPr>
        <w:pStyle w:val="DefinedTerms"/>
      </w:pPr>
      <w:r>
        <w:t>family member</w:t>
      </w:r>
      <w:r>
        <w:tab/>
        <w:t>Sch. 2 cl. 2(1), Sch. 3 cl. 2(1)</w:t>
      </w:r>
    </w:p>
    <w:p>
      <w:pPr>
        <w:pStyle w:val="DefinedTerms"/>
      </w:pPr>
      <w:r>
        <w:t>give</w:t>
      </w:r>
      <w:r>
        <w:tab/>
        <w:t>Sch. 2 cl. 29(1)</w:t>
      </w:r>
    </w:p>
    <w:p>
      <w:pPr>
        <w:pStyle w:val="DefinedTerms"/>
      </w:pPr>
      <w:r>
        <w:t>inducement</w:t>
      </w:r>
      <w:r>
        <w:tab/>
        <w:t>Sch. 2 cl. 12(1), Sch. 3 cl. 12(1)</w:t>
      </w:r>
    </w:p>
    <w:p>
      <w:pPr>
        <w:pStyle w:val="DefinedTerms"/>
      </w:pPr>
      <w:r>
        <w:t>judicial officer</w:t>
      </w:r>
      <w:r>
        <w:tab/>
        <w:t>19(1)</w:t>
      </w:r>
    </w:p>
    <w:p>
      <w:pPr>
        <w:pStyle w:val="DefinedTerms"/>
      </w:pPr>
      <w:r>
        <w:t>lock-box</w:t>
      </w:r>
      <w:r>
        <w:tab/>
        <w:t>22(1)</w:t>
      </w:r>
    </w:p>
    <w:p>
      <w:pPr>
        <w:pStyle w:val="DefinedTerms"/>
      </w:pPr>
      <w:r>
        <w:t>lot</w:t>
      </w:r>
      <w:r>
        <w:tab/>
        <w:t>12(1)</w:t>
      </w:r>
    </w:p>
    <w:p>
      <w:pPr>
        <w:pStyle w:val="DefinedTerms"/>
      </w:pPr>
      <w:r>
        <w:t>officer</w:t>
      </w:r>
      <w:r>
        <w:tab/>
        <w:t>7(1), Sch. 2 cl. 2(1), Sch. 3 cl. 2(1)</w:t>
      </w:r>
    </w:p>
    <w:p>
      <w:pPr>
        <w:pStyle w:val="DefinedTerms"/>
      </w:pPr>
      <w:r>
        <w:t>section</w:t>
      </w:r>
      <w:r>
        <w:tab/>
        <w:t>3(1)</w:t>
      </w:r>
    </w:p>
    <w:p>
      <w:pPr>
        <w:pStyle w:val="DefinedTerms"/>
      </w:pPr>
      <w:r>
        <w:t>small-scale residential contract</w:t>
      </w:r>
      <w:r>
        <w:tab/>
        <w:t>12(3) and (4)</w:t>
      </w:r>
    </w:p>
    <w:p>
      <w:pPr>
        <w:pStyle w:val="DefinedTerms"/>
      </w:pPr>
      <w:r>
        <w:t>strata company</w:t>
      </w:r>
      <w:r>
        <w:tab/>
        <w:t>12(1)</w:t>
      </w:r>
    </w:p>
    <w:p>
      <w:pPr>
        <w:pStyle w:val="DefinedTerms"/>
      </w:pPr>
      <w:r>
        <w:t>trust money</w:t>
      </w:r>
      <w:r>
        <w:tab/>
        <w:t>Sch. 2 cl. 21(1)</w:t>
      </w:r>
    </w:p>
    <w:p>
      <w:pPr>
        <w:pStyle w:val="DefinedTerms"/>
      </w:pPr>
      <w:r>
        <w:t>written policy</w:t>
      </w:r>
      <w:r>
        <w:tab/>
        <w:t>Sch. 2 cl. 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BuidandConstrIndusSecrtyofPaytRegs2022_00-b0-00.docx</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BuidandConstrIndusSecrtyofPaytRegs2022_00-b0-00.docx</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BuidandConstrIndusSecrtyofPaytRegs2022_00-b0-00.docx</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2023 3:15</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317"/>
      <w:gridCol w:w="1379"/>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123102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3.xml"/><Relationship Id="rId20" Type="http://schemas.openxmlformats.org/officeDocument/2006/relationships/footer" Target="footer4.xm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D15C-71DA-4BDB-95AF-E765A4C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12570</Words>
  <Characters>67251</Characters>
  <Application>Microsoft Office Word</Application>
  <DocSecurity>0</DocSecurity>
  <Lines>1921</Lines>
  <Paragraphs>1023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2022 - 00-b0-00</dc:title>
  <dc:subject/>
  <dc:creator/>
  <cp:keywords/>
  <dc:description/>
  <cp:lastModifiedBy>Master Repository Process</cp:lastModifiedBy>
  <cp:revision>4</cp:revision>
  <cp:lastPrinted>2022-06-14T03:21:00Z</cp:lastPrinted>
  <dcterms:created xsi:type="dcterms:W3CDTF">2023-01-30T07:15:00Z</dcterms:created>
  <dcterms:modified xsi:type="dcterms:W3CDTF">2023-01-30T07:15:00Z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AsAtDate">
    <vt:lpwstr>01 Feb 2023</vt:lpwstr>
  </property>
  <property fmtid="{D5CDD505-2E9C-101B-9397-08002B2CF9AE}" pid="5" name="Suffix">
    <vt:lpwstr>00-b0-00</vt:lpwstr>
  </property>
  <property fmtid="{D5CDD505-2E9C-101B-9397-08002B2CF9AE}" pid="6" name="CommencementDate">
    <vt:lpwstr>20230201</vt:lpwstr>
  </property>
</Properties>
</file>