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_Toc126233635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_Toc126233636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_Toc126233637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_Toc126233639 \h </w:instrText>
      </w:r>
      <w:r>
        <w:fldChar w:fldCharType="separate"/>
      </w:r>
      <w:r>
        <w:t>6</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_Toc126233640 \h </w:instrText>
      </w:r>
      <w:r>
        <w:fldChar w:fldCharType="separate"/>
      </w:r>
      <w:r>
        <w:t>6</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_Toc126233641 \h </w:instrText>
      </w:r>
      <w:r>
        <w:fldChar w:fldCharType="separate"/>
      </w:r>
      <w:r>
        <w:t>7</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_Toc126233642 \h </w:instrText>
      </w:r>
      <w:r>
        <w:fldChar w:fldCharType="separate"/>
      </w:r>
      <w:r>
        <w:t>7</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_Toc126233643 \h </w:instrText>
      </w:r>
      <w:r>
        <w:fldChar w:fldCharType="separate"/>
      </w:r>
      <w:r>
        <w:t>8</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_Toc126233644 \h </w:instrText>
      </w:r>
      <w:r>
        <w:fldChar w:fldCharType="separate"/>
      </w:r>
      <w:r>
        <w:t>8</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_Toc126233645 \h </w:instrText>
      </w:r>
      <w:r>
        <w:fldChar w:fldCharType="separate"/>
      </w:r>
      <w:r>
        <w:t>9</w:t>
      </w:r>
      <w:r>
        <w:fldChar w:fldCharType="end"/>
      </w:r>
    </w:p>
    <w:p>
      <w:pPr>
        <w:pStyle w:val="TOC8"/>
        <w:rPr>
          <w:rFonts w:asciiTheme="minorHAnsi" w:eastAsiaTheme="minorEastAsia" w:hAnsiTheme="minorHAnsi" w:cstheme="minorBidi"/>
          <w:szCs w:val="22"/>
        </w:rPr>
      </w:pPr>
      <w:r>
        <w:t>10A.</w:t>
      </w:r>
      <w:r>
        <w:tab/>
        <w:t>Provision of medicines</w:t>
      </w:r>
      <w:r>
        <w:tab/>
      </w:r>
      <w:r>
        <w:fldChar w:fldCharType="begin"/>
      </w:r>
      <w:r>
        <w:instrText xml:space="preserve"> PAGEREF _Toc126233646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_Toc126233648 \h </w:instrText>
      </w:r>
      <w:r>
        <w:fldChar w:fldCharType="separate"/>
      </w:r>
      <w:r>
        <w:t>11</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_Toc126233649 \h </w:instrText>
      </w:r>
      <w:r>
        <w:fldChar w:fldCharType="separate"/>
      </w:r>
      <w:r>
        <w:t>11</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_Toc126233650 \h </w:instrText>
      </w:r>
      <w:r>
        <w:fldChar w:fldCharType="separate"/>
      </w:r>
      <w:r>
        <w:t>15</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_Toc126233651 \h </w:instrText>
      </w:r>
      <w:r>
        <w:fldChar w:fldCharType="separate"/>
      </w:r>
      <w:r>
        <w:t>16</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_Toc126233652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Scale of fees and charges</w:t>
      </w:r>
    </w:p>
    <w:p>
      <w:pPr>
        <w:pStyle w:val="TOC4"/>
        <w:tabs>
          <w:tab w:val="right" w:leader="dot" w:pos="7077"/>
        </w:tabs>
        <w:rPr>
          <w:rFonts w:asciiTheme="minorHAnsi" w:eastAsiaTheme="minorEastAsia" w:hAnsiTheme="minorHAnsi" w:cstheme="minorBidi"/>
          <w:b w:val="0"/>
          <w:szCs w:val="22"/>
        </w:rPr>
      </w:pPr>
      <w:r>
        <w:t>Division 1 — General</w:t>
      </w:r>
    </w:p>
    <w:p>
      <w:pPr>
        <w:pStyle w:val="TOC6"/>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Day patients</w:t>
      </w:r>
    </w:p>
    <w:p>
      <w:pPr>
        <w:pStyle w:val="TOC6"/>
        <w:tabs>
          <w:tab w:val="right" w:leader="dot" w:pos="7077"/>
        </w:tabs>
        <w:rPr>
          <w:rFonts w:asciiTheme="minorHAnsi" w:eastAsiaTheme="minorEastAsia" w:hAnsiTheme="minorHAnsi" w:cstheme="minorBidi"/>
          <w:b w:val="0"/>
          <w:sz w:val="22"/>
          <w:szCs w:val="22"/>
        </w:rPr>
      </w:pPr>
      <w:r>
        <w:t>Subdivision 3 —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4 — Same day patients</w:t>
      </w:r>
    </w:p>
    <w:p>
      <w:pPr>
        <w:pStyle w:val="TOC6"/>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4"/>
        <w:tabs>
          <w:tab w:val="right" w:leader="dot" w:pos="7077"/>
        </w:tabs>
        <w:rPr>
          <w:rFonts w:asciiTheme="minorHAnsi" w:eastAsiaTheme="minorEastAsia" w:hAnsiTheme="minorHAnsi" w:cstheme="minorBidi"/>
          <w:b w:val="0"/>
          <w:szCs w:val="22"/>
        </w:rPr>
      </w:pPr>
      <w:r>
        <w:t>Division 3 — Magnetic resonance imaging</w:t>
      </w:r>
    </w:p>
    <w:p>
      <w:pPr>
        <w:pStyle w:val="TOC4"/>
        <w:tabs>
          <w:tab w:val="right" w:leader="dot" w:pos="7077"/>
        </w:tabs>
        <w:rPr>
          <w:rFonts w:asciiTheme="minorHAnsi" w:eastAsiaTheme="minorEastAsia" w:hAnsiTheme="minorHAnsi" w:cstheme="minorBidi"/>
          <w:b w:val="0"/>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_Toc126233668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3" w:name="_Toc126232250"/>
      <w:bookmarkStart w:id="4" w:name="_Toc126232836"/>
      <w:bookmarkStart w:id="5" w:name="_Toc126233598"/>
      <w:bookmarkStart w:id="6" w:name="_Toc12623363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26233635"/>
      <w:r>
        <w:rPr>
          <w:rStyle w:val="CharSectno"/>
        </w:rPr>
        <w:t>1</w:t>
      </w:r>
      <w:r>
        <w:t>.</w:t>
      </w:r>
      <w:r>
        <w:tab/>
        <w:t>Citation</w:t>
      </w:r>
      <w:bookmarkEnd w:id="7"/>
    </w:p>
    <w:p>
      <w:pPr>
        <w:pStyle w:val="Subsection"/>
      </w:pPr>
      <w:r>
        <w:tab/>
      </w:r>
      <w:r>
        <w:tab/>
      </w:r>
      <w:bookmarkStart w:id="8" w:name="Start_Cursor"/>
      <w:bookmarkEnd w:id="8"/>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9" w:name="_Toc126233636"/>
      <w:r>
        <w:rPr>
          <w:rStyle w:val="CharSectno"/>
        </w:rPr>
        <w:t>2</w:t>
      </w:r>
      <w:r>
        <w:rPr>
          <w:spacing w:val="-2"/>
        </w:rPr>
        <w:t>.</w:t>
      </w:r>
      <w:r>
        <w:rPr>
          <w:spacing w:val="-2"/>
        </w:rPr>
        <w:tab/>
        <w:t>Commencement</w:t>
      </w:r>
      <w:bookmarkEnd w:id="9"/>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0" w:name="_Toc126233637"/>
      <w:r>
        <w:rPr>
          <w:rStyle w:val="CharSectno"/>
        </w:rPr>
        <w:t>3</w:t>
      </w:r>
      <w:r>
        <w:t>.</w:t>
      </w:r>
      <w:r>
        <w:tab/>
        <w:t>Terms used</w:t>
      </w:r>
      <w:bookmarkEnd w:id="10"/>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lastRenderedPageBreak/>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lastRenderedPageBreak/>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lastRenderedPageBreak/>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 xml:space="preserve">Military Rehabilitation and </w:t>
      </w:r>
      <w:r>
        <w:rPr>
          <w:i/>
        </w:rPr>
        <w:lastRenderedPageBreak/>
        <w:t>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1" w:name="_Toc126232254"/>
      <w:bookmarkStart w:id="12" w:name="_Toc126232840"/>
      <w:bookmarkStart w:id="13" w:name="_Toc126233602"/>
      <w:bookmarkStart w:id="14" w:name="_Toc126233638"/>
      <w:r>
        <w:rPr>
          <w:rStyle w:val="CharPartNo"/>
        </w:rPr>
        <w:lastRenderedPageBreak/>
        <w:t>Part 2</w:t>
      </w:r>
      <w:r>
        <w:t> — </w:t>
      </w:r>
      <w:r>
        <w:rPr>
          <w:rStyle w:val="CharPartText"/>
        </w:rPr>
        <w:t>Fees and charges</w:t>
      </w:r>
      <w:bookmarkEnd w:id="11"/>
      <w:bookmarkEnd w:id="12"/>
      <w:bookmarkEnd w:id="13"/>
      <w:bookmarkEnd w:id="14"/>
    </w:p>
    <w:p>
      <w:pPr>
        <w:pStyle w:val="Footnoteheading"/>
      </w:pPr>
      <w:r>
        <w:tab/>
        <w:t>[Heading amended: SL 2020/5 cl. 4.]</w:t>
      </w:r>
    </w:p>
    <w:p>
      <w:pPr>
        <w:pStyle w:val="Heading5"/>
      </w:pPr>
      <w:bookmarkStart w:id="15" w:name="_Toc126233639"/>
      <w:r>
        <w:rPr>
          <w:rStyle w:val="CharSectno"/>
        </w:rPr>
        <w:t>4</w:t>
      </w:r>
      <w:r>
        <w:t>.</w:t>
      </w:r>
      <w:r>
        <w:tab/>
        <w:t>Scale of fees and charges</w:t>
      </w:r>
      <w:bookmarkEnd w:id="15"/>
    </w:p>
    <w:p>
      <w:pPr>
        <w:pStyle w:val="Subsection"/>
      </w:pPr>
      <w:r>
        <w:tab/>
      </w:r>
      <w:r>
        <w:tab/>
        <w:t>The scale of fees and charges fixed under section 56 of the Act is set out in Schedule 1.</w:t>
      </w:r>
    </w:p>
    <w:p>
      <w:pPr>
        <w:pStyle w:val="Heading5"/>
      </w:pPr>
      <w:bookmarkStart w:id="16" w:name="_Toc126233640"/>
      <w:r>
        <w:rPr>
          <w:rStyle w:val="CharSectno"/>
        </w:rPr>
        <w:t>5</w:t>
      </w:r>
      <w:r>
        <w:t>.</w:t>
      </w:r>
      <w:r>
        <w:tab/>
        <w:t>General fees and charges</w:t>
      </w:r>
      <w:bookmarkEnd w:id="16"/>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17" w:name="_Toc126233641"/>
      <w:r>
        <w:rPr>
          <w:rStyle w:val="CharSectno"/>
        </w:rPr>
        <w:lastRenderedPageBreak/>
        <w:t>6</w:t>
      </w:r>
      <w:r>
        <w:t>.</w:t>
      </w:r>
      <w:r>
        <w:tab/>
        <w:t>Compensable patients</w:t>
      </w:r>
      <w:bookmarkEnd w:id="17"/>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w:t>
      </w:r>
    </w:p>
    <w:p>
      <w:pPr>
        <w:pStyle w:val="Heading5"/>
      </w:pPr>
      <w:bookmarkStart w:id="18" w:name="_Toc126233642"/>
      <w:r>
        <w:rPr>
          <w:rStyle w:val="CharSectno"/>
        </w:rPr>
        <w:t>7</w:t>
      </w:r>
      <w:r>
        <w:t>.</w:t>
      </w:r>
      <w:r>
        <w:tab/>
        <w:t>Magnetic resonance imaging services</w:t>
      </w:r>
      <w:bookmarkEnd w:id="18"/>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lastRenderedPageBreak/>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19" w:name="_Toc126233643"/>
      <w:r>
        <w:rPr>
          <w:rStyle w:val="CharSectno"/>
        </w:rPr>
        <w:t>8</w:t>
      </w:r>
      <w:r>
        <w:t>.</w:t>
      </w:r>
      <w:r>
        <w:tab/>
        <w:t>Pathology services</w:t>
      </w:r>
      <w:bookmarkEnd w:id="19"/>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20" w:name="_Toc126233644"/>
      <w:r>
        <w:rPr>
          <w:rStyle w:val="CharSectno"/>
        </w:rPr>
        <w:t>9</w:t>
      </w:r>
      <w:r>
        <w:t>.</w:t>
      </w:r>
      <w:r>
        <w:tab/>
        <w:t>Specialised orthoses</w:t>
      </w:r>
      <w:bookmarkEnd w:id="20"/>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 xml:space="preserve">The charge for the supply of a specialised orthosis to an adult chargeable patient or a child chargeable patient is to be of an </w:t>
      </w:r>
      <w:r>
        <w:lastRenderedPageBreak/>
        <w:t>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21" w:name="_Toc126233645"/>
      <w:r>
        <w:rPr>
          <w:rStyle w:val="CharSectno"/>
        </w:rPr>
        <w:t>10</w:t>
      </w:r>
      <w:r>
        <w:t>.</w:t>
      </w:r>
      <w:r>
        <w:tab/>
        <w:t>Surgically implanted prostheses</w:t>
      </w:r>
      <w:bookmarkEnd w:id="21"/>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22" w:name="_Toc126233646"/>
      <w:r>
        <w:rPr>
          <w:rStyle w:val="CharSectno"/>
        </w:rPr>
        <w:t>10A</w:t>
      </w:r>
      <w:r>
        <w:t>.</w:t>
      </w:r>
      <w:r>
        <w:tab/>
        <w:t>Provision of medicines</w:t>
      </w:r>
      <w:bookmarkEnd w:id="22"/>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lastRenderedPageBreak/>
        <w:tab/>
        <w:t>(2)</w:t>
      </w:r>
      <w:r>
        <w:tab/>
        <w:t>The Department CEO must ensure that a determination made under subclause (1) is publicly available.</w:t>
      </w:r>
    </w:p>
    <w:p>
      <w:pPr>
        <w:pStyle w:val="Footnotesection"/>
      </w:pPr>
      <w:r>
        <w:tab/>
        <w:t>[Clause 10A inserted: SL 2020/5 cl. 6.]</w:t>
      </w:r>
    </w:p>
    <w:p>
      <w:pPr>
        <w:pStyle w:val="Heading2"/>
      </w:pPr>
      <w:bookmarkStart w:id="23" w:name="_Toc126232263"/>
      <w:bookmarkStart w:id="24" w:name="_Toc126232849"/>
      <w:bookmarkStart w:id="25" w:name="_Toc126233611"/>
      <w:bookmarkStart w:id="26" w:name="_Toc126233647"/>
      <w:r>
        <w:rPr>
          <w:rStyle w:val="CharPartNo"/>
        </w:rPr>
        <w:lastRenderedPageBreak/>
        <w:t>Part 3</w:t>
      </w:r>
      <w:r>
        <w:rPr>
          <w:rStyle w:val="CharDivNo"/>
        </w:rPr>
        <w:t> </w:t>
      </w:r>
      <w:r>
        <w:t>—</w:t>
      </w:r>
      <w:r>
        <w:rPr>
          <w:rStyle w:val="CharDivText"/>
        </w:rPr>
        <w:t> </w:t>
      </w:r>
      <w:r>
        <w:rPr>
          <w:rStyle w:val="CharPartText"/>
        </w:rPr>
        <w:t>Classes of patients</w:t>
      </w:r>
      <w:bookmarkEnd w:id="23"/>
      <w:bookmarkEnd w:id="24"/>
      <w:bookmarkEnd w:id="25"/>
      <w:bookmarkEnd w:id="26"/>
    </w:p>
    <w:p>
      <w:pPr>
        <w:pStyle w:val="Heading5"/>
      </w:pPr>
      <w:bookmarkStart w:id="27" w:name="_Toc126233648"/>
      <w:r>
        <w:rPr>
          <w:rStyle w:val="CharSectno"/>
        </w:rPr>
        <w:t>11</w:t>
      </w:r>
      <w:r>
        <w:t>.</w:t>
      </w:r>
      <w:r>
        <w:tab/>
        <w:t>Classes of patients</w:t>
      </w:r>
      <w:bookmarkEnd w:id="27"/>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28" w:name="_Toc126233649"/>
      <w:r>
        <w:rPr>
          <w:rStyle w:val="CharSectno"/>
        </w:rPr>
        <w:t>12</w:t>
      </w:r>
      <w:r>
        <w:t>.</w:t>
      </w:r>
      <w:r>
        <w:tab/>
        <w:t>Classes of in</w:t>
      </w:r>
      <w:r>
        <w:noBreakHyphen/>
        <w:t>patients</w:t>
      </w:r>
      <w:bookmarkEnd w:id="28"/>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lastRenderedPageBreak/>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lastRenderedPageBreak/>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 xml:space="preserve">in respect of whom the hospital concerned provides, in a hospital bed, accommodation, nursing care and such other necessary services as are available, other than professional and dental </w:t>
      </w:r>
      <w:r>
        <w:lastRenderedPageBreak/>
        <w:t>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lastRenderedPageBreak/>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29" w:name="_Toc126233650"/>
      <w:r>
        <w:rPr>
          <w:rStyle w:val="CharSectno"/>
        </w:rPr>
        <w:t>13</w:t>
      </w:r>
      <w:r>
        <w:t>.</w:t>
      </w:r>
      <w:r>
        <w:tab/>
        <w:t>Classes of day patients</w:t>
      </w:r>
      <w:bookmarkEnd w:id="29"/>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lastRenderedPageBreak/>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30" w:name="_Toc126233651"/>
      <w:r>
        <w:rPr>
          <w:rStyle w:val="CharSectno"/>
        </w:rPr>
        <w:t>14</w:t>
      </w:r>
      <w:r>
        <w:t>.</w:t>
      </w:r>
      <w:r>
        <w:tab/>
        <w:t>Classes of out</w:t>
      </w:r>
      <w:r>
        <w:noBreakHyphen/>
        <w:t>patients</w:t>
      </w:r>
      <w:bookmarkEnd w:id="30"/>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lastRenderedPageBreak/>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lastRenderedPageBreak/>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31" w:name="_Toc126233652"/>
      <w:r>
        <w:rPr>
          <w:rStyle w:val="CharSectno"/>
        </w:rPr>
        <w:lastRenderedPageBreak/>
        <w:t>15</w:t>
      </w:r>
      <w:r>
        <w:t>.</w:t>
      </w:r>
      <w:r>
        <w:tab/>
        <w:t>Classes of same day patients</w:t>
      </w:r>
      <w:bookmarkEnd w:id="31"/>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lastRenderedPageBreak/>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32" w:name="_Toc126232269"/>
      <w:bookmarkStart w:id="33" w:name="_Toc126232855"/>
      <w:bookmarkStart w:id="34" w:name="_Toc126233617"/>
      <w:bookmarkStart w:id="35" w:name="_Toc126233653"/>
      <w:r>
        <w:rPr>
          <w:rStyle w:val="CharSchNo"/>
        </w:rPr>
        <w:lastRenderedPageBreak/>
        <w:t>Schedule 1</w:t>
      </w:r>
      <w:r>
        <w:t> — </w:t>
      </w:r>
      <w:r>
        <w:rPr>
          <w:rStyle w:val="CharSchText"/>
        </w:rPr>
        <w:t>Scale of fees and charges</w:t>
      </w:r>
      <w:bookmarkEnd w:id="32"/>
      <w:bookmarkEnd w:id="33"/>
      <w:bookmarkEnd w:id="34"/>
      <w:bookmarkEnd w:id="35"/>
    </w:p>
    <w:p>
      <w:pPr>
        <w:pStyle w:val="yShoulderClause"/>
      </w:pPr>
      <w:r>
        <w:t>[cl. 4]</w:t>
      </w:r>
    </w:p>
    <w:p>
      <w:pPr>
        <w:pStyle w:val="yHeading3"/>
      </w:pPr>
      <w:bookmarkStart w:id="36" w:name="_Toc126232270"/>
      <w:bookmarkStart w:id="37" w:name="_Toc126232856"/>
      <w:bookmarkStart w:id="38" w:name="_Toc126233618"/>
      <w:bookmarkStart w:id="39" w:name="_Toc126233654"/>
      <w:r>
        <w:rPr>
          <w:rStyle w:val="CharSDivNo"/>
        </w:rPr>
        <w:t>Division 1</w:t>
      </w:r>
      <w:r>
        <w:t> — </w:t>
      </w:r>
      <w:r>
        <w:rPr>
          <w:rStyle w:val="CharSDivText"/>
        </w:rPr>
        <w:t>General</w:t>
      </w:r>
      <w:bookmarkEnd w:id="36"/>
      <w:bookmarkEnd w:id="37"/>
      <w:bookmarkEnd w:id="38"/>
      <w:bookmarkEnd w:id="39"/>
    </w:p>
    <w:p>
      <w:pPr>
        <w:pStyle w:val="yFootnoteheading"/>
      </w:pPr>
      <w:r>
        <w:tab/>
        <w:t>[Heading inserted: SL 2021/134 cl. 4.]</w:t>
      </w:r>
    </w:p>
    <w:p>
      <w:pPr>
        <w:pStyle w:val="yHeading4"/>
      </w:pPr>
      <w:bookmarkStart w:id="40" w:name="_Toc126232271"/>
      <w:bookmarkStart w:id="41" w:name="_Toc126232857"/>
      <w:bookmarkStart w:id="42" w:name="_Toc126233619"/>
      <w:bookmarkStart w:id="43" w:name="_Toc126233655"/>
      <w:r>
        <w:t>Subdivision 1 — In</w:t>
      </w:r>
      <w:r>
        <w:noBreakHyphen/>
        <w:t>patients</w:t>
      </w:r>
      <w:bookmarkEnd w:id="40"/>
      <w:bookmarkEnd w:id="41"/>
      <w:bookmarkEnd w:id="42"/>
      <w:bookmarkEnd w:id="43"/>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pPr>
            <w:r>
              <w:t xml:space="preserve">Accommodation, maintenance, nursing care and other services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for public in</w:t>
            </w:r>
            <w:r>
              <w:noBreakHyphen/>
              <w:t>patients</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pPr>
            <w:r>
              <w:t>(b)</w:t>
            </w:r>
            <w:r>
              <w:tab/>
              <w:t>for private in</w:t>
            </w:r>
            <w:r>
              <w:noBreakHyphen/>
              <w:t>patients —</w:t>
            </w:r>
            <w:r>
              <w:rPr>
                <w:spacing w:val="-2"/>
              </w:rPr>
              <w:t xml:space="preserve">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w:t>
            </w:r>
            <w:r>
              <w:rPr>
                <w:spacing w:val="-2"/>
              </w:rPr>
              <w:tab/>
              <w:t>in single bed wards (if taken at patient’s request)</w:t>
            </w:r>
            <w:r>
              <w:rPr>
                <w:spacing w:val="-2"/>
              </w:rPr>
              <w:tab/>
            </w:r>
          </w:p>
        </w:tc>
        <w:tc>
          <w:tcPr>
            <w:tcW w:w="1640" w:type="dxa"/>
            <w:noWrap/>
          </w:tcPr>
          <w:p>
            <w:pPr>
              <w:pStyle w:val="yTableNAm"/>
            </w:pPr>
            <w:r>
              <w:br/>
              <w:t>$698</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(ii)</w:t>
            </w:r>
            <w:r>
              <w:rPr>
                <w:spacing w:val="-2"/>
              </w:rPr>
              <w:tab/>
              <w:t>in other wards</w:t>
            </w:r>
            <w:r>
              <w:rPr>
                <w:spacing w:val="-2"/>
              </w:rPr>
              <w:tab/>
            </w:r>
          </w:p>
        </w:tc>
        <w:tc>
          <w:tcPr>
            <w:tcW w:w="1640" w:type="dxa"/>
            <w:noWrap/>
          </w:tcPr>
          <w:p>
            <w:pPr>
              <w:pStyle w:val="yTableNAm"/>
            </w:pPr>
            <w:r>
              <w:t>$393</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(c)</w:t>
            </w:r>
            <w:r>
              <w:tab/>
              <w:t xml:space="preserve">for nursing home type patients </w:t>
            </w:r>
            <w:r>
              <w:tab/>
            </w:r>
          </w:p>
        </w:tc>
        <w:tc>
          <w:tcPr>
            <w:tcW w:w="1640" w:type="dxa"/>
            <w:noWrap/>
          </w:tcPr>
          <w:p>
            <w:pPr>
              <w:pStyle w:val="yTableNAm"/>
            </w:pPr>
            <w:r>
              <w:t xml:space="preserve">$68.05 </w:t>
            </w:r>
            <w:r>
              <w:rPr>
                <w:szCs w:val="22"/>
              </w:rP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(d)</w:t>
            </w:r>
            <w:r>
              <w:tab/>
              <w:t>for nursing home type private patients</w:t>
            </w:r>
            <w:r>
              <w:tab/>
            </w:r>
          </w:p>
        </w:tc>
        <w:tc>
          <w:tcPr>
            <w:tcW w:w="1640" w:type="dxa"/>
            <w:noWrap/>
          </w:tcPr>
          <w:p>
            <w:pPr>
              <w:pStyle w:val="yTableNAm"/>
            </w:pPr>
            <w:r>
              <w:t>$210.30</w:t>
            </w:r>
            <w:r>
              <w:rPr>
                <w:szCs w:val="22"/>
              </w:rPr>
              <w:t xml:space="preserve"> per day</w:t>
            </w:r>
          </w:p>
        </w:tc>
      </w:tr>
      <w:tr>
        <w:trPr>
          <w:cantSplit/>
        </w:trPr>
        <w:tc>
          <w:tcPr>
            <w:tcW w:w="567" w:type="dxa"/>
            <w:noWrap/>
          </w:tcPr>
          <w:p>
            <w:pPr>
              <w:pStyle w:val="yTableNAm"/>
            </w:pPr>
          </w:p>
        </w:tc>
        <w:tc>
          <w:tcPr>
            <w:tcW w:w="4597" w:type="dxa"/>
            <w:noWrap/>
          </w:tcPr>
          <w:p>
            <w:pPr>
              <w:pStyle w:val="yTableNAm"/>
              <w:tabs>
                <w:tab w:val="right" w:leader="dot" w:pos="4380"/>
              </w:tabs>
              <w:rPr>
                <w:i/>
              </w:rPr>
            </w:pPr>
            <w:r>
              <w:t>(e)</w:t>
            </w:r>
            <w:r>
              <w:tab/>
              <w:t>for ineligible in</w:t>
            </w:r>
            <w:r>
              <w:noBreakHyphen/>
              <w:t xml:space="preserve">patients </w:t>
            </w:r>
            <w:r>
              <w:tab/>
            </w:r>
          </w:p>
        </w:tc>
        <w:tc>
          <w:tcPr>
            <w:tcW w:w="1640" w:type="dxa"/>
            <w:noWrap/>
          </w:tcPr>
          <w:p>
            <w:pPr>
              <w:pStyle w:val="yTableNAm"/>
            </w:pPr>
            <w:r>
              <w:t>$2 869</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pPr>
            <w:r>
              <w:t>(f)</w:t>
            </w:r>
            <w:r>
              <w:tab/>
              <w:t>for eligible veteran in</w:t>
            </w:r>
            <w:r>
              <w:noBreakHyphen/>
              <w:t xml:space="preserve">patients </w:t>
            </w:r>
            <w:r>
              <w:tab/>
            </w:r>
          </w:p>
        </w:tc>
        <w:tc>
          <w:tcPr>
            <w:tcW w:w="1640" w:type="dxa"/>
            <w:noWrap/>
          </w:tcPr>
          <w:p>
            <w:pPr>
              <w:pStyle w:val="yTableNAm"/>
            </w:pPr>
            <w:r>
              <w:t>no charge</w:t>
            </w:r>
          </w:p>
        </w:tc>
      </w:tr>
      <w:tr>
        <w:trPr>
          <w:cantSplit/>
        </w:trPr>
        <w:tc>
          <w:tcPr>
            <w:tcW w:w="567" w:type="dxa"/>
            <w:noWrap/>
          </w:tcPr>
          <w:p>
            <w:pPr>
              <w:pStyle w:val="yTableNAm"/>
            </w:pPr>
            <w:r>
              <w:t>2.</w:t>
            </w:r>
          </w:p>
        </w:tc>
        <w:tc>
          <w:tcPr>
            <w:tcW w:w="4597" w:type="dxa"/>
            <w:noWrap/>
          </w:tcPr>
          <w:p>
            <w:pPr>
              <w:pStyle w:val="yTableNAm"/>
              <w:tabs>
                <w:tab w:val="right" w:leader="dot" w:pos="4380"/>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noWrap/>
            <w:vAlign w:val="bottom"/>
          </w:tcPr>
          <w:p>
            <w:pPr>
              <w:pStyle w:val="yTableNAm"/>
            </w:pPr>
            <w:r>
              <w:t>no charge</w:t>
            </w:r>
          </w:p>
        </w:tc>
      </w:tr>
    </w:tbl>
    <w:p>
      <w:pPr>
        <w:pStyle w:val="yHeading4"/>
      </w:pPr>
      <w:bookmarkStart w:id="44" w:name="_Toc126232272"/>
      <w:bookmarkStart w:id="45" w:name="_Toc126232858"/>
      <w:bookmarkStart w:id="46" w:name="_Toc126233620"/>
      <w:bookmarkStart w:id="47" w:name="_Toc126233656"/>
      <w:r>
        <w:t>Subdivision 2 — Day patients</w:t>
      </w:r>
      <w:bookmarkEnd w:id="44"/>
      <w:bookmarkEnd w:id="45"/>
      <w:bookmarkEnd w:id="46"/>
      <w:bookmarkEnd w:id="47"/>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3.</w:t>
            </w:r>
          </w:p>
        </w:tc>
        <w:tc>
          <w:tcPr>
            <w:tcW w:w="4597" w:type="dxa"/>
            <w:tcBorders>
              <w:top w:val="nil"/>
              <w:left w:val="nil"/>
              <w:bottom w:val="nil"/>
              <w:right w:val="nil"/>
            </w:tcBorders>
            <w:noWrap/>
          </w:tcPr>
          <w:p>
            <w:pPr>
              <w:pStyle w:val="yTableNAm"/>
              <w:tabs>
                <w:tab w:val="right" w:leader="dot" w:pos="4380"/>
              </w:tabs>
            </w:pPr>
            <w:r>
              <w:t xml:space="preserve">Accommodation, maintenance and other services for eligible day patients </w:t>
            </w:r>
            <w:r>
              <w:tab/>
            </w:r>
          </w:p>
        </w:tc>
        <w:tc>
          <w:tcPr>
            <w:tcW w:w="1640" w:type="dxa"/>
            <w:tcBorders>
              <w:top w:val="nil"/>
              <w:left w:val="nil"/>
              <w:bottom w:val="nil"/>
              <w:right w:val="nil"/>
            </w:tcBorders>
            <w:noWrap/>
            <w:vAlign w:val="bottom"/>
          </w:tcPr>
          <w:p>
            <w:pPr>
              <w:pStyle w:val="yTableNAm"/>
            </w:pPr>
            <w:r>
              <w:t>no charge</w:t>
            </w:r>
          </w:p>
        </w:tc>
      </w:tr>
    </w:tbl>
    <w:p>
      <w:pPr>
        <w:pStyle w:val="yHeading4"/>
      </w:pPr>
      <w:bookmarkStart w:id="48" w:name="_Toc126232273"/>
      <w:bookmarkStart w:id="49" w:name="_Toc126232859"/>
      <w:bookmarkStart w:id="50" w:name="_Toc126233621"/>
      <w:bookmarkStart w:id="51" w:name="_Toc126233657"/>
      <w:r>
        <w:lastRenderedPageBreak/>
        <w:t>Subdivision 3 — Out</w:t>
      </w:r>
      <w:r>
        <w:noBreakHyphen/>
        <w:t>patients</w:t>
      </w:r>
      <w:bookmarkEnd w:id="48"/>
      <w:bookmarkEnd w:id="49"/>
      <w:bookmarkEnd w:id="50"/>
      <w:bookmarkEnd w:id="51"/>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noWrap/>
          </w:tcPr>
          <w:p>
            <w:pPr>
              <w:pStyle w:val="yTableNAm"/>
            </w:pPr>
            <w:r>
              <w:t>4.</w:t>
            </w:r>
          </w:p>
        </w:tc>
        <w:tc>
          <w:tcPr>
            <w:tcW w:w="4583" w:type="dxa"/>
            <w:noWrap/>
          </w:tcPr>
          <w:p>
            <w:pPr>
              <w:pStyle w:val="yTableNAm"/>
            </w:pPr>
            <w:r>
              <w:t>Out</w:t>
            </w:r>
            <w:r>
              <w:noBreakHyphen/>
              <w:t xml:space="preserve">patients service, except for medicines referred to in item 5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(a)</w:t>
            </w:r>
            <w:r>
              <w:tab/>
              <w:t>for eligible out</w:t>
            </w:r>
            <w:r>
              <w:noBreakHyphen/>
              <w:t>patients and eligible veteran out</w:t>
            </w:r>
            <w:r>
              <w:noBreakHyphen/>
              <w:t xml:space="preserve">patients </w:t>
            </w:r>
            <w:r>
              <w:tab/>
            </w:r>
          </w:p>
        </w:tc>
        <w:tc>
          <w:tcPr>
            <w:tcW w:w="1654" w:type="dxa"/>
            <w:noWrap/>
            <w:vAlign w:val="bottom"/>
          </w:tcPr>
          <w:p>
            <w:pPr>
              <w:pStyle w:val="yTableNAm"/>
            </w:pPr>
            <w:r>
              <w:t>no charge</w:t>
            </w: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(b)</w:t>
            </w:r>
            <w:r>
              <w:tab/>
              <w:t>for ineligible out</w:t>
            </w:r>
            <w:r>
              <w:noBreakHyphen/>
              <w:t xml:space="preserve">patients — for each individual service rendered </w:t>
            </w:r>
            <w:r>
              <w:tab/>
            </w:r>
          </w:p>
        </w:tc>
        <w:tc>
          <w:tcPr>
            <w:tcW w:w="1654" w:type="dxa"/>
            <w:noWrap/>
            <w:vAlign w:val="bottom"/>
          </w:tcPr>
          <w:p>
            <w:pPr>
              <w:pStyle w:val="yTableNAm"/>
            </w:pPr>
            <w:r>
              <w:t>$351</w:t>
            </w:r>
          </w:p>
        </w:tc>
      </w:tr>
      <w:tr>
        <w:trPr>
          <w:cantSplit/>
        </w:trPr>
        <w:tc>
          <w:tcPr>
            <w:tcW w:w="567" w:type="dxa"/>
            <w:noWrap/>
          </w:tcPr>
          <w:p>
            <w:pPr>
              <w:pStyle w:val="yTableNAm"/>
            </w:pPr>
            <w:r>
              <w:t>5.</w:t>
            </w:r>
          </w:p>
        </w:tc>
        <w:tc>
          <w:tcPr>
            <w:tcW w:w="4583" w:type="dxa"/>
            <w:noWrap/>
          </w:tcPr>
          <w:p>
            <w:pPr>
              <w:pStyle w:val="yTableNAm"/>
            </w:pPr>
            <w:r>
              <w:t xml:space="preserve">Medicines, for each item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pPr>
            <w:r>
              <w:t>(a)</w:t>
            </w:r>
            <w:r>
              <w:tab/>
              <w:t>for holders of an entitlement card</w:t>
            </w:r>
            <w:r>
              <w:tab/>
            </w:r>
          </w:p>
        </w:tc>
        <w:tc>
          <w:tcPr>
            <w:tcW w:w="1654" w:type="dxa"/>
            <w:noWrap/>
            <w:vAlign w:val="bottom"/>
          </w:tcPr>
          <w:p>
            <w:pPr>
              <w:pStyle w:val="yTableNAm"/>
            </w:pPr>
            <w:r>
              <w:t>no charge</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pPr>
            <w:r>
              <w:t>(b)</w:t>
            </w:r>
            <w:r>
              <w:tab/>
              <w:t xml:space="preserve">for other people who are — </w:t>
            </w:r>
          </w:p>
          <w:p>
            <w:pPr>
              <w:pStyle w:val="yTableNAm"/>
              <w:tabs>
                <w:tab w:val="clear" w:pos="567"/>
                <w:tab w:val="right" w:pos="771"/>
                <w:tab w:val="right" w:leader="dot" w:pos="4380"/>
              </w:tabs>
              <w:ind w:left="1055" w:hanging="1055"/>
            </w:pPr>
            <w:r>
              <w:tab/>
              <w:t>(i)</w:t>
            </w:r>
            <w:r>
              <w:tab/>
            </w:r>
            <w:r>
              <w:rPr>
                <w:spacing w:val="-2"/>
              </w:rPr>
              <w:t>veterans</w:t>
            </w:r>
            <w:r>
              <w:t xml:space="preserve"> who hold a Gold Card or a White Card; or</w:t>
            </w:r>
          </w:p>
          <w:p>
            <w:pPr>
              <w:pStyle w:val="yTableNAm"/>
              <w:tabs>
                <w:tab w:val="clear" w:pos="567"/>
                <w:tab w:val="right" w:pos="771"/>
                <w:tab w:val="right" w:leader="dot" w:pos="4380"/>
              </w:tabs>
              <w:ind w:left="1055" w:hanging="1055"/>
            </w:pPr>
            <w:r>
              <w:tab/>
              <w:t>(ii)</w:t>
            </w:r>
            <w:r>
              <w:tab/>
            </w:r>
            <w:r>
              <w:rPr>
                <w:spacing w:val="-2"/>
              </w:rPr>
              <w:t>pensioners</w:t>
            </w:r>
            <w:r>
              <w:t>; or</w:t>
            </w:r>
          </w:p>
          <w:p>
            <w:pPr>
              <w:pStyle w:val="yTableNAm"/>
              <w:tabs>
                <w:tab w:val="clear" w:pos="567"/>
                <w:tab w:val="right" w:pos="771"/>
                <w:tab w:val="right" w:leader="dot" w:pos="4380"/>
              </w:tabs>
              <w:ind w:left="1055" w:hanging="1055"/>
            </w:pPr>
            <w:r>
              <w:tab/>
              <w:t>(iii)</w:t>
            </w:r>
            <w:r>
              <w:tab/>
            </w:r>
            <w:r>
              <w:rPr>
                <w:spacing w:val="-2"/>
              </w:rPr>
              <w:t>concessional</w:t>
            </w:r>
            <w:r>
              <w:t xml:space="preserve"> beneficiaries </w:t>
            </w:r>
            <w:r>
              <w:tab/>
            </w:r>
          </w:p>
        </w:tc>
        <w:tc>
          <w:tcPr>
            <w:tcW w:w="1654" w:type="dxa"/>
            <w:tcBorders>
              <w:bottom w:val="nil"/>
            </w:tcBorders>
            <w:noWrap/>
            <w:vAlign w:val="bottom"/>
          </w:tcPr>
          <w:p>
            <w:pPr>
              <w:pStyle w:val="yTableNAm"/>
            </w:pPr>
            <w:r>
              <w:t>$7.30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88" w:hanging="488"/>
            </w:pPr>
            <w:r>
              <w:t>(c)</w:t>
            </w:r>
            <w:r>
              <w:tab/>
              <w:t>for all other people (other than ineligible out</w:t>
            </w:r>
            <w:r>
              <w:noBreakHyphen/>
              <w:t>patients) —</w:t>
            </w:r>
          </w:p>
        </w:tc>
        <w:tc>
          <w:tcPr>
            <w:tcW w:w="1654" w:type="dxa"/>
            <w:tcBorders>
              <w:bottom w:val="nil"/>
            </w:tcBorders>
            <w:noWrap/>
            <w:vAlign w:val="bottom"/>
          </w:tcPr>
          <w:p>
            <w:pPr>
              <w:pStyle w:val="yTableNAm"/>
            </w:pP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w:t>
            </w:r>
            <w:r>
              <w:tab/>
              <w:t xml:space="preserve">at a </w:t>
            </w:r>
            <w:r>
              <w:rPr>
                <w:spacing w:val="-2"/>
              </w:rPr>
              <w:t>participating</w:t>
            </w:r>
            <w:r>
              <w:t xml:space="preserve"> hospital for an item on the PBS list</w:t>
            </w:r>
            <w:r>
              <w:tab/>
            </w:r>
          </w:p>
        </w:tc>
        <w:tc>
          <w:tcPr>
            <w:tcW w:w="1654" w:type="dxa"/>
            <w:tcBorders>
              <w:bottom w:val="nil"/>
            </w:tcBorders>
            <w:noWrap/>
            <w:vAlign w:val="bottom"/>
          </w:tcPr>
          <w:p>
            <w:pPr>
              <w:pStyle w:val="yTableNAm"/>
            </w:pPr>
            <w:r>
              <w:br/>
              <w:t>PBS price up to a maximum of $30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w:t>
            </w:r>
            <w:r>
              <w:tab/>
              <w:t xml:space="preserve">at a participating hospital for an item not on the PBS list </w:t>
            </w:r>
            <w:r>
              <w:tab/>
            </w:r>
          </w:p>
        </w:tc>
        <w:tc>
          <w:tcPr>
            <w:tcW w:w="1654" w:type="dxa"/>
            <w:tcBorders>
              <w:bottom w:val="nil"/>
            </w:tcBorders>
            <w:noWrap/>
            <w:vAlign w:val="bottom"/>
          </w:tcPr>
          <w:p>
            <w:pPr>
              <w:pStyle w:val="yTableNAm"/>
            </w:pPr>
            <w:r>
              <w:t>$24</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(iii)</w:t>
            </w:r>
            <w:r>
              <w:tab/>
              <w:t xml:space="preserve">at a hospital that is not a participating hospital </w:t>
            </w:r>
            <w:r>
              <w:tab/>
            </w:r>
          </w:p>
        </w:tc>
        <w:tc>
          <w:tcPr>
            <w:tcW w:w="1654" w:type="dxa"/>
            <w:tcBorders>
              <w:bottom w:val="nil"/>
            </w:tcBorders>
            <w:noWrap/>
            <w:vAlign w:val="bottom"/>
          </w:tcPr>
          <w:p>
            <w:pPr>
              <w:pStyle w:val="yTableNAm"/>
            </w:pPr>
            <w:r>
              <w:t>$24</w:t>
            </w:r>
          </w:p>
        </w:tc>
      </w:tr>
    </w:tbl>
    <w:p>
      <w:pPr>
        <w:pStyle w:val="yHeading4"/>
      </w:pPr>
      <w:bookmarkStart w:id="52" w:name="_Toc126232274"/>
      <w:bookmarkStart w:id="53" w:name="_Toc126232860"/>
      <w:bookmarkStart w:id="54" w:name="_Toc126233622"/>
      <w:bookmarkStart w:id="55" w:name="_Toc126233658"/>
      <w:r>
        <w:t>Subdivision 4 — Same day patients</w:t>
      </w:r>
      <w:bookmarkEnd w:id="52"/>
      <w:bookmarkEnd w:id="53"/>
      <w:bookmarkEnd w:id="54"/>
      <w:bookmarkEnd w:id="55"/>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6.</w:t>
            </w:r>
          </w:p>
        </w:tc>
        <w:tc>
          <w:tcPr>
            <w:tcW w:w="4597" w:type="dxa"/>
            <w:noWrap/>
          </w:tcPr>
          <w:p>
            <w:pPr>
              <w:pStyle w:val="yTableNAm"/>
            </w:pPr>
            <w:r>
              <w:t xml:space="preserve">Same day health service, other than a service subject to a charge set out in this Schedule and associated with the provision of such service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 xml:space="preserve">for public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(b)</w:t>
            </w:r>
            <w:r>
              <w:tab/>
              <w:t xml:space="preserve">for private same day patients </w:t>
            </w:r>
            <w:r>
              <w:tab/>
            </w:r>
          </w:p>
        </w:tc>
        <w:tc>
          <w:tcPr>
            <w:tcW w:w="1640" w:type="dxa"/>
            <w:noWrap/>
          </w:tcPr>
          <w:p>
            <w:pPr>
              <w:pStyle w:val="yTableNAm"/>
            </w:pPr>
            <w:r>
              <w:t>$324 per day</w:t>
            </w:r>
          </w:p>
        </w:tc>
      </w:tr>
      <w:tr>
        <w:trPr>
          <w:cantSplit/>
        </w:trPr>
        <w:tc>
          <w:tcPr>
            <w:tcW w:w="567" w:type="dxa"/>
            <w:noWrap/>
          </w:tcPr>
          <w:p>
            <w:pPr>
              <w:pStyle w:val="yTableNAm"/>
            </w:pPr>
          </w:p>
        </w:tc>
        <w:tc>
          <w:tcPr>
            <w:tcW w:w="4597" w:type="dxa"/>
            <w:noWrap/>
          </w:tcPr>
          <w:p>
            <w:pPr>
              <w:pStyle w:val="yTableNAm"/>
              <w:tabs>
                <w:tab w:val="right" w:leader="dot" w:pos="4380"/>
              </w:tabs>
            </w:pPr>
            <w:r>
              <w:t>(c)</w:t>
            </w:r>
            <w:r>
              <w:tab/>
              <w:t xml:space="preserve">for eligible veteran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(d)</w:t>
            </w:r>
            <w:r>
              <w:tab/>
              <w:t xml:space="preserve">for ineligible same day patients </w:t>
            </w:r>
            <w:r>
              <w:tab/>
            </w:r>
          </w:p>
        </w:tc>
        <w:tc>
          <w:tcPr>
            <w:tcW w:w="1640" w:type="dxa"/>
            <w:noWrap/>
          </w:tcPr>
          <w:p>
            <w:pPr>
              <w:pStyle w:val="yTableNAm"/>
            </w:pPr>
            <w:r>
              <w:t>$2 682 per day</w:t>
            </w:r>
          </w:p>
        </w:tc>
      </w:tr>
    </w:tbl>
    <w:p>
      <w:pPr>
        <w:pStyle w:val="yHeading4"/>
      </w:pPr>
      <w:bookmarkStart w:id="56" w:name="_Toc126232275"/>
      <w:bookmarkStart w:id="57" w:name="_Toc126232861"/>
      <w:bookmarkStart w:id="58" w:name="_Toc126233623"/>
      <w:bookmarkStart w:id="59" w:name="_Toc126233659"/>
      <w:r>
        <w:t>Subdivision 5 — Other services</w:t>
      </w:r>
      <w:bookmarkEnd w:id="56"/>
      <w:bookmarkEnd w:id="57"/>
      <w:bookmarkEnd w:id="58"/>
      <w:bookmarkEnd w:id="59"/>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7.</w:t>
            </w:r>
          </w:p>
        </w:tc>
        <w:tc>
          <w:tcPr>
            <w:tcW w:w="4597" w:type="dxa"/>
            <w:tcBorders>
              <w:top w:val="nil"/>
              <w:left w:val="nil"/>
              <w:bottom w:val="nil"/>
              <w:right w:val="nil"/>
            </w:tcBorders>
            <w:noWrap/>
          </w:tcPr>
          <w:p>
            <w:pPr>
              <w:pStyle w:val="yTableNAm"/>
              <w:tabs>
                <w:tab w:val="right" w:leader="dot" w:pos="4380"/>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noWrap/>
            <w:vAlign w:val="bottom"/>
          </w:tcPr>
          <w:p>
            <w:pPr>
              <w:pStyle w:val="yTableNAm"/>
            </w:pPr>
            <w:r>
              <w:t>$42 per day</w:t>
            </w:r>
          </w:p>
        </w:tc>
      </w:tr>
    </w:tbl>
    <w:p>
      <w:pPr>
        <w:pStyle w:val="yFootnotesection"/>
      </w:pPr>
      <w:r>
        <w:tab/>
        <w:t>[Division 1 inserted: SL 2021/134 cl. 4; amended: SL 2021/194 cl. 4; SL 2022/9 cl. 4; SL 2022/55 cl. 4; SL 2022/110 r. 4; SL 2022/166 cl. 4; SL 2023/6 cl. 4.]</w:t>
      </w:r>
    </w:p>
    <w:p>
      <w:pPr>
        <w:pStyle w:val="yHeading3"/>
      </w:pPr>
      <w:bookmarkStart w:id="60" w:name="_Toc126232276"/>
      <w:bookmarkStart w:id="61" w:name="_Toc126232862"/>
      <w:bookmarkStart w:id="62" w:name="_Toc126233624"/>
      <w:bookmarkStart w:id="63" w:name="_Toc126233660"/>
      <w:r>
        <w:rPr>
          <w:rStyle w:val="CharSDivNo"/>
        </w:rPr>
        <w:t>Division 2</w:t>
      </w:r>
      <w:r>
        <w:t> — </w:t>
      </w:r>
      <w:r>
        <w:rPr>
          <w:rStyle w:val="CharSDivText"/>
        </w:rPr>
        <w:t>Compensable patients</w:t>
      </w:r>
      <w:bookmarkEnd w:id="60"/>
      <w:bookmarkEnd w:id="61"/>
      <w:bookmarkEnd w:id="62"/>
      <w:bookmarkEnd w:id="63"/>
    </w:p>
    <w:p>
      <w:pPr>
        <w:pStyle w:val="yFootnoteheading"/>
      </w:pPr>
      <w:r>
        <w:tab/>
        <w:t>[Heading inserted: SL 2021/134 cl. 4.]</w:t>
      </w:r>
    </w:p>
    <w:p>
      <w:pPr>
        <w:pStyle w:val="yHeading4"/>
      </w:pPr>
      <w:bookmarkStart w:id="64" w:name="_Toc126232277"/>
      <w:bookmarkStart w:id="65" w:name="_Toc126232863"/>
      <w:bookmarkStart w:id="66" w:name="_Toc126233625"/>
      <w:bookmarkStart w:id="67" w:name="_Toc126233661"/>
      <w:r>
        <w:t>Subdivision 1 — Compensable in</w:t>
      </w:r>
      <w:r>
        <w:noBreakHyphen/>
        <w:t>patients</w:t>
      </w:r>
      <w:bookmarkEnd w:id="64"/>
      <w:bookmarkEnd w:id="65"/>
      <w:bookmarkEnd w:id="66"/>
      <w:bookmarkEnd w:id="67"/>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tabs>
                <w:tab w:val="right" w:leader="dot" w:pos="4380"/>
              </w:tabs>
              <w:rPr>
                <w:rStyle w:val="DraftersNotes"/>
              </w:rPr>
            </w:pPr>
            <w:r>
              <w:t xml:space="preserve">Accommodation, maintenance, nursing care and other services in a hospital bed, except services referred to in item 5 or 6 </w:t>
            </w:r>
            <w:r>
              <w:tab/>
            </w:r>
          </w:p>
        </w:tc>
        <w:tc>
          <w:tcPr>
            <w:tcW w:w="1640" w:type="dxa"/>
            <w:noWrap/>
            <w:vAlign w:val="bottom"/>
          </w:tcPr>
          <w:p>
            <w:pPr>
              <w:pStyle w:val="yTableNAm"/>
            </w:pPr>
            <w:r>
              <w:t>$3 026</w:t>
            </w:r>
            <w:r>
              <w:rPr>
                <w:szCs w:val="22"/>
              </w:rPr>
              <w:t xml:space="preserve"> </w:t>
            </w:r>
            <w:r>
              <w:t>per day</w:t>
            </w:r>
          </w:p>
        </w:tc>
      </w:tr>
      <w:tr>
        <w:trPr>
          <w:cantSplit/>
        </w:trPr>
        <w:tc>
          <w:tcPr>
            <w:tcW w:w="567" w:type="dxa"/>
            <w:noWrap/>
          </w:tcPr>
          <w:p>
            <w:pPr>
              <w:pStyle w:val="yTableNAm"/>
            </w:pPr>
            <w:r>
              <w:t>2.</w:t>
            </w:r>
          </w:p>
        </w:tc>
        <w:tc>
          <w:tcPr>
            <w:tcW w:w="4597" w:type="dxa"/>
            <w:noWrap/>
          </w:tcPr>
          <w:p>
            <w:pPr>
              <w:pStyle w:val="yTableNAm"/>
              <w:tabs>
                <w:tab w:val="right" w:leader="dot" w:pos="4380"/>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$2 336</w:t>
            </w:r>
            <w:r>
              <w:rPr>
                <w:szCs w:val="22"/>
              </w:rPr>
              <w:t xml:space="preserve"> </w:t>
            </w:r>
            <w:r>
              <w:t>per day</w:t>
            </w:r>
          </w:p>
        </w:tc>
      </w:tr>
      <w:tr>
        <w:trPr>
          <w:cantSplit/>
        </w:trPr>
        <w:tc>
          <w:tcPr>
            <w:tcW w:w="567" w:type="dxa"/>
            <w:noWrap/>
          </w:tcPr>
          <w:p>
            <w:pPr>
              <w:pStyle w:val="yTableNAm"/>
            </w:pPr>
            <w:r>
              <w:t>3.</w:t>
            </w:r>
          </w:p>
        </w:tc>
        <w:tc>
          <w:tcPr>
            <w:tcW w:w="4597" w:type="dxa"/>
            <w:noWrap/>
          </w:tcPr>
          <w:p>
            <w:pPr>
              <w:pStyle w:val="yTableNAm"/>
              <w:tabs>
                <w:tab w:val="right" w:leader="dot" w:pos="4380"/>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noWrap/>
            <w:vAlign w:val="bottom"/>
          </w:tcPr>
          <w:p>
            <w:pPr>
              <w:pStyle w:val="yTableNAm"/>
            </w:pPr>
            <w:r>
              <w:t>$3 244</w:t>
            </w:r>
            <w:r>
              <w:rPr>
                <w:szCs w:val="22"/>
              </w:rPr>
              <w:t xml:space="preserve"> </w:t>
            </w:r>
            <w:r>
              <w:t xml:space="preserve">per day </w:t>
            </w:r>
          </w:p>
        </w:tc>
      </w:tr>
      <w:tr>
        <w:trPr>
          <w:cantSplit/>
        </w:trPr>
        <w:tc>
          <w:tcPr>
            <w:tcW w:w="567" w:type="dxa"/>
            <w:noWrap/>
          </w:tcPr>
          <w:p>
            <w:pPr>
              <w:pStyle w:val="yTableNAm"/>
            </w:pPr>
            <w:r>
              <w:lastRenderedPageBreak/>
              <w:t>4.</w:t>
            </w:r>
          </w:p>
        </w:tc>
        <w:tc>
          <w:tcPr>
            <w:tcW w:w="4597" w:type="dxa"/>
            <w:noWrap/>
          </w:tcPr>
          <w:p>
            <w:pPr>
              <w:pStyle w:val="yTableNAm"/>
              <w:tabs>
                <w:tab w:val="right" w:leader="dot" w:pos="4380"/>
              </w:tabs>
            </w:pPr>
            <w:r>
              <w:t xml:space="preserve">Accommodation, maintenance, nursing care and other services in a nursing home bed </w:t>
            </w:r>
            <w:r>
              <w:tab/>
            </w:r>
          </w:p>
        </w:tc>
        <w:tc>
          <w:tcPr>
            <w:tcW w:w="1640" w:type="dxa"/>
            <w:noWrap/>
            <w:vAlign w:val="bottom"/>
          </w:tcPr>
          <w:p>
            <w:pPr>
              <w:pStyle w:val="yTableNAm"/>
            </w:pPr>
            <w:r>
              <w:t>$324</w:t>
            </w:r>
            <w:r>
              <w:rPr>
                <w:szCs w:val="22"/>
              </w:rPr>
              <w:t xml:space="preserve"> </w:t>
            </w:r>
            <w:r>
              <w:t>per day</w:t>
            </w:r>
          </w:p>
        </w:tc>
      </w:tr>
      <w:tr>
        <w:trPr>
          <w:cantSplit/>
        </w:trPr>
        <w:tc>
          <w:tcPr>
            <w:tcW w:w="567" w:type="dxa"/>
            <w:noWrap/>
          </w:tcPr>
          <w:p>
            <w:pPr>
              <w:pStyle w:val="yTableNAm"/>
            </w:pPr>
            <w:r>
              <w:t>5.</w:t>
            </w:r>
          </w:p>
        </w:tc>
        <w:tc>
          <w:tcPr>
            <w:tcW w:w="4597" w:type="dxa"/>
            <w:noWrap/>
          </w:tcPr>
          <w:p>
            <w:pPr>
              <w:pStyle w:val="yTableNAm"/>
              <w:tabs>
                <w:tab w:val="clear" w:pos="567"/>
                <w:tab w:val="right" w:leader="dot" w:pos="4380"/>
              </w:tabs>
            </w:pPr>
            <w:r>
              <w:t>Accommodation, maintenance, nursing care and other services in a hospital bed for a ventilator dependent compensable in</w:t>
            </w:r>
            <w:r>
              <w:noBreakHyphen/>
              <w:t>patient with tracheostomy requiring 24 hour a day individual care</w:t>
            </w:r>
            <w:r>
              <w:tab/>
            </w:r>
          </w:p>
        </w:tc>
        <w:tc>
          <w:tcPr>
            <w:tcW w:w="1640" w:type="dxa"/>
            <w:noWrap/>
            <w:vAlign w:val="bottom"/>
          </w:tcPr>
          <w:p>
            <w:pPr>
              <w:pStyle w:val="yTableNAm"/>
            </w:pPr>
            <w:r>
              <w:t>$6 574</w:t>
            </w:r>
            <w:r>
              <w:rPr>
                <w:szCs w:val="22"/>
              </w:rPr>
              <w:t xml:space="preserve"> </w:t>
            </w:r>
            <w:r>
              <w:t>per day</w:t>
            </w:r>
          </w:p>
        </w:tc>
      </w:tr>
      <w:tr>
        <w:trPr>
          <w:cantSplit/>
        </w:trPr>
        <w:tc>
          <w:tcPr>
            <w:tcW w:w="567" w:type="dxa"/>
            <w:noWrap/>
          </w:tcPr>
          <w:p>
            <w:pPr>
              <w:pStyle w:val="yTableNAm"/>
            </w:pPr>
            <w:r>
              <w:t>6.</w:t>
            </w:r>
          </w:p>
        </w:tc>
        <w:tc>
          <w:tcPr>
            <w:tcW w:w="4597" w:type="dxa"/>
            <w:noWrap/>
          </w:tcPr>
          <w:p>
            <w:pPr>
              <w:pStyle w:val="yTableNAm"/>
              <w:tabs>
                <w:tab w:val="right" w:leader="dot" w:pos="4380"/>
              </w:tabs>
            </w:pPr>
            <w:r>
              <w:t>Accommodation, maintenance, nursing care and other services in a hospital bed for a patient requiring 24 hour a day care for airway management, with or without tracheostomy</w:t>
            </w:r>
            <w:r>
              <w:tab/>
            </w:r>
          </w:p>
        </w:tc>
        <w:tc>
          <w:tcPr>
            <w:tcW w:w="1640" w:type="dxa"/>
            <w:noWrap/>
            <w:vAlign w:val="bottom"/>
          </w:tcPr>
          <w:p>
            <w:pPr>
              <w:pStyle w:val="yTableNAm"/>
            </w:pPr>
            <w:r>
              <w:t>$3 931</w:t>
            </w:r>
            <w:r>
              <w:rPr>
                <w:szCs w:val="22"/>
              </w:rPr>
              <w:t xml:space="preserve"> </w:t>
            </w:r>
            <w:r>
              <w:t>per day</w:t>
            </w:r>
          </w:p>
        </w:tc>
      </w:tr>
    </w:tbl>
    <w:p>
      <w:pPr>
        <w:pStyle w:val="yHeading4"/>
      </w:pPr>
      <w:bookmarkStart w:id="68" w:name="_Toc126232278"/>
      <w:bookmarkStart w:id="69" w:name="_Toc126232864"/>
      <w:bookmarkStart w:id="70" w:name="_Toc126233626"/>
      <w:bookmarkStart w:id="71" w:name="_Toc126233662"/>
      <w:r>
        <w:t>Subdivision 2 — Compensable out</w:t>
      </w:r>
      <w:r>
        <w:noBreakHyphen/>
        <w:t>patients</w:t>
      </w:r>
      <w:bookmarkEnd w:id="68"/>
      <w:bookmarkEnd w:id="69"/>
      <w:bookmarkEnd w:id="70"/>
      <w:bookmarkEnd w:id="71"/>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7.</w:t>
            </w:r>
          </w:p>
        </w:tc>
        <w:tc>
          <w:tcPr>
            <w:tcW w:w="4597" w:type="dxa"/>
            <w:noWrap/>
          </w:tcPr>
          <w:p>
            <w:pPr>
              <w:pStyle w:val="yTableNAm"/>
            </w:pPr>
            <w:r>
              <w:t>For radiological service — for each item of service</w:t>
            </w:r>
          </w:p>
        </w:tc>
        <w:tc>
          <w:tcPr>
            <w:tcW w:w="1640" w:type="dxa"/>
            <w:noWrap/>
            <w:vAlign w:val="bottom"/>
          </w:tcPr>
          <w:p>
            <w:pPr>
              <w:pStyle w:val="yTableNAm"/>
            </w:pPr>
            <w:r>
              <w:t>$351</w:t>
            </w:r>
          </w:p>
        </w:tc>
      </w:tr>
      <w:tr>
        <w:trPr>
          <w:cantSplit/>
        </w:trPr>
        <w:tc>
          <w:tcPr>
            <w:tcW w:w="567" w:type="dxa"/>
            <w:noWrap/>
          </w:tcPr>
          <w:p>
            <w:pPr>
              <w:pStyle w:val="yTableNAm"/>
            </w:pPr>
            <w:r>
              <w:t>8.</w:t>
            </w:r>
          </w:p>
        </w:tc>
        <w:tc>
          <w:tcPr>
            <w:tcW w:w="4597" w:type="dxa"/>
            <w:noWrap/>
          </w:tcPr>
          <w:p>
            <w:pPr>
              <w:pStyle w:val="yTableNAm"/>
            </w:pPr>
            <w:r>
              <w:t xml:space="preserve">For medicines, subject to item 9, for each item — </w:t>
            </w:r>
          </w:p>
          <w:p>
            <w:pPr>
              <w:pStyle w:val="yTableNAm"/>
              <w:tabs>
                <w:tab w:val="right" w:leader="dot" w:pos="4380"/>
              </w:tabs>
              <w:ind w:left="488" w:hanging="488"/>
            </w:pPr>
            <w:r>
              <w:t>(a)</w:t>
            </w:r>
            <w:r>
              <w:tab/>
              <w:t xml:space="preserve">at a participating hospital for an item on the PBS list </w:t>
            </w:r>
            <w:r>
              <w:tab/>
            </w:r>
            <w:r>
              <w:br/>
            </w:r>
            <w:r>
              <w:br/>
            </w:r>
          </w:p>
          <w:p>
            <w:pPr>
              <w:pStyle w:val="yTableNAm"/>
              <w:tabs>
                <w:tab w:val="clear" w:pos="567"/>
                <w:tab w:val="right" w:pos="771"/>
                <w:tab w:val="right" w:leader="dot" w:pos="4380"/>
              </w:tabs>
              <w:ind w:left="488" w:hanging="488"/>
            </w:pPr>
            <w:r>
              <w:t>(b)</w:t>
            </w:r>
            <w:r>
              <w:tab/>
            </w:r>
            <w:r>
              <w:tab/>
              <w:t xml:space="preserve">at a participating hospital for an item not on the PBS list </w:t>
            </w:r>
            <w:r>
              <w:tab/>
            </w:r>
          </w:p>
          <w:p>
            <w:pPr>
              <w:pStyle w:val="yTableNAm"/>
              <w:tabs>
                <w:tab w:val="right" w:leader="dot" w:pos="4380"/>
              </w:tabs>
              <w:ind w:left="488" w:hanging="488"/>
            </w:pPr>
            <w:r>
              <w:t>(c)</w:t>
            </w:r>
            <w:r>
              <w:tab/>
              <w:t xml:space="preserve">at a hospital that is not a participating hospital </w:t>
            </w:r>
            <w:r>
              <w:tab/>
            </w:r>
          </w:p>
        </w:tc>
        <w:tc>
          <w:tcPr>
            <w:tcW w:w="1640" w:type="dxa"/>
            <w:noWrap/>
            <w:vAlign w:val="bottom"/>
          </w:tcPr>
          <w:p>
            <w:pPr>
              <w:pStyle w:val="yTableNAm"/>
            </w:pPr>
          </w:p>
          <w:p>
            <w:pPr>
              <w:pStyle w:val="yTableNAm"/>
            </w:pPr>
            <w:r>
              <w:br/>
              <w:t>PBS price up to a maximum of $30</w:t>
            </w:r>
          </w:p>
          <w:p>
            <w:pPr>
              <w:pStyle w:val="yTableNAm"/>
            </w:pPr>
            <w:r>
              <w:br/>
              <w:t>$24</w:t>
            </w:r>
          </w:p>
          <w:p>
            <w:pPr>
              <w:pStyle w:val="yTableNAm"/>
            </w:pPr>
            <w:r>
              <w:br/>
              <w:t>$24</w:t>
            </w:r>
          </w:p>
        </w:tc>
      </w:tr>
      <w:tr>
        <w:trPr>
          <w:cantSplit/>
        </w:trPr>
        <w:tc>
          <w:tcPr>
            <w:tcW w:w="567" w:type="dxa"/>
            <w:noWrap/>
          </w:tcPr>
          <w:p>
            <w:pPr>
              <w:pStyle w:val="yTableNAm"/>
            </w:pPr>
            <w:r>
              <w:t>9.</w:t>
            </w:r>
          </w:p>
        </w:tc>
        <w:tc>
          <w:tcPr>
            <w:tcW w:w="4597" w:type="dxa"/>
            <w:noWrap/>
          </w:tcPr>
          <w:p>
            <w:pPr>
              <w:pStyle w:val="yTableNAm"/>
              <w:tabs>
                <w:tab w:val="right" w:leader="dot" w:pos="4380"/>
              </w:tabs>
            </w:pPr>
            <w:r>
              <w:t>For each other individual service (with any medicines supplied at the time of the initial service being treated as included in that service)</w:t>
            </w:r>
          </w:p>
        </w:tc>
        <w:tc>
          <w:tcPr>
            <w:tcW w:w="1640" w:type="dxa"/>
            <w:noWrap/>
            <w:vAlign w:val="bottom"/>
          </w:tcPr>
          <w:p>
            <w:pPr>
              <w:pStyle w:val="yTableNAm"/>
            </w:pPr>
            <w:r>
              <w:t>$351</w:t>
            </w:r>
          </w:p>
        </w:tc>
      </w:tr>
    </w:tbl>
    <w:p>
      <w:pPr>
        <w:pStyle w:val="yHeading4"/>
      </w:pPr>
      <w:bookmarkStart w:id="72" w:name="_Toc126232279"/>
      <w:bookmarkStart w:id="73" w:name="_Toc126232865"/>
      <w:bookmarkStart w:id="74" w:name="_Toc126233627"/>
      <w:bookmarkStart w:id="75" w:name="_Toc126233663"/>
      <w:r>
        <w:lastRenderedPageBreak/>
        <w:t>Subdivision 3 — Compensable same day patients</w:t>
      </w:r>
      <w:bookmarkEnd w:id="72"/>
      <w:bookmarkEnd w:id="73"/>
      <w:bookmarkEnd w:id="74"/>
      <w:bookmarkEnd w:id="75"/>
    </w:p>
    <w:p>
      <w:pPr>
        <w:pStyle w:val="yFootnoteheading"/>
        <w:keepNext/>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10.</w:t>
            </w:r>
          </w:p>
        </w:tc>
        <w:tc>
          <w:tcPr>
            <w:tcW w:w="4597" w:type="dxa"/>
            <w:noWrap/>
          </w:tcPr>
          <w:p>
            <w:pPr>
              <w:pStyle w:val="yTableNAm"/>
            </w:pPr>
            <w:r>
              <w:t xml:space="preserve">Same day treatment in hospitals, other than day hospitals, nursing homes and nursing posts — </w:t>
            </w:r>
          </w:p>
          <w:p>
            <w:pPr>
              <w:pStyle w:val="yTableNAm"/>
              <w:tabs>
                <w:tab w:val="right" w:leader="dot" w:pos="4380"/>
              </w:tabs>
              <w:ind w:left="488" w:hanging="488"/>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$2 610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$3 597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(c)</w:t>
            </w:r>
            <w:r>
              <w:tab/>
              <w:t>for any other patient</w:t>
            </w:r>
            <w:r>
              <w:tab/>
            </w:r>
          </w:p>
        </w:tc>
        <w:tc>
          <w:tcPr>
            <w:tcW w:w="1640" w:type="dxa"/>
            <w:noWrap/>
            <w:vAlign w:val="bottom"/>
          </w:tcPr>
          <w:p>
            <w:pPr>
              <w:pStyle w:val="yTableNAm"/>
            </w:pPr>
            <w:r>
              <w:t>$3 369 per day</w:t>
            </w:r>
          </w:p>
        </w:tc>
      </w:tr>
    </w:tbl>
    <w:p>
      <w:pPr>
        <w:pStyle w:val="yFootnotesection"/>
      </w:pPr>
      <w:r>
        <w:tab/>
        <w:t>[Division 2 inserted: SL 2021/134 cl. 4; amended: SL 2022/9 cl. 4; SL 2022/110 r. 4; SL 2022/166 cl. 4; SL 2023/6 cl. 4.]</w:t>
      </w:r>
    </w:p>
    <w:p>
      <w:pPr>
        <w:pStyle w:val="yHeading3"/>
        <w:rPr>
          <w:rStyle w:val="CharSDivNo"/>
          <w:b w:val="0"/>
        </w:rPr>
      </w:pPr>
      <w:bookmarkStart w:id="76" w:name="_Toc126232280"/>
      <w:bookmarkStart w:id="77" w:name="_Toc126232866"/>
      <w:bookmarkStart w:id="78" w:name="_Toc126233628"/>
      <w:bookmarkStart w:id="79" w:name="_Toc126233664"/>
      <w:r>
        <w:rPr>
          <w:rStyle w:val="CharSDivNo"/>
        </w:rPr>
        <w:t>Division 3</w:t>
      </w:r>
      <w:r>
        <w:t> — </w:t>
      </w:r>
      <w:r>
        <w:rPr>
          <w:rStyle w:val="CharSDivText"/>
        </w:rPr>
        <w:t>Magnetic resonance imaging</w:t>
      </w:r>
      <w:bookmarkEnd w:id="76"/>
      <w:bookmarkEnd w:id="77"/>
      <w:bookmarkEnd w:id="78"/>
      <w:bookmarkEnd w:id="79"/>
    </w:p>
    <w:p>
      <w:pPr>
        <w:pStyle w:val="yTHeadingNAm"/>
        <w:spacing w:before="60"/>
      </w:pPr>
      <w: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rPr>
                <w:szCs w:val="22"/>
              </w:rPr>
              <w:t>$3 465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rPr>
                <w:szCs w:val="22"/>
              </w:rPr>
              <w:t>$3 465</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r>
            <w:r>
              <w:rPr>
                <w:szCs w:val="22"/>
              </w:rPr>
              <w:t>$205</w:t>
            </w:r>
          </w:p>
        </w:tc>
      </w:tr>
    </w:tbl>
    <w:p>
      <w:pPr>
        <w:pStyle w:val="yFootnotesection"/>
      </w:pPr>
      <w:r>
        <w:tab/>
        <w:t>[Division 3 amended: SL 2021/35 cl. 4.]</w:t>
      </w:r>
    </w:p>
    <w:p>
      <w:pPr>
        <w:pStyle w:val="yHeading3"/>
        <w:rPr>
          <w:szCs w:val="24"/>
        </w:rPr>
      </w:pPr>
      <w:bookmarkStart w:id="80" w:name="_Toc126232281"/>
      <w:bookmarkStart w:id="81" w:name="_Toc126232867"/>
      <w:bookmarkStart w:id="82" w:name="_Toc126233629"/>
      <w:bookmarkStart w:id="83" w:name="_Toc126233665"/>
      <w:r>
        <w:rPr>
          <w:rStyle w:val="CharSDivNo"/>
        </w:rPr>
        <w:lastRenderedPageBreak/>
        <w:t>Division 4</w:t>
      </w:r>
      <w:r>
        <w:rPr>
          <w:szCs w:val="24"/>
        </w:rPr>
        <w:t> — </w:t>
      </w:r>
      <w:r>
        <w:rPr>
          <w:rStyle w:val="CharSDivText"/>
        </w:rPr>
        <w:t>Pathology services</w:t>
      </w:r>
      <w:bookmarkEnd w:id="80"/>
      <w:bookmarkEnd w:id="81"/>
      <w:bookmarkEnd w:id="82"/>
      <w:bookmarkEnd w:id="83"/>
    </w:p>
    <w:p>
      <w:pPr>
        <w:pStyle w:val="yNumberedItem"/>
        <w:keepNext/>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keepNext/>
              <w:jc w:val="center"/>
              <w:rPr>
                <w:b/>
                <w:bCs/>
              </w:rPr>
            </w:pPr>
            <w:r>
              <w:rPr>
                <w:b/>
                <w:bCs/>
              </w:rPr>
              <w:t>Item</w:t>
            </w:r>
          </w:p>
        </w:tc>
        <w:tc>
          <w:tcPr>
            <w:tcW w:w="6095" w:type="dxa"/>
          </w:tcPr>
          <w:p>
            <w:pPr>
              <w:pStyle w:val="yTableNAm"/>
              <w:keepNext/>
              <w:jc w:val="center"/>
              <w:rPr>
                <w:b/>
                <w:bCs/>
              </w:rPr>
            </w:pPr>
            <w:r>
              <w:rPr>
                <w:b/>
                <w:bCs/>
              </w:rPr>
              <w:t>Charge</w:t>
            </w:r>
          </w:p>
        </w:tc>
      </w:tr>
      <w:tr>
        <w:tc>
          <w:tcPr>
            <w:tcW w:w="709" w:type="dxa"/>
          </w:tcPr>
          <w:p>
            <w:pPr>
              <w:pStyle w:val="yTableNAm"/>
              <w:keepNext/>
            </w:pPr>
            <w:r>
              <w:t>1.</w:t>
            </w:r>
          </w:p>
        </w:tc>
        <w:tc>
          <w:tcPr>
            <w:tcW w:w="6095" w:type="dxa"/>
          </w:tcPr>
          <w:p>
            <w:pPr>
              <w:pStyle w:val="yIndenta"/>
              <w:keepNext/>
              <w:spacing w:before="120"/>
            </w:pPr>
            <w:r>
              <w:t xml:space="preserve">The MBS amount for the service if the service is provided to — </w:t>
            </w:r>
          </w:p>
          <w:p>
            <w:pPr>
              <w:pStyle w:val="yIndenta"/>
              <w:keepNext/>
              <w:tabs>
                <w:tab w:val="clear" w:pos="1332"/>
                <w:tab w:val="clear" w:pos="1616"/>
                <w:tab w:val="left" w:pos="988"/>
              </w:tabs>
              <w:spacing w:before="60"/>
              <w:ind w:left="459" w:hanging="459"/>
            </w:pPr>
            <w:r>
              <w:tab/>
              <w:t>(a)</w:t>
            </w:r>
            <w:r>
              <w:tab/>
              <w:t>a private in</w:t>
            </w:r>
            <w:r>
              <w:noBreakHyphen/>
              <w:t>patient; or</w:t>
            </w:r>
          </w:p>
          <w:p>
            <w:pPr>
              <w:pStyle w:val="yIndenta"/>
              <w:keepNext/>
              <w:tabs>
                <w:tab w:val="clear" w:pos="1332"/>
                <w:tab w:val="clear" w:pos="1616"/>
                <w:tab w:val="left" w:pos="988"/>
              </w:tabs>
              <w:spacing w:before="60"/>
              <w:ind w:left="459" w:hanging="459"/>
            </w:pPr>
            <w:r>
              <w:tab/>
              <w:t>(b)</w:t>
            </w:r>
            <w:r>
              <w:tab/>
              <w:t>a compensable in</w:t>
            </w:r>
            <w:r>
              <w:noBreakHyphen/>
              <w:t>patient; or</w:t>
            </w:r>
          </w:p>
          <w:p>
            <w:pPr>
              <w:pStyle w:val="yIndenta"/>
              <w:keepNext/>
              <w:tabs>
                <w:tab w:val="clear" w:pos="1332"/>
                <w:tab w:val="clear" w:pos="1616"/>
                <w:tab w:val="left" w:pos="988"/>
              </w:tabs>
              <w:spacing w:before="60"/>
              <w:ind w:left="459" w:hanging="459"/>
            </w:pPr>
            <w:r>
              <w:tab/>
              <w:t>(c)</w:t>
            </w:r>
            <w:r>
              <w:tab/>
              <w:t>a nursing home type private patient; or</w:t>
            </w:r>
          </w:p>
          <w:p>
            <w:pPr>
              <w:pStyle w:val="yIndenta"/>
              <w:keepNext/>
              <w:tabs>
                <w:tab w:val="clear" w:pos="1332"/>
                <w:tab w:val="clear" w:pos="1616"/>
                <w:tab w:val="left" w:pos="988"/>
              </w:tabs>
              <w:spacing w:before="60"/>
              <w:ind w:left="459" w:hanging="459"/>
            </w:pPr>
            <w:r>
              <w:tab/>
              <w:t>(d)</w:t>
            </w:r>
            <w:r>
              <w:tab/>
              <w:t>an ineligible in</w:t>
            </w:r>
            <w:r>
              <w:noBreakHyphen/>
              <w:t>patient; or</w:t>
            </w:r>
          </w:p>
          <w:p>
            <w:pPr>
              <w:pStyle w:val="yIndenta"/>
              <w:keepNext/>
              <w:tabs>
                <w:tab w:val="clear" w:pos="1332"/>
                <w:tab w:val="clear" w:pos="1616"/>
                <w:tab w:val="left" w:pos="988"/>
              </w:tabs>
              <w:spacing w:before="60"/>
              <w:ind w:left="459" w:hanging="459"/>
            </w:pPr>
            <w:r>
              <w:tab/>
              <w:t>(e)</w:t>
            </w:r>
            <w:r>
              <w:tab/>
              <w:t>a compensable day patient; or</w:t>
            </w:r>
          </w:p>
          <w:p>
            <w:pPr>
              <w:pStyle w:val="yIndenta"/>
              <w:keepNext/>
              <w:tabs>
                <w:tab w:val="clear" w:pos="1332"/>
                <w:tab w:val="clear" w:pos="1616"/>
                <w:tab w:val="left" w:pos="988"/>
              </w:tabs>
              <w:spacing w:before="60"/>
              <w:ind w:left="459" w:hanging="459"/>
            </w:pPr>
            <w:r>
              <w:tab/>
              <w:t>(f)</w:t>
            </w:r>
            <w:r>
              <w:tab/>
              <w:t>an ineligible day patient; or</w:t>
            </w:r>
          </w:p>
          <w:p>
            <w:pPr>
              <w:pStyle w:val="yIndenta"/>
              <w:keepNext/>
              <w:tabs>
                <w:tab w:val="clear" w:pos="1332"/>
                <w:tab w:val="clear" w:pos="1616"/>
                <w:tab w:val="left" w:pos="988"/>
              </w:tabs>
              <w:spacing w:before="60"/>
              <w:ind w:left="459" w:hanging="459"/>
            </w:pPr>
            <w:r>
              <w:tab/>
              <w:t>(g)</w:t>
            </w:r>
            <w:r>
              <w:tab/>
              <w:t>a compensable out</w:t>
            </w:r>
            <w:r>
              <w:noBreakHyphen/>
              <w:t>patient; or</w:t>
            </w:r>
          </w:p>
          <w:p>
            <w:pPr>
              <w:pStyle w:val="yIndenta"/>
              <w:keepNext/>
              <w:tabs>
                <w:tab w:val="clear" w:pos="1332"/>
                <w:tab w:val="clear" w:pos="1616"/>
                <w:tab w:val="left" w:pos="988"/>
              </w:tabs>
              <w:spacing w:before="60"/>
              <w:ind w:left="459" w:hanging="459"/>
            </w:pPr>
            <w:r>
              <w:tab/>
              <w:t>(h)</w:t>
            </w:r>
            <w:r>
              <w:tab/>
              <w:t>an ineligible out</w:t>
            </w:r>
            <w:r>
              <w:noBreakHyphen/>
              <w:t>patient; or</w:t>
            </w:r>
          </w:p>
          <w:p>
            <w:pPr>
              <w:pStyle w:val="yIndenta"/>
              <w:keepNext/>
              <w:tabs>
                <w:tab w:val="clear" w:pos="1332"/>
                <w:tab w:val="clear" w:pos="1616"/>
                <w:tab w:val="left" w:pos="988"/>
              </w:tabs>
              <w:spacing w:before="60"/>
              <w:ind w:left="459" w:hanging="459"/>
            </w:pPr>
            <w:r>
              <w:tab/>
              <w:t>(i)</w:t>
            </w:r>
            <w:r>
              <w:tab/>
              <w:t>a private same day patient; or</w:t>
            </w:r>
          </w:p>
          <w:p>
            <w:pPr>
              <w:pStyle w:val="yIndenta"/>
              <w:keepNext/>
              <w:tabs>
                <w:tab w:val="clear" w:pos="1332"/>
                <w:tab w:val="clear" w:pos="1616"/>
                <w:tab w:val="left" w:pos="988"/>
              </w:tabs>
              <w:spacing w:before="60"/>
              <w:ind w:left="459" w:hanging="459"/>
            </w:pPr>
            <w:r>
              <w:tab/>
              <w:t>(j)</w:t>
            </w:r>
            <w:r>
              <w:tab/>
              <w:t>a compensable same day patient; or</w:t>
            </w:r>
          </w:p>
          <w:p>
            <w:pPr>
              <w:pStyle w:val="yIndenta"/>
              <w:keepNext/>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[Division 5 deleted: SL 2020/58 cl. 7.]</w:t>
      </w:r>
    </w:p>
    <w:p>
      <w:pPr>
        <w:pStyle w:val="yHeading3"/>
      </w:pPr>
      <w:bookmarkStart w:id="84" w:name="_Toc126232282"/>
      <w:bookmarkStart w:id="85" w:name="_Toc126232868"/>
      <w:bookmarkStart w:id="86" w:name="_Toc126233630"/>
      <w:bookmarkStart w:id="87" w:name="_Toc126233666"/>
      <w:r>
        <w:rPr>
          <w:rStyle w:val="CharSDivNo"/>
        </w:rPr>
        <w:t>Division 6</w:t>
      </w:r>
      <w:r>
        <w:t> — </w:t>
      </w:r>
      <w:r>
        <w:rPr>
          <w:rStyle w:val="CharSDivText"/>
        </w:rPr>
        <w:t>Surgically implanted prostheses</w:t>
      </w:r>
      <w:bookmarkEnd w:id="84"/>
      <w:bookmarkEnd w:id="85"/>
      <w:bookmarkEnd w:id="86"/>
      <w:bookmarkEnd w:id="87"/>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lastRenderedPageBreak/>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89" w:name="_Toc126232283"/>
      <w:bookmarkStart w:id="90" w:name="_Toc126232869"/>
      <w:bookmarkStart w:id="91" w:name="_Toc126233631"/>
      <w:bookmarkStart w:id="92" w:name="_Toc126233667"/>
      <w:r>
        <w:lastRenderedPageBreak/>
        <w:t>Notes</w:t>
      </w:r>
      <w:bookmarkEnd w:id="89"/>
      <w:bookmarkEnd w:id="90"/>
      <w:bookmarkEnd w:id="91"/>
      <w:bookmarkEnd w:id="92"/>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93" w:name="_Toc126233668"/>
      <w:r>
        <w:t>Compilation table</w:t>
      </w:r>
      <w:bookmarkEnd w:id="9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lastRenderedPageBreak/>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c>
          <w:tcPr>
            <w:tcW w:w="3118" w:type="dxa"/>
            <w:tcBorders>
              <w:top w:val="nil"/>
              <w:bottom w:val="nil"/>
            </w:tcBorders>
          </w:tcPr>
          <w:p>
            <w:pPr>
              <w:pStyle w:val="nTable"/>
              <w:spacing w:after="40"/>
              <w:rPr>
                <w:i/>
                <w:noProof/>
              </w:rPr>
            </w:pPr>
            <w:r>
              <w:rPr>
                <w:i/>
                <w:noProof/>
              </w:rPr>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keepNext/>
              <w:spacing w:after="40"/>
              <w:rPr>
                <w:i/>
                <w:noProof/>
              </w:rPr>
            </w:pPr>
            <w:r>
              <w:rPr>
                <w:i/>
                <w:noProof/>
              </w:rPr>
              <w:lastRenderedPageBreak/>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c>
          <w:tcPr>
            <w:tcW w:w="3118" w:type="dxa"/>
            <w:tcBorders>
              <w:top w:val="nil"/>
              <w:bottom w:val="nil"/>
            </w:tcBorders>
          </w:tcPr>
          <w:p>
            <w:pPr>
              <w:pStyle w:val="nTable"/>
              <w:keepNext/>
              <w:spacing w:after="40"/>
              <w:rPr>
                <w:i/>
                <w:noProof/>
              </w:rPr>
            </w:pPr>
            <w:r>
              <w:rPr>
                <w:i/>
              </w:rPr>
              <w:t>Health Services (Fees and Charges) Amendment Order 2021</w:t>
            </w:r>
          </w:p>
        </w:tc>
        <w:tc>
          <w:tcPr>
            <w:tcW w:w="1276" w:type="dxa"/>
            <w:tcBorders>
              <w:top w:val="nil"/>
              <w:bottom w:val="nil"/>
            </w:tcBorders>
          </w:tcPr>
          <w:p>
            <w:pPr>
              <w:pStyle w:val="nTable"/>
              <w:spacing w:after="40"/>
            </w:pPr>
            <w:r>
              <w:t>SL 2021/20 9 Feb 2021</w:t>
            </w:r>
          </w:p>
        </w:tc>
        <w:tc>
          <w:tcPr>
            <w:tcW w:w="2693" w:type="dxa"/>
            <w:tcBorders>
              <w:top w:val="nil"/>
              <w:bottom w:val="nil"/>
            </w:tcBorders>
          </w:tcPr>
          <w:p>
            <w:pPr>
              <w:pStyle w:val="nTable"/>
              <w:spacing w:after="40"/>
            </w:pPr>
            <w:r>
              <w:t>cl. 1 and 2: 9 Feb 2021 (see cl. 2(a));</w:t>
            </w:r>
            <w:r>
              <w:br/>
              <w:t>Order other than cl. 1 and 2: 10 Feb 2021 (see cl. 2(b))</w:t>
            </w:r>
          </w:p>
        </w:tc>
      </w:tr>
      <w:tr>
        <w:tc>
          <w:tcPr>
            <w:tcW w:w="3118" w:type="dxa"/>
            <w:tcBorders>
              <w:top w:val="nil"/>
              <w:bottom w:val="nil"/>
            </w:tcBorders>
          </w:tcPr>
          <w:p>
            <w:pPr>
              <w:pStyle w:val="nTable"/>
              <w:keepNext/>
              <w:spacing w:after="40"/>
              <w:rPr>
                <w:i/>
              </w:rPr>
            </w:pPr>
            <w:r>
              <w:rPr>
                <w:i/>
              </w:rPr>
              <w:t>Health Services (Fees and Charges) Amendment Order (No. 3) 2021</w:t>
            </w:r>
          </w:p>
        </w:tc>
        <w:tc>
          <w:tcPr>
            <w:tcW w:w="1276" w:type="dxa"/>
            <w:tcBorders>
              <w:top w:val="nil"/>
              <w:bottom w:val="nil"/>
            </w:tcBorders>
          </w:tcPr>
          <w:p>
            <w:pPr>
              <w:pStyle w:val="nTable"/>
              <w:spacing w:after="40"/>
            </w:pPr>
            <w:r>
              <w:t>SL 2021/35 9 Apr 2021</w:t>
            </w:r>
          </w:p>
        </w:tc>
        <w:tc>
          <w:tcPr>
            <w:tcW w:w="2693" w:type="dxa"/>
            <w:tcBorders>
              <w:top w:val="nil"/>
              <w:bottom w:val="nil"/>
            </w:tcBorders>
          </w:tcPr>
          <w:p>
            <w:pPr>
              <w:pStyle w:val="nTable"/>
              <w:spacing w:after="40"/>
            </w:pPr>
            <w:r>
              <w:t>cl. 1 and 2: 9 Apr 2021 (see cl. 2(a));</w:t>
            </w:r>
            <w:r>
              <w:br/>
              <w:t>Order other than cl. 1 and 2: 10 Apr 2021 (see cl. 2(b))</w:t>
            </w:r>
          </w:p>
        </w:tc>
      </w:tr>
      <w:tr>
        <w:tc>
          <w:tcPr>
            <w:tcW w:w="3118" w:type="dxa"/>
            <w:tcBorders>
              <w:top w:val="nil"/>
              <w:bottom w:val="nil"/>
            </w:tcBorders>
          </w:tcPr>
          <w:p>
            <w:pPr>
              <w:pStyle w:val="nTable"/>
              <w:keepNext/>
              <w:spacing w:after="40"/>
              <w:rPr>
                <w:i/>
              </w:rPr>
            </w:pPr>
            <w:r>
              <w:rPr>
                <w:i/>
              </w:rPr>
              <w:t>Health Services (Fees and Charges) Amendment Order (No. 4) 2021</w:t>
            </w:r>
          </w:p>
        </w:tc>
        <w:tc>
          <w:tcPr>
            <w:tcW w:w="1276" w:type="dxa"/>
            <w:tcBorders>
              <w:top w:val="nil"/>
              <w:bottom w:val="nil"/>
            </w:tcBorders>
          </w:tcPr>
          <w:p>
            <w:pPr>
              <w:pStyle w:val="nTable"/>
              <w:spacing w:after="40"/>
            </w:pPr>
            <w:r>
              <w:t>SL 2021/134 27 Jul 2021</w:t>
            </w:r>
          </w:p>
        </w:tc>
        <w:tc>
          <w:tcPr>
            <w:tcW w:w="2693" w:type="dxa"/>
            <w:tcBorders>
              <w:top w:val="nil"/>
              <w:bottom w:val="nil"/>
            </w:tcBorders>
          </w:tcPr>
          <w:p>
            <w:pPr>
              <w:pStyle w:val="nTable"/>
              <w:spacing w:after="40"/>
            </w:pPr>
            <w:r>
              <w:t>cl. 1 and 2: 27 Jul 2021 (see cl. 2(a));</w:t>
            </w:r>
            <w:r>
              <w:br/>
              <w:t>Order other than cl. 1 and 2: 28 Jul 2021 (see cl. 2(b))</w:t>
            </w:r>
          </w:p>
        </w:tc>
      </w:tr>
      <w:tr>
        <w:tc>
          <w:tcPr>
            <w:tcW w:w="3118" w:type="dxa"/>
            <w:tcBorders>
              <w:top w:val="nil"/>
              <w:bottom w:val="nil"/>
            </w:tcBorders>
          </w:tcPr>
          <w:p>
            <w:pPr>
              <w:pStyle w:val="nTable"/>
              <w:keepNext/>
              <w:spacing w:after="40"/>
              <w:rPr>
                <w:i/>
              </w:rPr>
            </w:pPr>
            <w:r>
              <w:rPr>
                <w:i/>
              </w:rPr>
              <w:t>Health Services (Fees and Charges) Amendment Order (No. 5) 2021</w:t>
            </w:r>
          </w:p>
        </w:tc>
        <w:tc>
          <w:tcPr>
            <w:tcW w:w="1276" w:type="dxa"/>
            <w:tcBorders>
              <w:top w:val="nil"/>
              <w:bottom w:val="nil"/>
            </w:tcBorders>
          </w:tcPr>
          <w:p>
            <w:pPr>
              <w:pStyle w:val="nTable"/>
              <w:spacing w:after="40"/>
            </w:pPr>
            <w:r>
              <w:t>SL 2021/194 26 Nov 2021</w:t>
            </w:r>
          </w:p>
        </w:tc>
        <w:tc>
          <w:tcPr>
            <w:tcW w:w="2693" w:type="dxa"/>
            <w:tcBorders>
              <w:top w:val="nil"/>
              <w:bottom w:val="nil"/>
            </w:tcBorders>
          </w:tcPr>
          <w:p>
            <w:pPr>
              <w:pStyle w:val="nTable"/>
              <w:spacing w:after="40"/>
            </w:pPr>
            <w:r>
              <w:t>cl. 1 and 2: 26 Nov 2021 (see cl. 2(a));</w:t>
            </w:r>
            <w:r>
              <w:br/>
              <w:t>Order other than cl. 1 and 2: 27 Nov 2021 (see cl. 2(b))</w:t>
            </w:r>
          </w:p>
        </w:tc>
      </w:tr>
      <w:tr>
        <w:tc>
          <w:tcPr>
            <w:tcW w:w="3118" w:type="dxa"/>
            <w:tcBorders>
              <w:top w:val="nil"/>
              <w:bottom w:val="nil"/>
            </w:tcBorders>
          </w:tcPr>
          <w:p>
            <w:pPr>
              <w:pStyle w:val="nTable"/>
              <w:keepNext/>
              <w:spacing w:after="40"/>
              <w:rPr>
                <w:i/>
              </w:rPr>
            </w:pPr>
            <w:r>
              <w:rPr>
                <w:i/>
              </w:rPr>
              <w:t>Health Services (Fees and Charges) Amendment Order 2022</w:t>
            </w:r>
          </w:p>
        </w:tc>
        <w:tc>
          <w:tcPr>
            <w:tcW w:w="1276" w:type="dxa"/>
            <w:tcBorders>
              <w:top w:val="nil"/>
              <w:bottom w:val="nil"/>
            </w:tcBorders>
          </w:tcPr>
          <w:p>
            <w:pPr>
              <w:pStyle w:val="nTable"/>
              <w:spacing w:after="40"/>
            </w:pPr>
            <w:r>
              <w:t>SL 2022/9 11 Feb 2022</w:t>
            </w:r>
          </w:p>
        </w:tc>
        <w:tc>
          <w:tcPr>
            <w:tcW w:w="2693" w:type="dxa"/>
            <w:tcBorders>
              <w:top w:val="nil"/>
              <w:bottom w:val="nil"/>
            </w:tcBorders>
          </w:tcPr>
          <w:p>
            <w:pPr>
              <w:pStyle w:val="nTable"/>
              <w:spacing w:after="40"/>
            </w:pPr>
            <w:r>
              <w:t>cl. 1 and 2: 11 Feb 2022 (see cl. 2(a));</w:t>
            </w:r>
            <w:r>
              <w:br/>
              <w:t>Order other than cl. 1 and 2: 12 Feb 2022 (see cl. 2(b))</w:t>
            </w:r>
          </w:p>
        </w:tc>
      </w:tr>
      <w:tr>
        <w:tc>
          <w:tcPr>
            <w:tcW w:w="3118" w:type="dxa"/>
            <w:tcBorders>
              <w:top w:val="nil"/>
              <w:bottom w:val="nil"/>
            </w:tcBorders>
          </w:tcPr>
          <w:p>
            <w:pPr>
              <w:pStyle w:val="nTable"/>
              <w:keepNext/>
              <w:spacing w:after="40"/>
              <w:rPr>
                <w:i/>
              </w:rPr>
            </w:pPr>
            <w:r>
              <w:rPr>
                <w:i/>
              </w:rPr>
              <w:t>Health Services (Fees and Charges) Amendment Order (No. 2) 2022</w:t>
            </w:r>
          </w:p>
        </w:tc>
        <w:tc>
          <w:tcPr>
            <w:tcW w:w="1276" w:type="dxa"/>
            <w:tcBorders>
              <w:top w:val="nil"/>
              <w:bottom w:val="nil"/>
            </w:tcBorders>
          </w:tcPr>
          <w:p>
            <w:pPr>
              <w:pStyle w:val="nTable"/>
              <w:spacing w:after="40"/>
            </w:pPr>
            <w:r>
              <w:t>SL 2022/55 20 May 2022</w:t>
            </w:r>
          </w:p>
        </w:tc>
        <w:tc>
          <w:tcPr>
            <w:tcW w:w="2693" w:type="dxa"/>
            <w:tcBorders>
              <w:top w:val="nil"/>
              <w:bottom w:val="nil"/>
            </w:tcBorders>
          </w:tcPr>
          <w:p>
            <w:pPr>
              <w:pStyle w:val="nTable"/>
              <w:spacing w:after="40"/>
            </w:pPr>
            <w:r>
              <w:t>cl. 1 and 2: 20 May 2022 (see cl. 2(a));</w:t>
            </w:r>
            <w:r>
              <w:br/>
              <w:t>Order other than cl. 1 and 2: 21 May 2022 (see cl. 2(b))</w:t>
            </w:r>
          </w:p>
        </w:tc>
      </w:tr>
      <w:tr>
        <w:tc>
          <w:tcPr>
            <w:tcW w:w="3118" w:type="dxa"/>
            <w:tcBorders>
              <w:top w:val="nil"/>
              <w:bottom w:val="nil"/>
            </w:tcBorders>
          </w:tcPr>
          <w:p>
            <w:pPr>
              <w:pStyle w:val="nTable"/>
              <w:keepNext/>
              <w:spacing w:after="40"/>
              <w:rPr>
                <w:i/>
              </w:rPr>
            </w:pPr>
            <w:r>
              <w:rPr>
                <w:i/>
              </w:rPr>
              <w:t>Health Services (Fees and Charges) Amendment Order (No. 3) 2022</w:t>
            </w:r>
          </w:p>
        </w:tc>
        <w:tc>
          <w:tcPr>
            <w:tcW w:w="1276" w:type="dxa"/>
            <w:tcBorders>
              <w:top w:val="nil"/>
              <w:bottom w:val="nil"/>
            </w:tcBorders>
          </w:tcPr>
          <w:p>
            <w:pPr>
              <w:pStyle w:val="nTable"/>
              <w:spacing w:after="40"/>
            </w:pPr>
            <w:r>
              <w:t>SL 2022/110 28 Jun 2022</w:t>
            </w:r>
          </w:p>
        </w:tc>
        <w:tc>
          <w:tcPr>
            <w:tcW w:w="2693" w:type="dxa"/>
            <w:tcBorders>
              <w:top w:val="nil"/>
              <w:bottom w:val="nil"/>
            </w:tcBorders>
          </w:tcPr>
          <w:p>
            <w:pPr>
              <w:pStyle w:val="nTable"/>
              <w:spacing w:after="40"/>
            </w:pPr>
            <w:r>
              <w:t>cl. 1 and 2: 28 Jun 2022 (see cl. 2(a));</w:t>
            </w:r>
            <w:r>
              <w:br/>
              <w:t>Order other than cl. 1 and 2: 1 Jul 2022 (see cl. 2(b))</w:t>
            </w:r>
          </w:p>
        </w:tc>
      </w:tr>
      <w:tr>
        <w:tc>
          <w:tcPr>
            <w:tcW w:w="3118" w:type="dxa"/>
            <w:tcBorders>
              <w:top w:val="nil"/>
              <w:bottom w:val="nil"/>
            </w:tcBorders>
          </w:tcPr>
          <w:p>
            <w:pPr>
              <w:pStyle w:val="nTable"/>
              <w:keepNext/>
              <w:spacing w:after="40"/>
              <w:rPr>
                <w:i/>
              </w:rPr>
            </w:pPr>
            <w:r>
              <w:rPr>
                <w:i/>
              </w:rPr>
              <w:t>Health Services (Fees and Charges) Amendment Order (No. 4) 2022</w:t>
            </w:r>
          </w:p>
        </w:tc>
        <w:tc>
          <w:tcPr>
            <w:tcW w:w="1276" w:type="dxa"/>
            <w:tcBorders>
              <w:top w:val="nil"/>
              <w:bottom w:val="nil"/>
            </w:tcBorders>
          </w:tcPr>
          <w:p>
            <w:pPr>
              <w:pStyle w:val="nTable"/>
              <w:spacing w:after="40"/>
            </w:pPr>
            <w:r>
              <w:t>SL 2022/166 18 Oct 2022</w:t>
            </w:r>
          </w:p>
        </w:tc>
        <w:tc>
          <w:tcPr>
            <w:tcW w:w="2693" w:type="dxa"/>
            <w:tcBorders>
              <w:top w:val="nil"/>
              <w:bottom w:val="nil"/>
            </w:tcBorders>
          </w:tcPr>
          <w:p>
            <w:pPr>
              <w:pStyle w:val="nTable"/>
              <w:spacing w:after="40"/>
            </w:pPr>
            <w:r>
              <w:t>cl. 1 and 2: 18 Oct 2022 (see cl. 2(a));</w:t>
            </w:r>
            <w:r>
              <w:br/>
              <w:t>Order other than cl. 1 and 2: 19 Oct 2022 (see cl. 2(b))</w:t>
            </w:r>
          </w:p>
        </w:tc>
      </w:tr>
      <w:tr>
        <w:tc>
          <w:tcPr>
            <w:tcW w:w="3118" w:type="dxa"/>
            <w:tcBorders>
              <w:top w:val="nil"/>
              <w:bottom w:val="single" w:sz="4" w:space="0" w:color="auto"/>
            </w:tcBorders>
          </w:tcPr>
          <w:p>
            <w:pPr>
              <w:pStyle w:val="nTable"/>
              <w:keepNext/>
              <w:spacing w:after="40"/>
              <w:rPr>
                <w:i/>
              </w:rPr>
            </w:pPr>
            <w:r>
              <w:rPr>
                <w:i/>
              </w:rPr>
              <w:lastRenderedPageBreak/>
              <w:t>Health Services (Fees and Charges) Amendment Order 2023</w:t>
            </w:r>
          </w:p>
        </w:tc>
        <w:tc>
          <w:tcPr>
            <w:tcW w:w="1276" w:type="dxa"/>
            <w:tcBorders>
              <w:top w:val="nil"/>
              <w:bottom w:val="single" w:sz="4" w:space="0" w:color="auto"/>
            </w:tcBorders>
          </w:tcPr>
          <w:p>
            <w:pPr>
              <w:pStyle w:val="nTable"/>
              <w:spacing w:after="40"/>
            </w:pPr>
            <w:r>
              <w:t>SL 2023/6 3 Feb 2023</w:t>
            </w:r>
          </w:p>
        </w:tc>
        <w:tc>
          <w:tcPr>
            <w:tcW w:w="2693" w:type="dxa"/>
            <w:tcBorders>
              <w:top w:val="nil"/>
              <w:bottom w:val="single" w:sz="4" w:space="0" w:color="auto"/>
            </w:tcBorders>
          </w:tcPr>
          <w:p>
            <w:pPr>
              <w:pStyle w:val="nTable"/>
              <w:spacing w:after="40"/>
            </w:pPr>
            <w:r>
              <w:t>cl. 1 and 2: 3 Feb 2023 (see cl. 2(a));</w:t>
            </w:r>
            <w:r>
              <w:br/>
              <w:t>Order other than cl. 1 and 2: 4 Feb 2023 (see cl.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95" w:name="_Toc126232285"/>
      <w:bookmarkStart w:id="96" w:name="_Toc126232871"/>
      <w:bookmarkStart w:id="97" w:name="_Toc126233633"/>
      <w:bookmarkStart w:id="98" w:name="_Toc126233669"/>
      <w:r>
        <w:rPr>
          <w:sz w:val="28"/>
        </w:rPr>
        <w:lastRenderedPageBreak/>
        <w:t>Defined terms</w:t>
      </w:r>
      <w:bookmarkEnd w:id="95"/>
      <w:bookmarkEnd w:id="96"/>
      <w:bookmarkEnd w:id="97"/>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 chargeable patient</w:t>
      </w:r>
      <w:r>
        <w:tab/>
        <w:t>9(1)</w:t>
      </w:r>
    </w:p>
    <w:p>
      <w:pPr>
        <w:pStyle w:val="DefinedTerms"/>
      </w:pPr>
      <w:r>
        <w:t>Benefits Schedule</w:t>
      </w:r>
      <w:r>
        <w:tab/>
        <w:t>3(1)</w:t>
      </w:r>
    </w:p>
    <w:p>
      <w:pPr>
        <w:pStyle w:val="DefinedTerms"/>
      </w:pPr>
      <w:r>
        <w:t>chargeable patient</w:t>
      </w:r>
      <w:r>
        <w:tab/>
        <w:t>9(1)</w:t>
      </w:r>
    </w:p>
    <w:p>
      <w:pPr>
        <w:pStyle w:val="DefinedTerms"/>
      </w:pPr>
      <w:r>
        <w:t>child chargeable patient</w:t>
      </w:r>
      <w:r>
        <w:tab/>
        <w:t>9(1)</w:t>
      </w:r>
    </w:p>
    <w:p>
      <w:pPr>
        <w:pStyle w:val="DefinedTerms"/>
      </w:pPr>
      <w:r>
        <w:t>compensable day patient</w:t>
      </w:r>
      <w:r>
        <w:tab/>
        <w:t>3(1)</w:t>
      </w:r>
    </w:p>
    <w:p>
      <w:pPr>
        <w:pStyle w:val="DefinedTerms"/>
      </w:pPr>
      <w:r>
        <w:t>compensable in-patient</w:t>
      </w:r>
      <w:r>
        <w:tab/>
        <w:t>3(1)</w:t>
      </w:r>
    </w:p>
    <w:p>
      <w:pPr>
        <w:pStyle w:val="DefinedTerms"/>
      </w:pPr>
      <w:r>
        <w:t>compensable out-patient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out-patient</w:t>
      </w:r>
      <w:r>
        <w:tab/>
        <w:t>3(1)</w:t>
      </w:r>
    </w:p>
    <w:p>
      <w:pPr>
        <w:pStyle w:val="DefinedTerms"/>
      </w:pPr>
      <w:r>
        <w:t>eligible person</w:t>
      </w:r>
      <w:r>
        <w:tab/>
        <w:t>3(1)</w:t>
      </w:r>
    </w:p>
    <w:p>
      <w:pPr>
        <w:pStyle w:val="DefinedTerms"/>
      </w:pPr>
      <w:r>
        <w:t>eligible veteran in-patient</w:t>
      </w:r>
      <w:r>
        <w:tab/>
        <w:t>3(1)</w:t>
      </w:r>
    </w:p>
    <w:p>
      <w:pPr>
        <w:pStyle w:val="DefinedTerms"/>
      </w:pPr>
      <w:r>
        <w:t>eligible veteran out-patient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in-patient</w:t>
      </w:r>
      <w:r>
        <w:tab/>
        <w:t>3(1)</w:t>
      </w:r>
    </w:p>
    <w:p>
      <w:pPr>
        <w:pStyle w:val="DefinedTerms"/>
      </w:pPr>
      <w:r>
        <w:t>ineligible out-patient</w:t>
      </w:r>
      <w:r>
        <w:tab/>
        <w:t>3(1)</w:t>
      </w:r>
    </w:p>
    <w:p>
      <w:pPr>
        <w:pStyle w:val="DefinedTerms"/>
      </w:pPr>
      <w:r>
        <w:t>ineligible same day patient</w:t>
      </w:r>
      <w:r>
        <w:tab/>
        <w:t>3(1)</w:t>
      </w:r>
    </w:p>
    <w:p>
      <w:pPr>
        <w:pStyle w:val="DefinedTerms"/>
      </w:pPr>
      <w:r>
        <w:t>in-patient</w:t>
      </w:r>
      <w:r>
        <w:tab/>
        <w:t>3(1)</w:t>
      </w:r>
    </w:p>
    <w:p>
      <w:pPr>
        <w:pStyle w:val="DefinedTerms"/>
      </w:pPr>
      <w:r>
        <w:t>internal Territory</w:t>
      </w:r>
      <w:r>
        <w:tab/>
        <w:t>3(1)</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out-patient</w:t>
      </w:r>
      <w:r>
        <w:tab/>
        <w:t>3(1)</w:t>
      </w:r>
    </w:p>
    <w:p>
      <w:pPr>
        <w:pStyle w:val="DefinedTerms"/>
      </w:pPr>
      <w:r>
        <w:t>participating hospital</w:t>
      </w:r>
      <w:r>
        <w:tab/>
        <w:t>3(1)</w:t>
      </w:r>
    </w:p>
    <w:p>
      <w:pPr>
        <w:pStyle w:val="DefinedTerms"/>
      </w:pPr>
      <w:r>
        <w:t>PBS list</w:t>
      </w:r>
      <w:r>
        <w:tab/>
        <w:t>3(1)</w:t>
      </w:r>
    </w:p>
    <w:p>
      <w:pPr>
        <w:pStyle w:val="DefinedTerms"/>
      </w:pPr>
      <w:r>
        <w:lastRenderedPageBreak/>
        <w:t>PBS price</w:t>
      </w:r>
      <w:r>
        <w:tab/>
        <w:t>3(1)</w:t>
      </w:r>
    </w:p>
    <w:p>
      <w:pPr>
        <w:pStyle w:val="DefinedTerms"/>
      </w:pPr>
      <w:r>
        <w:t>pensioner</w:t>
      </w:r>
      <w:r>
        <w:tab/>
        <w:t>3(1)</w:t>
      </w:r>
    </w:p>
    <w:p>
      <w:pPr>
        <w:pStyle w:val="DefinedTerms"/>
      </w:pPr>
      <w:r>
        <w:t>pensioner concession card</w:t>
      </w:r>
      <w:r>
        <w:tab/>
        <w:t>3(1)</w:t>
      </w:r>
    </w:p>
    <w:p>
      <w:pPr>
        <w:pStyle w:val="DefinedTerms"/>
      </w:pPr>
      <w:r>
        <w:t>private in-patient</w:t>
      </w:r>
      <w:r>
        <w:tab/>
        <w:t>3(1)</w:t>
      </w:r>
    </w:p>
    <w:p>
      <w:pPr>
        <w:pStyle w:val="DefinedTerms"/>
      </w:pPr>
      <w:r>
        <w:t>private pathology out-patient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Feb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Feb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88" w:name="Schedule"/>
    <w:bookmarkEnd w:id="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9" w:name="DefinedTerms"/>
    <w:bookmarkEnd w:id="9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 w:name="Coversheet"/>
    <w:bookmarkEnd w:id="1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52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021208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 w:name="WAFER_20210723141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41846_GUID" w:val="143e1963-c093-4a70-b444-67c91af17419"/>
    <w:docVar w:name="WAFER_20211122114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2114802_GUID" w:val="a9239631-cbb3-4277-b332-d45a9f45e6a1"/>
    <w:docVar w:name="WAFER_20220207114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14700_GUID" w:val="08b13ac0-8301-4223-a280-7d7ebe1616fe"/>
    <w:docVar w:name="WAFER_202205171055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5518_GUID" w:val="9ffc3b01-6232-47af-a1e2-ed8392d9d07c"/>
    <w:docVar w:name="WAFER_20220628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2438_GUID" w:val="45e6527c-bb57-4167-914a-6c26aed36479"/>
    <w:docVar w:name="WAFER_202210121427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2142718_GUID" w:val="8f7059dd-31a3-46e3-b545-adb2360fd332"/>
    <w:docVar w:name="WAFER_20230202120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02120842_GUID" w:val="06e9ec8a-2b6a-46a2-9800-861df84871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49AAB-854C-4F48-8EE5-FEDABECE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7104</Words>
  <Characters>34242</Characters>
  <Application>Microsoft Office Word</Application>
  <DocSecurity>0</DocSecurity>
  <Lines>1268</Lines>
  <Paragraphs>810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2016 - 00-ag0-00</dc:title>
  <dc:subject/>
  <dc:creator/>
  <cp:keywords/>
  <dc:description/>
  <cp:lastModifiedBy>Master Repository Process</cp:lastModifiedBy>
  <cp:revision>4</cp:revision>
  <cp:lastPrinted>2020-02-06T02:07:00Z</cp:lastPrinted>
  <dcterms:created xsi:type="dcterms:W3CDTF">2023-02-02T06:20:00Z</dcterms:created>
  <dcterms:modified xsi:type="dcterms:W3CDTF">2023-02-02T06:20:00Z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AsAtDate">
    <vt:lpwstr>04 Feb 2023</vt:lpwstr>
  </property>
  <property fmtid="{D5CDD505-2E9C-101B-9397-08002B2CF9AE}" pid="6" name="Suffix">
    <vt:lpwstr>00-ag0-00</vt:lpwstr>
  </property>
  <property fmtid="{D5CDD505-2E9C-101B-9397-08002B2CF9AE}" pid="7" name="CommencementDate">
    <vt:lpwstr>20230204</vt:lpwstr>
  </property>
</Properties>
</file>