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Queen Elizabeth II Medical Centre Act 1966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_Toc138844800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_Toc138844801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_Toc138844802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land</w:t>
      </w:r>
      <w:r>
        <w:tab/>
      </w:r>
      <w:r>
        <w:fldChar w:fldCharType="begin"/>
      </w:r>
      <w:r>
        <w:instrText xml:space="preserve"> PAGEREF _Toc138844803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Excision of certain land for drainage or road purposes</w:t>
      </w:r>
      <w:r>
        <w:tab/>
      </w:r>
      <w:r>
        <w:fldChar w:fldCharType="begin"/>
      </w:r>
      <w:r>
        <w:instrText xml:space="preserve"> PAGEREF _Toc138844804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Creation of reserve</w:t>
      </w:r>
      <w:r>
        <w:tab/>
      </w:r>
      <w:r>
        <w:fldChar w:fldCharType="begin"/>
      </w:r>
      <w:r>
        <w:instrText xml:space="preserve"> PAGEREF _Toc138844805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The Queen Elizabeth II Medical Centre Trust</w:t>
      </w:r>
      <w:r>
        <w:tab/>
      </w:r>
      <w:r>
        <w:fldChar w:fldCharType="begin"/>
      </w:r>
      <w:r>
        <w:instrText xml:space="preserve"> PAGEREF _Toc138844806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_Toc138844807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Vacancies</w:t>
      </w:r>
      <w:r>
        <w:tab/>
      </w:r>
      <w:r>
        <w:fldChar w:fldCharType="begin"/>
      </w:r>
      <w:r>
        <w:instrText xml:space="preserve"> PAGEREF _Toc138844808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Trust</w:t>
      </w:r>
      <w:r>
        <w:tab/>
      </w:r>
      <w:r>
        <w:fldChar w:fldCharType="begin"/>
      </w:r>
      <w:r>
        <w:instrText xml:space="preserve"> PAGEREF _Toc138844809 \h </w:instrText>
      </w:r>
      <w:r>
        <w:fldChar w:fldCharType="separate"/>
      </w:r>
      <w:r>
        <w:t>6</w:t>
      </w:r>
      <w:r>
        <w:fldChar w:fldCharType="end"/>
      </w:r>
    </w:p>
    <w:p>
      <w:pPr>
        <w:pStyle w:val="TOC8"/>
        <w:rPr>
          <w:rFonts w:asciiTheme="minorHAnsi" w:eastAsiaTheme="minorEastAsia" w:hAnsiTheme="minorHAnsi" w:cstheme="minorBidi"/>
          <w:szCs w:val="22"/>
        </w:rPr>
      </w:pPr>
      <w:r>
        <w:t>11A.</w:t>
      </w:r>
      <w:r>
        <w:rPr>
          <w:snapToGrid w:val="0"/>
        </w:rPr>
        <w:tab/>
        <w:t>Holding meetings remotely</w:t>
      </w:r>
      <w:r>
        <w:tab/>
      </w:r>
      <w:r>
        <w:fldChar w:fldCharType="begin"/>
      </w:r>
      <w:r>
        <w:instrText xml:space="preserve"> PAGEREF _Toc138844810 \h </w:instrText>
      </w:r>
      <w:r>
        <w:fldChar w:fldCharType="separate"/>
      </w:r>
      <w:r>
        <w:t>6</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Resolution without meeting</w:t>
      </w:r>
      <w:r>
        <w:tab/>
      </w:r>
      <w:r>
        <w:fldChar w:fldCharType="begin"/>
      </w:r>
      <w:r>
        <w:instrText xml:space="preserve"> PAGEREF _Toc138844811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common seal</w:t>
      </w:r>
      <w:r>
        <w:tab/>
      </w:r>
      <w:r>
        <w:fldChar w:fldCharType="begin"/>
      </w:r>
      <w:r>
        <w:instrText xml:space="preserve"> PAGEREF _Toc138844812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_Toc138844813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Remuneration and allowances</w:t>
      </w:r>
      <w:r>
        <w:tab/>
      </w:r>
      <w:r>
        <w:fldChar w:fldCharType="begin"/>
      </w:r>
      <w:r>
        <w:instrText xml:space="preserve"> PAGEREF _Toc138844814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Trust</w:t>
      </w:r>
      <w:r>
        <w:tab/>
      </w:r>
      <w:r>
        <w:fldChar w:fldCharType="begin"/>
      </w:r>
      <w:r>
        <w:instrText xml:space="preserve"> PAGEREF _Toc138844815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Additional land for reserve</w:t>
      </w:r>
      <w:r>
        <w:tab/>
      </w:r>
      <w:r>
        <w:fldChar w:fldCharType="begin"/>
      </w:r>
      <w:r>
        <w:instrText xml:space="preserve"> PAGEREF _Toc138844816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employees</w:t>
      </w:r>
      <w:r>
        <w:tab/>
      </w:r>
      <w:r>
        <w:fldChar w:fldCharType="begin"/>
      </w:r>
      <w:r>
        <w:instrText xml:space="preserve"> PAGEREF _Toc138844817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_Toc138844818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Indemnity</w:t>
      </w:r>
      <w:r>
        <w:tab/>
      </w:r>
      <w:r>
        <w:fldChar w:fldCharType="begin"/>
      </w:r>
      <w:r>
        <w:instrText xml:space="preserve"> PAGEREF _Toc138844819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Senate to apply fees and other money to reserve</w:t>
      </w:r>
      <w:r>
        <w:tab/>
      </w:r>
      <w:r>
        <w:fldChar w:fldCharType="begin"/>
      </w:r>
      <w:r>
        <w:instrText xml:space="preserve"> PAGEREF _Toc138844820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Saving</w:t>
      </w:r>
      <w:r>
        <w:tab/>
      </w:r>
      <w:r>
        <w:fldChar w:fldCharType="begin"/>
      </w:r>
      <w:r>
        <w:instrText xml:space="preserve"> PAGEREF _Toc138844821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By</w:t>
      </w:r>
      <w:r>
        <w:rPr>
          <w:snapToGrid w:val="0"/>
        </w:rPr>
        <w:noBreakHyphen/>
        <w:t>laws</w:t>
      </w:r>
      <w:r>
        <w:tab/>
      </w:r>
      <w:r>
        <w:fldChar w:fldCharType="begin"/>
      </w:r>
      <w:r>
        <w:instrText xml:space="preserve"> PAGEREF _Toc138844822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Review of Act</w:t>
      </w:r>
      <w:r>
        <w:tab/>
      </w:r>
      <w:r>
        <w:fldChar w:fldCharType="begin"/>
      </w:r>
      <w:r>
        <w:instrText xml:space="preserve"> PAGEREF _Toc138844823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Schedule — Medical centre land</w:t>
      </w:r>
    </w:p>
    <w:p>
      <w:pPr>
        <w:pStyle w:val="TOC4"/>
        <w:tabs>
          <w:tab w:val="right" w:leader="dot" w:pos="7077"/>
        </w:tabs>
        <w:rPr>
          <w:rFonts w:asciiTheme="minorHAnsi" w:eastAsiaTheme="minorEastAsia" w:hAnsiTheme="minorHAnsi" w:cstheme="minorBidi"/>
          <w:b w:val="0"/>
          <w:szCs w:val="22"/>
        </w:rPr>
      </w:pPr>
      <w:r>
        <w:rPr>
          <w:rFonts w:eastAsia="MS Mincho"/>
        </w:rPr>
        <w:t>Part I</w:t>
      </w:r>
      <w:r>
        <w:rPr>
          <w:rFonts w:eastAsia="MS Mincho"/>
          <w:b w:val="0"/>
        </w:rPr>
        <w:t> </w:t>
      </w:r>
      <w:r>
        <w:rPr>
          <w:rFonts w:eastAsia="MS Mincho"/>
        </w:rPr>
        <w:t>— Original land</w:t>
      </w:r>
    </w:p>
    <w:p>
      <w:pPr>
        <w:pStyle w:val="TOC4"/>
        <w:tabs>
          <w:tab w:val="right" w:leader="dot" w:pos="7077"/>
        </w:tabs>
        <w:rPr>
          <w:rFonts w:asciiTheme="minorHAnsi" w:eastAsiaTheme="minorEastAsia" w:hAnsiTheme="minorHAnsi" w:cstheme="minorBidi"/>
          <w:b w:val="0"/>
          <w:szCs w:val="22"/>
        </w:rPr>
      </w:pPr>
      <w:r>
        <w:rPr>
          <w:rFonts w:eastAsia="MS Mincho"/>
        </w:rPr>
        <w:t>Part II — Further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_Toc138844828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_Toc138844829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_Toc138844830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3" w:name="_Toc138844800"/>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w:t>
      </w:r>
    </w:p>
    <w:p>
      <w:pPr>
        <w:pStyle w:val="Footnotesection"/>
      </w:pPr>
      <w:r>
        <w:tab/>
        <w:t>[Section 1 amended: No. 6 of 1977 s. 1.]</w:t>
      </w:r>
    </w:p>
    <w:p>
      <w:pPr>
        <w:pStyle w:val="Heading5"/>
        <w:rPr>
          <w:snapToGrid w:val="0"/>
        </w:rPr>
      </w:pPr>
      <w:bookmarkStart w:id="4" w:name="_Toc138844801"/>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138844802"/>
      <w:r>
        <w:rPr>
          <w:rStyle w:val="CharSectno"/>
        </w:rPr>
        <w:t>3</w:t>
      </w:r>
      <w:r>
        <w:rPr>
          <w:snapToGrid w:val="0"/>
        </w:rPr>
        <w:t>.</w:t>
      </w:r>
      <w:r>
        <w:rPr>
          <w:snapToGrid w:val="0"/>
        </w:rPr>
        <w:tab/>
        <w:t>Terms used</w:t>
      </w:r>
      <w:bookmarkEnd w:id="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No. 6 of 1977 s. 3; No. 31 of 1991 s. 3; No. 2 of 1996 s. 61</w:t>
      </w:r>
      <w:r>
        <w:rPr>
          <w:spacing w:val="-4"/>
        </w:rPr>
        <w:t>; No. 47 of 2011 s.</w:t>
      </w:r>
      <w:r>
        <w:t> 27.]</w:t>
      </w:r>
    </w:p>
    <w:p>
      <w:pPr>
        <w:pStyle w:val="Heading5"/>
        <w:rPr>
          <w:snapToGrid w:val="0"/>
        </w:rPr>
      </w:pPr>
      <w:bookmarkStart w:id="6" w:name="_Toc138844803"/>
      <w:r>
        <w:rPr>
          <w:rStyle w:val="CharSectno"/>
        </w:rPr>
        <w:t>4</w:t>
      </w:r>
      <w:r>
        <w:rPr>
          <w:snapToGrid w:val="0"/>
        </w:rPr>
        <w:t>.</w:t>
      </w:r>
      <w:r>
        <w:rPr>
          <w:snapToGrid w:val="0"/>
        </w:rPr>
        <w:tab/>
        <w:t>Vesting of land</w:t>
      </w:r>
      <w:bookmarkEnd w:id="6"/>
    </w:p>
    <w:p>
      <w:pPr>
        <w:pStyle w:val="Subsection"/>
        <w:rPr>
          <w:snapToGrid w:val="0"/>
        </w:rPr>
      </w:pPr>
      <w:r>
        <w:rPr>
          <w:snapToGrid w:val="0"/>
        </w:rPr>
        <w:tab/>
        <w:t>(1)</w:t>
      </w:r>
      <w:r>
        <w:rPr>
          <w:snapToGrid w:val="0"/>
        </w:rPr>
        <w:tab/>
        <w:t>On the coming into operation of this Act, the land described in Part I of the Schedule is hereby —</w:t>
      </w:r>
    </w:p>
    <w:p>
      <w:pPr>
        <w:pStyle w:val="Indenta"/>
        <w:rPr>
          <w:snapToGrid w:val="0"/>
        </w:rPr>
      </w:pPr>
      <w:r>
        <w:rPr>
          <w:snapToGrid w:val="0"/>
        </w:rPr>
        <w:lastRenderedPageBreak/>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No. 19 of 2010 s. 51.]</w:t>
      </w:r>
    </w:p>
    <w:p>
      <w:pPr>
        <w:pStyle w:val="Heading5"/>
        <w:rPr>
          <w:snapToGrid w:val="0"/>
        </w:rPr>
      </w:pPr>
      <w:bookmarkStart w:id="7" w:name="_Toc138844804"/>
      <w:r>
        <w:rPr>
          <w:rStyle w:val="CharSectno"/>
        </w:rPr>
        <w:t>5</w:t>
      </w:r>
      <w:r>
        <w:rPr>
          <w:snapToGrid w:val="0"/>
        </w:rPr>
        <w:t>.</w:t>
      </w:r>
      <w:r>
        <w:rPr>
          <w:snapToGrid w:val="0"/>
        </w:rPr>
        <w:tab/>
        <w:t>Excision of certain land for drainage or road purposes</w:t>
      </w:r>
      <w:bookmarkEnd w:id="7"/>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No. 2 of 1976 s. 2.]</w:t>
      </w:r>
    </w:p>
    <w:p>
      <w:pPr>
        <w:pStyle w:val="Heading5"/>
        <w:rPr>
          <w:snapToGrid w:val="0"/>
        </w:rPr>
      </w:pPr>
      <w:bookmarkStart w:id="8" w:name="_Toc138844805"/>
      <w:r>
        <w:rPr>
          <w:rStyle w:val="CharSectno"/>
        </w:rPr>
        <w:t>6</w:t>
      </w:r>
      <w:r>
        <w:rPr>
          <w:snapToGrid w:val="0"/>
        </w:rPr>
        <w:t>.</w:t>
      </w:r>
      <w:r>
        <w:rPr>
          <w:snapToGrid w:val="0"/>
        </w:rPr>
        <w:tab/>
        <w:t>Creation of reserve</w:t>
      </w:r>
      <w:bookmarkEnd w:id="8"/>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lastRenderedPageBreak/>
        <w:tab/>
        <w:t>[Section 6 amended: No. 6 of 1977 s. 4.]</w:t>
      </w:r>
    </w:p>
    <w:p>
      <w:pPr>
        <w:pStyle w:val="Heading5"/>
        <w:rPr>
          <w:snapToGrid w:val="0"/>
        </w:rPr>
      </w:pPr>
      <w:bookmarkStart w:id="9" w:name="_Toc138844806"/>
      <w:r>
        <w:rPr>
          <w:rStyle w:val="CharSectno"/>
        </w:rPr>
        <w:t>7</w:t>
      </w:r>
      <w:r>
        <w:rPr>
          <w:snapToGrid w:val="0"/>
        </w:rPr>
        <w:t>.</w:t>
      </w:r>
      <w:r>
        <w:rPr>
          <w:snapToGrid w:val="0"/>
        </w:rPr>
        <w:tab/>
        <w:t>Constitution of The Queen Elizabeth II Medical Centre Trust</w:t>
      </w:r>
      <w:bookmarkEnd w:id="9"/>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lastRenderedPageBreak/>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No. 6 of 1977 s. 5; No. 59 of 1985 s. 3; No. 19 of 2010 s. 51.]</w:t>
      </w:r>
    </w:p>
    <w:p>
      <w:pPr>
        <w:pStyle w:val="Heading5"/>
        <w:rPr>
          <w:snapToGrid w:val="0"/>
        </w:rPr>
      </w:pPr>
      <w:bookmarkStart w:id="10" w:name="_Toc138844807"/>
      <w:r>
        <w:rPr>
          <w:rStyle w:val="CharSectno"/>
        </w:rPr>
        <w:t>8</w:t>
      </w:r>
      <w:r>
        <w:rPr>
          <w:snapToGrid w:val="0"/>
        </w:rPr>
        <w:t>.</w:t>
      </w:r>
      <w:r>
        <w:rPr>
          <w:snapToGrid w:val="0"/>
        </w:rPr>
        <w:tab/>
        <w:t>Quorum</w:t>
      </w:r>
      <w:bookmarkEnd w:id="10"/>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No. 6 of 2013 s. 4.]</w:t>
      </w:r>
    </w:p>
    <w:p>
      <w:pPr>
        <w:pStyle w:val="Heading5"/>
        <w:rPr>
          <w:snapToGrid w:val="0"/>
        </w:rPr>
      </w:pPr>
      <w:bookmarkStart w:id="11" w:name="_Toc138844808"/>
      <w:r>
        <w:rPr>
          <w:rStyle w:val="CharSectno"/>
        </w:rPr>
        <w:t>9</w:t>
      </w:r>
      <w:r>
        <w:rPr>
          <w:snapToGrid w:val="0"/>
        </w:rPr>
        <w:t>.</w:t>
      </w:r>
      <w:r>
        <w:rPr>
          <w:snapToGrid w:val="0"/>
        </w:rPr>
        <w:tab/>
        <w:t>Vacancies</w:t>
      </w:r>
      <w:bookmarkEnd w:id="11"/>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lastRenderedPageBreak/>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12" w:name="_Toc138844809"/>
      <w:r>
        <w:rPr>
          <w:rStyle w:val="CharSectno"/>
        </w:rPr>
        <w:t>10</w:t>
      </w:r>
      <w:r>
        <w:rPr>
          <w:snapToGrid w:val="0"/>
        </w:rPr>
        <w:t>.</w:t>
      </w:r>
      <w:r>
        <w:rPr>
          <w:snapToGrid w:val="0"/>
        </w:rPr>
        <w:tab/>
        <w:t>Meetings of Trust</w:t>
      </w:r>
      <w:bookmarkEnd w:id="12"/>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13" w:name="_Toc138844810"/>
      <w:r>
        <w:rPr>
          <w:rStyle w:val="CharSectno"/>
        </w:rPr>
        <w:t>11A</w:t>
      </w:r>
      <w:r>
        <w:t>.</w:t>
      </w:r>
      <w:r>
        <w:rPr>
          <w:snapToGrid w:val="0"/>
        </w:rPr>
        <w:tab/>
        <w:t>Holding meetings remotely</w:t>
      </w:r>
      <w:bookmarkEnd w:id="13"/>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No. 6 of 2013 s. 5.]</w:t>
      </w:r>
    </w:p>
    <w:p>
      <w:pPr>
        <w:pStyle w:val="Heading5"/>
        <w:rPr>
          <w:snapToGrid w:val="0"/>
        </w:rPr>
      </w:pPr>
      <w:bookmarkStart w:id="14" w:name="_Toc138844811"/>
      <w:r>
        <w:rPr>
          <w:rStyle w:val="CharSectno"/>
        </w:rPr>
        <w:lastRenderedPageBreak/>
        <w:t>11B</w:t>
      </w:r>
      <w:r>
        <w:rPr>
          <w:snapToGrid w:val="0"/>
        </w:rPr>
        <w:t>.</w:t>
      </w:r>
      <w:r>
        <w:rPr>
          <w:snapToGrid w:val="0"/>
        </w:rPr>
        <w:tab/>
        <w:t>Resolution without meeting</w:t>
      </w:r>
      <w:bookmarkEnd w:id="14"/>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No. 6 of 2013 s. 5.]</w:t>
      </w:r>
    </w:p>
    <w:p>
      <w:pPr>
        <w:pStyle w:val="Heading5"/>
        <w:rPr>
          <w:snapToGrid w:val="0"/>
        </w:rPr>
      </w:pPr>
      <w:bookmarkStart w:id="15" w:name="_Toc138844812"/>
      <w:r>
        <w:rPr>
          <w:rStyle w:val="CharSectno"/>
        </w:rPr>
        <w:t>11</w:t>
      </w:r>
      <w:r>
        <w:rPr>
          <w:snapToGrid w:val="0"/>
        </w:rPr>
        <w:t>.</w:t>
      </w:r>
      <w:r>
        <w:rPr>
          <w:snapToGrid w:val="0"/>
        </w:rPr>
        <w:tab/>
        <w:t>Use of common seal</w:t>
      </w:r>
      <w:bookmarkEnd w:id="1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16" w:name="_Toc138844813"/>
      <w:r>
        <w:rPr>
          <w:rStyle w:val="CharSectno"/>
        </w:rPr>
        <w:t>12</w:t>
      </w:r>
      <w:r>
        <w:rPr>
          <w:snapToGrid w:val="0"/>
        </w:rPr>
        <w:t>.</w:t>
      </w:r>
      <w:r>
        <w:rPr>
          <w:snapToGrid w:val="0"/>
        </w:rPr>
        <w:tab/>
        <w:t>Delegation</w:t>
      </w:r>
      <w:bookmarkEnd w:id="16"/>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No. 72 of 1973 s. 2.]</w:t>
      </w:r>
    </w:p>
    <w:p>
      <w:pPr>
        <w:pStyle w:val="Heading5"/>
        <w:rPr>
          <w:snapToGrid w:val="0"/>
        </w:rPr>
      </w:pPr>
      <w:bookmarkStart w:id="17" w:name="_Toc138844814"/>
      <w:r>
        <w:rPr>
          <w:rStyle w:val="CharSectno"/>
        </w:rPr>
        <w:t>12A</w:t>
      </w:r>
      <w:r>
        <w:rPr>
          <w:snapToGrid w:val="0"/>
        </w:rPr>
        <w:t>.</w:t>
      </w:r>
      <w:r>
        <w:rPr>
          <w:snapToGrid w:val="0"/>
        </w:rPr>
        <w:tab/>
        <w:t>Remuneration and allowances</w:t>
      </w:r>
      <w:bookmarkEnd w:id="17"/>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No. 6 of 2013 s. 6.]</w:t>
      </w:r>
    </w:p>
    <w:p>
      <w:pPr>
        <w:pStyle w:val="Heading5"/>
        <w:rPr>
          <w:snapToGrid w:val="0"/>
        </w:rPr>
      </w:pPr>
      <w:bookmarkStart w:id="18" w:name="_Toc138844815"/>
      <w:r>
        <w:rPr>
          <w:rStyle w:val="CharSectno"/>
        </w:rPr>
        <w:lastRenderedPageBreak/>
        <w:t>13</w:t>
      </w:r>
      <w:r>
        <w:rPr>
          <w:snapToGrid w:val="0"/>
        </w:rPr>
        <w:t>.</w:t>
      </w:r>
      <w:r>
        <w:rPr>
          <w:snapToGrid w:val="0"/>
        </w:rPr>
        <w:tab/>
        <w:t>Functions of Trust</w:t>
      </w:r>
      <w:bookmarkEnd w:id="1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lastRenderedPageBreak/>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 xml:space="preserve">derived from the development, control and management of any land in respect of which the delegate exercises powers delegated under subsection (2a), including any </w:t>
      </w:r>
      <w:r>
        <w:rPr>
          <w:snapToGrid w:val="0"/>
        </w:rPr>
        <w:lastRenderedPageBreak/>
        <w:t>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1</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lastRenderedPageBreak/>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 xml:space="preserve">all contracts, agreements and undertakings made by and with the former delegate in his capacity as the former delegate and having effect immediately before that revocation shall have effect as contracts, agreements and </w:t>
      </w:r>
      <w:r>
        <w:rPr>
          <w:snapToGrid w:val="0"/>
        </w:rPr>
        <w:lastRenderedPageBreak/>
        <w:t>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lastRenderedPageBreak/>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 xml:space="preserve">Subject to subsection (2a), the Trust shall not sell or, without the consent of the Governor, lease, mortgage, charge or otherwise deal with any land forming part of the reserve, but may, with such consent, from time to time, lease for a term not exceeding </w:t>
      </w:r>
      <w:r>
        <w:rPr>
          <w:snapToGrid w:val="0"/>
        </w:rPr>
        <w:lastRenderedPageBreak/>
        <w:t>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No. 59 of 1985 s. 4; No. 98 of 1985 s. 3; No. 6 of 1993 s. 11; No. 49 of 1996 s. 64; No. 1 of 1997 s. 18; No. 77 of 2006 s. 4; No. 19 of 2010 s. 51; No. 6 of 2013 s. 7.]</w:t>
      </w:r>
    </w:p>
    <w:p>
      <w:pPr>
        <w:pStyle w:val="Heading5"/>
        <w:rPr>
          <w:snapToGrid w:val="0"/>
        </w:rPr>
      </w:pPr>
      <w:bookmarkStart w:id="19" w:name="_Toc138844816"/>
      <w:r>
        <w:rPr>
          <w:rStyle w:val="CharSectno"/>
        </w:rPr>
        <w:t>13A</w:t>
      </w:r>
      <w:r>
        <w:rPr>
          <w:snapToGrid w:val="0"/>
        </w:rPr>
        <w:t>.</w:t>
      </w:r>
      <w:r>
        <w:rPr>
          <w:snapToGrid w:val="0"/>
        </w:rPr>
        <w:tab/>
        <w:t>Additional land for reserve</w:t>
      </w:r>
      <w:bookmarkEnd w:id="19"/>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No. 72 of 1973 s. 3.]</w:t>
      </w:r>
    </w:p>
    <w:p>
      <w:pPr>
        <w:pStyle w:val="Heading5"/>
        <w:rPr>
          <w:snapToGrid w:val="0"/>
        </w:rPr>
      </w:pPr>
      <w:bookmarkStart w:id="20" w:name="_Toc138844817"/>
      <w:r>
        <w:rPr>
          <w:rStyle w:val="CharSectno"/>
        </w:rPr>
        <w:lastRenderedPageBreak/>
        <w:t>14</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21" w:name="_Toc138844818"/>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No. 98 of 1985 s. 3; amended: No. 77 of 2006 Sch. 1 cl. 141.]</w:t>
      </w:r>
    </w:p>
    <w:p>
      <w:pPr>
        <w:pStyle w:val="Ednotesection"/>
      </w:pPr>
      <w:r>
        <w:t>[</w:t>
      </w:r>
      <w:r>
        <w:rPr>
          <w:b/>
        </w:rPr>
        <w:t>16.</w:t>
      </w:r>
      <w:r>
        <w:tab/>
        <w:t>Deleted: No. 11 of 2016 s. 301(4).]</w:t>
      </w:r>
    </w:p>
    <w:p>
      <w:pPr>
        <w:pStyle w:val="Heading5"/>
        <w:rPr>
          <w:snapToGrid w:val="0"/>
        </w:rPr>
      </w:pPr>
      <w:bookmarkStart w:id="22" w:name="_Toc138844819"/>
      <w:r>
        <w:rPr>
          <w:rStyle w:val="CharSectno"/>
        </w:rPr>
        <w:t>17</w:t>
      </w:r>
      <w:r>
        <w:rPr>
          <w:snapToGrid w:val="0"/>
        </w:rPr>
        <w:t>.</w:t>
      </w:r>
      <w:r>
        <w:rPr>
          <w:snapToGrid w:val="0"/>
        </w:rPr>
        <w:tab/>
        <w:t>Indemnity</w:t>
      </w:r>
      <w:bookmarkEnd w:id="2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23" w:name="_Toc138844820"/>
      <w:r>
        <w:rPr>
          <w:rStyle w:val="CharSectno"/>
        </w:rPr>
        <w:t>18</w:t>
      </w:r>
      <w:r>
        <w:rPr>
          <w:snapToGrid w:val="0"/>
        </w:rPr>
        <w:t>.</w:t>
      </w:r>
      <w:r>
        <w:rPr>
          <w:snapToGrid w:val="0"/>
        </w:rPr>
        <w:tab/>
        <w:t>Power of Senate to apply fees and other money to reserve</w:t>
      </w:r>
      <w:bookmarkEnd w:id="23"/>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24" w:name="_Toc138844821"/>
      <w:r>
        <w:rPr>
          <w:rStyle w:val="CharSectno"/>
        </w:rPr>
        <w:lastRenderedPageBreak/>
        <w:t>19</w:t>
      </w:r>
      <w:r>
        <w:rPr>
          <w:snapToGrid w:val="0"/>
        </w:rPr>
        <w:t>.</w:t>
      </w:r>
      <w:r>
        <w:rPr>
          <w:snapToGrid w:val="0"/>
        </w:rPr>
        <w:tab/>
        <w:t>Saving</w:t>
      </w:r>
      <w:bookmarkEnd w:id="24"/>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zCs w:val="24"/>
        </w:rPr>
        <w:t>Private Hospitals and Health Services Act 1927</w:t>
      </w:r>
      <w:r>
        <w:rPr>
          <w:szCs w:val="24"/>
        </w:rPr>
        <w:t xml:space="preserve">, the </w:t>
      </w:r>
      <w:r>
        <w:rPr>
          <w:i/>
          <w:szCs w:val="24"/>
        </w:rPr>
        <w:t>Health Services Act 2016</w:t>
      </w:r>
      <w:r>
        <w:rPr>
          <w:szCs w:val="24"/>
        </w:rPr>
        <w:t xml:space="preserve">, </w:t>
      </w:r>
      <w:r>
        <w:rPr>
          <w:snapToGrid w:val="0"/>
        </w:rPr>
        <w:t xml:space="preserve">or the </w:t>
      </w:r>
      <w:r>
        <w:rPr>
          <w:i/>
          <w:snapToGrid w:val="0"/>
        </w:rPr>
        <w:t>Cancer Council of Western Australia Act 1958</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No. 103 of 1994 s. 18; No. 11 of 2016 s. 301(5).]</w:t>
      </w:r>
    </w:p>
    <w:p>
      <w:pPr>
        <w:pStyle w:val="Heading5"/>
        <w:rPr>
          <w:snapToGrid w:val="0"/>
        </w:rPr>
      </w:pPr>
      <w:bookmarkStart w:id="25" w:name="_Toc138844822"/>
      <w:r>
        <w:rPr>
          <w:rStyle w:val="CharSectno"/>
        </w:rPr>
        <w:t>20</w:t>
      </w:r>
      <w:r>
        <w:rPr>
          <w:snapToGrid w:val="0"/>
        </w:rPr>
        <w:t>.</w:t>
      </w:r>
      <w:r>
        <w:rPr>
          <w:snapToGrid w:val="0"/>
        </w:rPr>
        <w:tab/>
        <w:t>By</w:t>
      </w:r>
      <w:r>
        <w:rPr>
          <w:snapToGrid w:val="0"/>
        </w:rPr>
        <w:noBreakHyphen/>
        <w:t>laws</w:t>
      </w:r>
      <w:bookmarkEnd w:id="25"/>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 xml:space="preserve">prescribing fees payable to the Trust by a person using, or in respect of a vehicle occupying, a parking or standing area and exempting any person or vehicle or </w:t>
      </w:r>
      <w:r>
        <w:rPr>
          <w:snapToGrid w:val="0"/>
        </w:rPr>
        <w:lastRenderedPageBreak/>
        <w:t>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lastRenderedPageBreak/>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lastRenderedPageBreak/>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 xml:space="preserve">laws made under that subsection who considers that an </w:t>
      </w:r>
      <w:r>
        <w:rPr>
          <w:snapToGrid w:val="0"/>
        </w:rPr>
        <w:lastRenderedPageBreak/>
        <w:t>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lastRenderedPageBreak/>
        <w:tab/>
        <w:t>[Section 20 amended: No. 6 of 1977 s. 6; No. 59 of 1985 s. 7; No. 6 of 2013 s. 8.]</w:t>
      </w:r>
    </w:p>
    <w:p>
      <w:pPr>
        <w:pStyle w:val="Heading5"/>
        <w:rPr>
          <w:snapToGrid w:val="0"/>
        </w:rPr>
      </w:pPr>
      <w:bookmarkStart w:id="26" w:name="_Toc138844823"/>
      <w:r>
        <w:rPr>
          <w:rStyle w:val="CharSectno"/>
        </w:rPr>
        <w:t>21</w:t>
      </w:r>
      <w:r>
        <w:rPr>
          <w:snapToGrid w:val="0"/>
        </w:rPr>
        <w:t>.</w:t>
      </w:r>
      <w:r>
        <w:rPr>
          <w:snapToGrid w:val="0"/>
        </w:rPr>
        <w:tab/>
        <w:t>Review of Act</w:t>
      </w:r>
      <w:bookmarkEnd w:id="26"/>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No. 59 of 1985 s. 8.]</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27" w:name="_Toc127868023"/>
      <w:bookmarkStart w:id="28" w:name="_Toc127868128"/>
      <w:bookmarkStart w:id="29" w:name="_Toc127973999"/>
      <w:bookmarkStart w:id="30" w:name="_Toc138844824"/>
      <w:r>
        <w:rPr>
          <w:rStyle w:val="CharSchNo"/>
          <w:rFonts w:eastAsia="MS Mincho"/>
        </w:rPr>
        <w:lastRenderedPageBreak/>
        <w:t>Schedule</w:t>
      </w:r>
      <w:r>
        <w:rPr>
          <w:rFonts w:eastAsia="MS Mincho"/>
        </w:rPr>
        <w:t> — </w:t>
      </w:r>
      <w:r>
        <w:rPr>
          <w:rStyle w:val="CharSchText"/>
          <w:rFonts w:eastAsia="MS Mincho"/>
        </w:rPr>
        <w:t>Medical centre land</w:t>
      </w:r>
      <w:bookmarkEnd w:id="27"/>
      <w:bookmarkEnd w:id="28"/>
      <w:bookmarkEnd w:id="29"/>
      <w:bookmarkEnd w:id="30"/>
    </w:p>
    <w:p>
      <w:pPr>
        <w:pStyle w:val="yShoulderClause"/>
        <w:rPr>
          <w:rFonts w:eastAsia="MS Mincho"/>
        </w:rPr>
      </w:pPr>
      <w:r>
        <w:rPr>
          <w:rFonts w:eastAsia="MS Mincho"/>
        </w:rPr>
        <w:t>[s. 4, 5 and 6]</w:t>
      </w:r>
    </w:p>
    <w:p>
      <w:pPr>
        <w:pStyle w:val="yFootnotesection"/>
      </w:pPr>
      <w:r>
        <w:tab/>
        <w:t>[Heading inserted: No. 19 of 2010 s. 27(2).]</w:t>
      </w:r>
    </w:p>
    <w:p>
      <w:pPr>
        <w:pStyle w:val="yHeading3"/>
        <w:rPr>
          <w:rFonts w:eastAsia="MS Mincho"/>
        </w:rPr>
      </w:pPr>
      <w:bookmarkStart w:id="31" w:name="_Toc127868024"/>
      <w:bookmarkStart w:id="32" w:name="_Toc127868129"/>
      <w:bookmarkStart w:id="33" w:name="_Toc127974000"/>
      <w:bookmarkStart w:id="34" w:name="_Toc13884482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31"/>
      <w:bookmarkEnd w:id="32"/>
      <w:bookmarkEnd w:id="33"/>
      <w:bookmarkEnd w:id="34"/>
    </w:p>
    <w:p>
      <w:pPr>
        <w:pStyle w:val="yFootnotesection"/>
      </w:pPr>
      <w:r>
        <w:tab/>
        <w:t>[Heading inserted: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35" w:name="_Toc127868025"/>
      <w:bookmarkStart w:id="36" w:name="_Toc127868130"/>
      <w:bookmarkStart w:id="37" w:name="_Toc127974001"/>
      <w:bookmarkStart w:id="38" w:name="_Toc138844826"/>
      <w:r>
        <w:rPr>
          <w:rStyle w:val="CharSDivNo"/>
          <w:rFonts w:eastAsia="MS Mincho"/>
        </w:rPr>
        <w:t>Part II</w:t>
      </w:r>
      <w:r>
        <w:rPr>
          <w:rFonts w:eastAsia="MS Mincho"/>
        </w:rPr>
        <w:t> — </w:t>
      </w:r>
      <w:r>
        <w:rPr>
          <w:rStyle w:val="CharSDivNo"/>
          <w:rFonts w:eastAsia="MS Mincho"/>
        </w:rPr>
        <w:t>Further land</w:t>
      </w:r>
      <w:bookmarkEnd w:id="35"/>
      <w:bookmarkEnd w:id="36"/>
      <w:bookmarkEnd w:id="37"/>
      <w:bookmarkEnd w:id="38"/>
    </w:p>
    <w:p>
      <w:pPr>
        <w:pStyle w:val="yFootnotesection"/>
      </w:pPr>
      <w:r>
        <w:tab/>
        <w:t>[Heading inserted: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40" w:name="_Toc127868026"/>
      <w:bookmarkStart w:id="41" w:name="_Toc127868131"/>
      <w:bookmarkStart w:id="42" w:name="_Toc127974002"/>
      <w:bookmarkStart w:id="43" w:name="_Toc138844827"/>
      <w:r>
        <w:lastRenderedPageBreak/>
        <w:t>Notes</w:t>
      </w:r>
      <w:bookmarkEnd w:id="40"/>
      <w:bookmarkEnd w:id="41"/>
      <w:bookmarkEnd w:id="42"/>
      <w:bookmarkEnd w:id="43"/>
    </w:p>
    <w:p>
      <w:pPr>
        <w:pStyle w:val="nStatement"/>
      </w:pPr>
      <w:r>
        <w:t xml:space="preserve">This is a compilation of the </w:t>
      </w:r>
      <w:r>
        <w:rPr>
          <w:i/>
          <w:noProof/>
        </w:rPr>
        <w:t>Queen Elizabeth II Medical Centre Act 1966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 w:name="_Toc138844828"/>
      <w:r>
        <w:t>Compilation table</w:t>
      </w:r>
      <w:bookmarkEnd w:id="4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r>
              <w:rPr>
                <w:i/>
              </w:rPr>
              <w:t>Perth Medical Centre Act 1966</w:t>
            </w:r>
            <w:r>
              <w:rPr>
                <w:vertAlign w:val="superscript"/>
              </w:rPr>
              <w:t> 3</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r>
              <w:rPr>
                <w:i/>
              </w:rPr>
              <w:t>Perth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r>
              <w:rPr>
                <w:i/>
              </w:rPr>
              <w:t>Perth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r>
              <w:rPr>
                <w:i/>
              </w:rPr>
              <w:t>Perth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1</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lastRenderedPageBreak/>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w:t>
            </w:r>
            <w:r>
              <w:rPr>
                <w:vertAlign w:val="superscript"/>
              </w:rPr>
              <w:t> 4</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r>
        <w:trPr>
          <w:cantSplit/>
        </w:trPr>
        <w:tc>
          <w:tcPr>
            <w:tcW w:w="2268" w:type="dxa"/>
            <w:tcBorders>
              <w:bottom w:val="single" w:sz="4" w:space="0" w:color="auto"/>
            </w:tcBorders>
            <w:shd w:val="clear" w:color="auto" w:fill="auto"/>
          </w:tcPr>
          <w:p>
            <w:pPr>
              <w:pStyle w:val="nTable"/>
              <w:spacing w:before="50" w:after="50"/>
              <w:ind w:right="113"/>
              <w:rPr>
                <w:i/>
                <w:snapToGrid w:val="0"/>
              </w:rPr>
            </w:pPr>
            <w:r>
              <w:rPr>
                <w:i/>
                <w:snapToGrid w:val="0"/>
              </w:rPr>
              <w:lastRenderedPageBreak/>
              <w:t>Health Services Act 2016</w:t>
            </w:r>
            <w:r>
              <w:rPr>
                <w:snapToGrid w:val="0"/>
              </w:rPr>
              <w:t xml:space="preserve"> s. 301(1), (4) and (5)</w:t>
            </w:r>
            <w:r>
              <w:rPr>
                <w:i/>
                <w:noProof/>
              </w:rPr>
              <w:t> </w:t>
            </w:r>
            <w:r>
              <w:rPr>
                <w:noProof/>
                <w:vertAlign w:val="superscript"/>
              </w:rPr>
              <w:t>5</w:t>
            </w:r>
          </w:p>
        </w:tc>
        <w:tc>
          <w:tcPr>
            <w:tcW w:w="1134" w:type="dxa"/>
            <w:tcBorders>
              <w:bottom w:val="single" w:sz="4" w:space="0" w:color="auto"/>
            </w:tcBorders>
            <w:shd w:val="clear" w:color="auto" w:fill="auto"/>
          </w:tcPr>
          <w:p>
            <w:pPr>
              <w:pStyle w:val="nTable"/>
              <w:spacing w:before="50" w:after="50"/>
              <w:rPr>
                <w:snapToGrid w:val="0"/>
              </w:rPr>
            </w:pPr>
            <w:r>
              <w:t>11 of 2016</w:t>
            </w:r>
          </w:p>
        </w:tc>
        <w:tc>
          <w:tcPr>
            <w:tcW w:w="1134" w:type="dxa"/>
            <w:tcBorders>
              <w:bottom w:val="single" w:sz="4" w:space="0" w:color="auto"/>
            </w:tcBorders>
            <w:shd w:val="clear" w:color="auto" w:fill="auto"/>
          </w:tcPr>
          <w:p>
            <w:pPr>
              <w:pStyle w:val="nTable"/>
              <w:spacing w:before="50" w:after="50"/>
              <w:rPr>
                <w:snapToGrid w:val="0"/>
              </w:rPr>
            </w:pPr>
            <w:r>
              <w:t>26 May 2016</w:t>
            </w:r>
          </w:p>
        </w:tc>
        <w:tc>
          <w:tcPr>
            <w:tcW w:w="2552" w:type="dxa"/>
            <w:tcBorders>
              <w:bottom w:val="single" w:sz="4" w:space="0" w:color="auto"/>
            </w:tcBorders>
            <w:shd w:val="clear" w:color="auto" w:fill="auto"/>
          </w:tcPr>
          <w:p>
            <w:pPr>
              <w:pStyle w:val="nTable"/>
              <w:spacing w:before="50" w:after="50"/>
              <w:rPr>
                <w:snapToGrid w:val="0"/>
              </w:rPr>
            </w:pPr>
            <w:r>
              <w:rPr>
                <w:snapToGrid w:val="0"/>
              </w:rPr>
              <w:t xml:space="preserve">1 Jul 2016 (see s. 2(b) and </w:t>
            </w:r>
            <w:r>
              <w:rPr>
                <w:i/>
                <w:snapToGrid w:val="0"/>
              </w:rPr>
              <w:t>Gazette</w:t>
            </w:r>
            <w:r>
              <w:rPr>
                <w:snapToGrid w:val="0"/>
              </w:rPr>
              <w:t xml:space="preserve"> 24 Jun 2016 p. 2291)</w:t>
            </w:r>
          </w:p>
        </w:tc>
      </w:tr>
    </w:tbl>
    <w:p>
      <w:pPr>
        <w:pStyle w:val="nHeading3"/>
      </w:pPr>
      <w:bookmarkStart w:id="45" w:name="_Toc138844829"/>
      <w:r>
        <w:t>Uncommenced provisions table</w:t>
      </w:r>
      <w:bookmarkEnd w:id="45"/>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24"/>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24"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Amendment Act 2023</w:t>
            </w:r>
            <w:r>
              <w:rPr>
                <w:snapToGrid w:val="0"/>
              </w:rPr>
              <w:t xml:space="preserve"> Pt. 5</w:t>
            </w:r>
          </w:p>
        </w:tc>
        <w:tc>
          <w:tcPr>
            <w:tcW w:w="1134" w:type="dxa"/>
            <w:tcBorders>
              <w:bottom w:val="single" w:sz="4" w:space="0" w:color="auto"/>
            </w:tcBorders>
          </w:tcPr>
          <w:p>
            <w:pPr>
              <w:pStyle w:val="nTable"/>
              <w:keepNext/>
              <w:spacing w:after="40"/>
            </w:pPr>
            <w:r>
              <w:t>1 of 2023</w:t>
            </w:r>
          </w:p>
        </w:tc>
        <w:tc>
          <w:tcPr>
            <w:tcW w:w="1135" w:type="dxa"/>
            <w:tcBorders>
              <w:bottom w:val="single" w:sz="4" w:space="0" w:color="auto"/>
            </w:tcBorders>
          </w:tcPr>
          <w:p>
            <w:pPr>
              <w:pStyle w:val="nTable"/>
              <w:keepNext/>
              <w:spacing w:after="40"/>
            </w:pPr>
            <w:r>
              <w:t>22 Feb 2023</w:t>
            </w:r>
          </w:p>
        </w:tc>
        <w:tc>
          <w:tcPr>
            <w:tcW w:w="2524" w:type="dxa"/>
            <w:tcBorders>
              <w:bottom w:val="single" w:sz="4" w:space="0" w:color="auto"/>
            </w:tcBorders>
          </w:tcPr>
          <w:p>
            <w:pPr>
              <w:pStyle w:val="nTable"/>
              <w:keepNext/>
              <w:spacing w:after="40"/>
            </w:pPr>
            <w:r>
              <w:t>To be proclaimed (see s. 2(b))</w:t>
            </w:r>
          </w:p>
        </w:tc>
      </w:tr>
    </w:tbl>
    <w:p>
      <w:pPr>
        <w:pStyle w:val="nHeading3"/>
      </w:pPr>
      <w:bookmarkStart w:id="46" w:name="_Toc138844830"/>
      <w:r>
        <w:t>Other notes</w:t>
      </w:r>
      <w:bookmarkEnd w:id="46"/>
    </w:p>
    <w:p>
      <w:pPr>
        <w:pStyle w:val="nNote"/>
        <w:keepNext/>
        <w:rPr>
          <w:snapToGrid w:val="0"/>
        </w:rPr>
      </w:pPr>
      <w:r>
        <w:rPr>
          <w:snapToGrid w:val="0"/>
          <w:vertAlign w:val="superscript"/>
        </w:rPr>
        <w:t>1</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lastRenderedPageBreak/>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Note"/>
        <w:rPr>
          <w:snapToGrid w:val="0"/>
        </w:rPr>
      </w:pPr>
      <w:r>
        <w:rPr>
          <w:snapToGrid w:val="0"/>
          <w:vertAlign w:val="superscript"/>
        </w:rPr>
        <w:t>2</w:t>
      </w:r>
      <w:r>
        <w:rPr>
          <w:snapToGrid w:val="0"/>
        </w:rPr>
        <w:tab/>
        <w:t xml:space="preserve">Repealed by the </w:t>
      </w:r>
      <w:r>
        <w:rPr>
          <w:i/>
          <w:snapToGrid w:val="0"/>
        </w:rPr>
        <w:t>Cancer Council of Western Australia Act Repeal Act 1982</w:t>
      </w:r>
      <w:r>
        <w:rPr>
          <w:snapToGrid w:val="0"/>
        </w:rPr>
        <w:t>.</w:t>
      </w:r>
    </w:p>
    <w:p>
      <w:pPr>
        <w:pStyle w:val="nNote"/>
        <w:rPr>
          <w:snapToGrid w:val="0"/>
        </w:rPr>
      </w:pPr>
      <w:r>
        <w:rPr>
          <w:snapToGrid w:val="0"/>
          <w:vertAlign w:val="superscript"/>
        </w:rPr>
        <w:lastRenderedPageBreak/>
        <w:t>3</w:t>
      </w:r>
      <w:r>
        <w:rPr>
          <w:snapToGrid w:val="0"/>
        </w:rPr>
        <w:tab/>
        <w:t xml:space="preserve">Now known as the </w:t>
      </w:r>
      <w:r>
        <w:rPr>
          <w:i/>
          <w:snapToGrid w:val="0"/>
        </w:rPr>
        <w:t>Queen Elizabeth II Medical Centre Act 1966</w:t>
      </w:r>
      <w:r>
        <w:rPr>
          <w:snapToGrid w:val="0"/>
        </w:rPr>
        <w:t>; short title changed (see note under s. 1).</w:t>
      </w:r>
    </w:p>
    <w:p>
      <w:pPr>
        <w:pStyle w:val="nNote"/>
      </w:pPr>
      <w:r>
        <w:rPr>
          <w:vertAlign w:val="superscript"/>
        </w:rPr>
        <w:t>4</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p>
    <w:p>
      <w:pPr>
        <w:pStyle w:val="nNote"/>
      </w:pPr>
      <w:r>
        <w:rPr>
          <w:snapToGrid w:val="0"/>
          <w:vertAlign w:val="superscript"/>
        </w:rPr>
        <w:t>5</w:t>
      </w:r>
      <w:r>
        <w:rPr>
          <w:snapToGrid w:val="0"/>
        </w:rPr>
        <w:tab/>
        <w:t xml:space="preserve">The </w:t>
      </w:r>
      <w:r>
        <w:rPr>
          <w:i/>
          <w:snapToGrid w:val="0"/>
        </w:rPr>
        <w:t>Health Services Act 2016</w:t>
      </w:r>
      <w:r>
        <w:rPr>
          <w:snapToGrid w:val="0"/>
        </w:rPr>
        <w:t xml:space="preserve"> s. 301(2), (3), (6) and (7) had not come into operation when those provisions were deleted by the </w:t>
      </w:r>
      <w:r>
        <w:rPr>
          <w:i/>
          <w:snapToGrid w:val="0"/>
        </w:rPr>
        <w:t>Health Services Amendment Act 2023</w:t>
      </w:r>
      <w:r>
        <w:rPr>
          <w:snapToGrid w:val="0"/>
        </w:rPr>
        <w:t xml:space="preserve"> s. 85.</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8" w:name="_Toc127868030"/>
      <w:bookmarkStart w:id="49" w:name="_Toc127868135"/>
      <w:bookmarkStart w:id="50" w:name="_Toc127974006"/>
      <w:bookmarkStart w:id="51" w:name="_Toc138844831"/>
      <w:r>
        <w:rPr>
          <w:sz w:val="28"/>
        </w:rPr>
        <w:lastRenderedPageBreak/>
        <w:t>Defined terms</w:t>
      </w:r>
      <w:bookmarkEnd w:id="48"/>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delegate</w:t>
      </w:r>
      <w:r>
        <w:tab/>
        <w:t>13(2a)</w:t>
      </w:r>
    </w:p>
    <w:p>
      <w:pPr>
        <w:pStyle w:val="DefinedTerms"/>
      </w:pPr>
      <w:r>
        <w:t>former delegate</w:t>
      </w:r>
      <w:r>
        <w:tab/>
        <w:t>13(2l)</w:t>
      </w:r>
    </w:p>
    <w:p>
      <w:pPr>
        <w:pStyle w:val="DefinedTerms"/>
      </w:pPr>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reserve</w:t>
      </w:r>
      <w:r>
        <w:tab/>
        <w:t>3(1)</w:t>
      </w:r>
    </w:p>
    <w:p>
      <w:pPr>
        <w:pStyle w:val="DefinedTerms"/>
      </w:pPr>
      <w:r>
        <w:t>Schedule</w:t>
      </w:r>
      <w:r>
        <w:tab/>
        <w:t>3(1)</w:t>
      </w:r>
    </w:p>
    <w:p>
      <w:pPr>
        <w:pStyle w:val="DefinedTerms"/>
      </w:pPr>
      <w:r>
        <w:t>Senate</w:t>
      </w:r>
      <w:r>
        <w:tab/>
        <w:t>3(1)</w:t>
      </w:r>
    </w:p>
    <w:p>
      <w:pPr>
        <w:pStyle w:val="DefinedTerms"/>
      </w:pPr>
      <w:r>
        <w:t>site</w:t>
      </w:r>
      <w:r>
        <w:tab/>
        <w:t>13(2a)</w:t>
      </w:r>
    </w:p>
    <w:p>
      <w:pPr>
        <w:pStyle w:val="DefinedTerms"/>
      </w:pPr>
      <w:r>
        <w:t>specified</w:t>
      </w:r>
      <w:r>
        <w:tab/>
        <w:t>20(1b)</w:t>
      </w:r>
    </w:p>
    <w:p>
      <w:pPr>
        <w:pStyle w:val="DefinedTerms"/>
      </w:pPr>
      <w:r>
        <w:t>teaching hospital</w:t>
      </w:r>
      <w:r>
        <w:tab/>
        <w:t>16(8)</w:t>
      </w:r>
    </w:p>
    <w:p>
      <w:pPr>
        <w:pStyle w:val="DefinedTerms"/>
      </w:pPr>
      <w:r>
        <w:t>Trust</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9123552"/>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 w:name="WAFER_20200212171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552_GUID" w:val="100a7e91-44f6-4f28-a867-0d90713bf0ec"/>
    <w:docVar w:name="WAFER_202302211016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1101610_GUID" w:val="e25f2a4b-8943-4860-b9c1-1a220beb4aea"/>
    <w:docVar w:name="WAFER_2023062912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3552_GUID" w:val="31c00b28-982f-446f-94ca-33a255d18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8AECACB-706D-4CC4-A1A8-1F872460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7954</Words>
  <Characters>36912</Characters>
  <Application>Microsoft Office Word</Application>
  <DocSecurity>0</DocSecurity>
  <Lines>1054</Lines>
  <Paragraphs>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1966 - 05-d0-01</dc:title>
  <dc:subject/>
  <dc:creator/>
  <cp:keywords/>
  <dc:description/>
  <cp:lastModifiedBy>Master Repository Process</cp:lastModifiedBy>
  <cp:revision>4</cp:revision>
  <cp:lastPrinted>2013-12-18T23:50:00Z</cp:lastPrinted>
  <dcterms:created xsi:type="dcterms:W3CDTF">2023-06-29T13:44:00Z</dcterms:created>
  <dcterms:modified xsi:type="dcterms:W3CDTF">2023-06-29T13:44:00Z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DocumentType">
    <vt:lpwstr>Act</vt:lpwstr>
  </property>
  <property fmtid="{D5CDD505-2E9C-101B-9397-08002B2CF9AE}" pid="4" name="OwlsUID">
    <vt:i4>650</vt:i4>
  </property>
  <property fmtid="{D5CDD505-2E9C-101B-9397-08002B2CF9AE}" pid="5" name="ReprintNo">
    <vt:lpwstr>5</vt:lpwstr>
  </property>
  <property fmtid="{D5CDD505-2E9C-101B-9397-08002B2CF9AE}" pid="6" name="ReprintedAsAt">
    <vt:filetime>2013-12-12T16:00:00Z</vt:filetime>
  </property>
  <property fmtid="{D5CDD505-2E9C-101B-9397-08002B2CF9AE}" pid="7" name="CommencementDate">
    <vt:lpwstr>20230222</vt:lpwstr>
  </property>
  <property fmtid="{D5CDD505-2E9C-101B-9397-08002B2CF9AE}" pid="8" name="AsAtDate">
    <vt:lpwstr>22 Feb 2023</vt:lpwstr>
  </property>
  <property fmtid="{D5CDD505-2E9C-101B-9397-08002B2CF9AE}" pid="9" name="Suffix">
    <vt:lpwstr>05-d0-01</vt:lpwstr>
  </property>
  <property fmtid="{D5CDD505-2E9C-101B-9397-08002B2CF9AE}" pid="10" name="Official">
    <vt:lpwstr/>
  </property>
</Properties>
</file>