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_Toc129186714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_Toc129186715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_Toc129186716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_Toc129186718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_Toc129186719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_Toc129186720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_Toc129186721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_Toc129186722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_Toc129186723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_Toc129186725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_Toc129186726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_Toc129186729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_Toc129186730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_Toc129186731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_Toc129186732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_Toc129186733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_Toc129186734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_Toc129186735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_Toc129186736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_Toc129186738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_Toc129186741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_Toc129186742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_Toc129186743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_Toc129186744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_Toc129186745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_Toc129186746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_Toc129186747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_Toc129186748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_Toc129186749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_Toc129186751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_Toc129186753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_Toc129186754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_Toc129186755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_Toc129186756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_Toc129186757 \h </w:instrText>
      </w:r>
      <w:r>
        <w:fldChar w:fldCharType="separate"/>
      </w:r>
      <w:r>
        <w:t>17</w:t>
      </w:r>
      <w:r>
        <w:fldChar w:fldCharType="end"/>
      </w:r>
    </w:p>
    <w:p>
      <w:pPr>
        <w:pStyle w:val="TOC8"/>
        <w:rPr>
          <w:rFonts w:asciiTheme="minorHAnsi" w:eastAsiaTheme="minorEastAsia" w:hAnsiTheme="minorHAnsi" w:cstheme="minorBidi"/>
          <w:szCs w:val="22"/>
        </w:rPr>
      </w:pPr>
      <w:r>
        <w:t>26.</w:t>
      </w:r>
      <w:r>
        <w:tab/>
        <w:t>Early compliance with summons to produce</w:t>
      </w:r>
      <w:r>
        <w:tab/>
      </w:r>
      <w:r>
        <w:fldChar w:fldCharType="begin"/>
      </w:r>
      <w:r>
        <w:instrText xml:space="preserve"> PAGEREF _Toc129186758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_Toc129186759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_Toc129186760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_Toc129186762 \h </w:instrText>
      </w:r>
      <w:r>
        <w:fldChar w:fldCharType="separate"/>
      </w:r>
      <w:r>
        <w:t>21</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_Toc129186763 \h </w:instrText>
      </w:r>
      <w:r>
        <w:fldChar w:fldCharType="separate"/>
      </w:r>
      <w:r>
        <w:t>21</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_Toc129186764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_Toc129186765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_Toc129186767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_Toc129186769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_Toc129186771 \h </w:instrText>
      </w:r>
      <w:r>
        <w:fldChar w:fldCharType="separate"/>
      </w:r>
      <w:r>
        <w:t>25</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_Toc129186772 \h </w:instrText>
      </w:r>
      <w:r>
        <w:fldChar w:fldCharType="separate"/>
      </w:r>
      <w:r>
        <w:t>27</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_Toc129186773 \h </w:instrText>
      </w:r>
      <w:r>
        <w:fldChar w:fldCharType="separate"/>
      </w:r>
      <w:r>
        <w:t>29</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_Toc129186774 \h </w:instrText>
      </w:r>
      <w:r>
        <w:fldChar w:fldCharType="separate"/>
      </w:r>
      <w:r>
        <w:t>30</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_Toc129186775 \h </w:instrText>
      </w:r>
      <w:r>
        <w:fldChar w:fldCharType="separate"/>
      </w:r>
      <w:r>
        <w:t>31</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_Toc129186776 \h </w:instrText>
      </w:r>
      <w:r>
        <w:fldChar w:fldCharType="separate"/>
      </w:r>
      <w:r>
        <w:t>34</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_Toc129186777 \h </w:instrText>
      </w:r>
      <w:r>
        <w:fldChar w:fldCharType="separate"/>
      </w:r>
      <w:r>
        <w:t>35</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_Toc129186778 \h </w:instrText>
      </w:r>
      <w:r>
        <w:fldChar w:fldCharType="separate"/>
      </w:r>
      <w:r>
        <w:t>37</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_Toc129186779 \h </w:instrText>
      </w:r>
      <w:r>
        <w:fldChar w:fldCharType="separate"/>
      </w:r>
      <w:r>
        <w:t>37</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_Toc129186780 \h </w:instrText>
      </w:r>
      <w:r>
        <w:fldChar w:fldCharType="separate"/>
      </w:r>
      <w:r>
        <w:t>38</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_Toc129186781 \h </w:instrText>
      </w:r>
      <w:r>
        <w:fldChar w:fldCharType="separate"/>
      </w:r>
      <w:r>
        <w:t>39</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_Toc129186782 \h </w:instrText>
      </w:r>
      <w:r>
        <w:fldChar w:fldCharType="separate"/>
      </w:r>
      <w:r>
        <w:t>39</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_Toc129186783 \h </w:instrText>
      </w:r>
      <w:r>
        <w:fldChar w:fldCharType="separate"/>
      </w:r>
      <w:r>
        <w:t>40</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_Toc129186784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_Toc129186785 \h </w:instrText>
      </w:r>
      <w:r>
        <w:fldChar w:fldCharType="separate"/>
      </w:r>
      <w:r>
        <w:t>42</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_Toc129186786 \h </w:instrText>
      </w:r>
      <w:r>
        <w:fldChar w:fldCharType="separate"/>
      </w:r>
      <w:r>
        <w:t>43</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_Toc129186787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_Toc129186791 \h </w:instrText>
      </w:r>
      <w:r>
        <w:fldChar w:fldCharType="separate"/>
      </w:r>
      <w:r>
        <w:t>50</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_Toc129186792 \h </w:instrText>
      </w:r>
      <w:r>
        <w:fldChar w:fldCharType="separate"/>
      </w:r>
      <w:r>
        <w:t>50</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_Toc129186793 \h </w:instrText>
      </w:r>
      <w:r>
        <w:fldChar w:fldCharType="separate"/>
      </w:r>
      <w:r>
        <w:t>50</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_Toc129186794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_Toc129186796 \h </w:instrText>
      </w:r>
      <w:r>
        <w:fldChar w:fldCharType="separate"/>
      </w:r>
      <w:r>
        <w:t>51</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_Toc129186797 \h </w:instrText>
      </w:r>
      <w:r>
        <w:fldChar w:fldCharType="separate"/>
      </w:r>
      <w:r>
        <w:t>51</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_Toc129186798 \h </w:instrText>
      </w:r>
      <w:r>
        <w:fldChar w:fldCharType="separate"/>
      </w:r>
      <w:r>
        <w:t>51</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_Toc129186799 \h </w:instrText>
      </w:r>
      <w:r>
        <w:fldChar w:fldCharType="separate"/>
      </w:r>
      <w:r>
        <w:t>51</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_Toc129186800 \h </w:instrText>
      </w:r>
      <w:r>
        <w:fldChar w:fldCharType="separate"/>
      </w:r>
      <w:r>
        <w:t>51</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_Toc129186801 \h </w:instrText>
      </w:r>
      <w:r>
        <w:fldChar w:fldCharType="separate"/>
      </w:r>
      <w:r>
        <w:t>51</w:t>
      </w:r>
      <w:r>
        <w:fldChar w:fldCharType="end"/>
      </w:r>
    </w:p>
    <w:p>
      <w:pPr>
        <w:pStyle w:val="TOC8"/>
        <w:rPr>
          <w:rFonts w:asciiTheme="minorHAnsi" w:eastAsiaTheme="minorEastAsia" w:hAnsiTheme="minorHAnsi" w:cstheme="minorBidi"/>
          <w:szCs w:val="22"/>
        </w:rPr>
      </w:pPr>
      <w:r>
        <w:t>5.</w:t>
      </w:r>
      <w:r>
        <w:tab/>
      </w:r>
      <w:r>
        <w:rPr>
          <w:i/>
        </w:rPr>
        <w:t>Mines Safety and Inspection Act 1994</w:t>
      </w:r>
      <w:r>
        <w:t xml:space="preserve"> offences</w:t>
      </w:r>
      <w:r>
        <w:tab/>
      </w:r>
      <w:r>
        <w:fldChar w:fldCharType="begin"/>
      </w:r>
      <w:r>
        <w:instrText xml:space="preserve"> PAGEREF _Toc129186802 \h </w:instrText>
      </w:r>
      <w:r>
        <w:fldChar w:fldCharType="separate"/>
      </w:r>
      <w:r>
        <w:t>51</w:t>
      </w:r>
      <w:r>
        <w:fldChar w:fldCharType="end"/>
      </w:r>
    </w:p>
    <w:p>
      <w:pPr>
        <w:pStyle w:val="TOC8"/>
        <w:rPr>
          <w:rFonts w:asciiTheme="minorHAnsi" w:eastAsiaTheme="minorEastAsia" w:hAnsiTheme="minorHAnsi" w:cstheme="minorBidi"/>
          <w:szCs w:val="22"/>
        </w:rPr>
      </w:pPr>
      <w:r>
        <w:t>6.</w:t>
      </w:r>
      <w:r>
        <w:tab/>
      </w:r>
      <w:r>
        <w:rPr>
          <w:i/>
        </w:rPr>
        <w:t>Occupational Safety and Health Act 1984</w:t>
      </w:r>
      <w:r>
        <w:t xml:space="preserve"> offences</w:t>
      </w:r>
      <w:r>
        <w:tab/>
      </w:r>
      <w:r>
        <w:fldChar w:fldCharType="begin"/>
      </w:r>
      <w:r>
        <w:instrText xml:space="preserve"> PAGEREF _Toc129186803 \h </w:instrText>
      </w:r>
      <w:r>
        <w:fldChar w:fldCharType="separate"/>
      </w:r>
      <w:r>
        <w:t>52</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_Toc129186804 \h </w:instrText>
      </w:r>
      <w:r>
        <w:fldChar w:fldCharType="separate"/>
      </w:r>
      <w:r>
        <w:t>52</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_Toc129186805 \h </w:instrText>
      </w:r>
      <w:r>
        <w:fldChar w:fldCharType="separate"/>
      </w:r>
      <w:r>
        <w:t>52</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_Toc129186806 \h </w:instrText>
      </w:r>
      <w:r>
        <w:fldChar w:fldCharType="separate"/>
      </w:r>
      <w:r>
        <w:t>52</w:t>
      </w:r>
      <w:r>
        <w:fldChar w:fldCharType="end"/>
      </w:r>
    </w:p>
    <w:p>
      <w:pPr>
        <w:pStyle w:val="TOC8"/>
        <w:rPr>
          <w:rFonts w:asciiTheme="minorHAnsi" w:eastAsiaTheme="minorEastAsia" w:hAnsiTheme="minorHAnsi" w:cstheme="minorBidi"/>
          <w:szCs w:val="22"/>
        </w:rPr>
      </w:pPr>
      <w:r>
        <w:t>10.</w:t>
      </w:r>
      <w:r>
        <w:tab/>
      </w:r>
      <w:r>
        <w:rPr>
          <w:i/>
        </w:rPr>
        <w:t>Work Health and Safety Act 2020</w:t>
      </w:r>
      <w:r>
        <w:t xml:space="preserve"> offences</w:t>
      </w:r>
      <w:r>
        <w:tab/>
      </w:r>
      <w:r>
        <w:fldChar w:fldCharType="begin"/>
      </w:r>
      <w:r>
        <w:instrText xml:space="preserve"> PAGEREF _Toc129186807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_Toc129186809 \h </w:instrText>
      </w:r>
      <w:r>
        <w:fldChar w:fldCharType="separate"/>
      </w:r>
      <w:r>
        <w:t>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_Toc129186810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129167313"/>
      <w:bookmarkStart w:id="4" w:name="_Toc129167787"/>
      <w:bookmarkStart w:id="5" w:name="_Toc12918671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9186714"/>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129186715"/>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129186716"/>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129167317"/>
      <w:bookmarkStart w:id="10" w:name="_Toc129167791"/>
      <w:bookmarkStart w:id="11" w:name="_Toc129186717"/>
      <w:r>
        <w:rPr>
          <w:rStyle w:val="CharPartNo"/>
        </w:rPr>
        <w:lastRenderedPageBreak/>
        <w:t>Part 2</w:t>
      </w:r>
      <w:r>
        <w:t> — </w:t>
      </w:r>
      <w:r>
        <w:rPr>
          <w:rStyle w:val="CharPartText"/>
        </w:rPr>
        <w:t>General</w:t>
      </w:r>
      <w:bookmarkEnd w:id="9"/>
      <w:bookmarkEnd w:id="10"/>
      <w:bookmarkEnd w:id="11"/>
    </w:p>
    <w:p>
      <w:pPr>
        <w:pStyle w:val="Heading5"/>
      </w:pPr>
      <w:bookmarkStart w:id="12" w:name="_Toc129186718"/>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129186719"/>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129186720"/>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129186721"/>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129186722"/>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129186723"/>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129167324"/>
      <w:bookmarkStart w:id="19" w:name="_Toc129167798"/>
      <w:bookmarkStart w:id="20" w:name="_Toc129186724"/>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129186725"/>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129186726"/>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129167327"/>
      <w:bookmarkStart w:id="24" w:name="_Toc129167801"/>
      <w:bookmarkStart w:id="25" w:name="_Toc129186727"/>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129167328"/>
      <w:bookmarkStart w:id="27" w:name="_Toc129167802"/>
      <w:bookmarkStart w:id="28" w:name="_Toc129186728"/>
      <w:r>
        <w:rPr>
          <w:rStyle w:val="CharDivNo"/>
        </w:rPr>
        <w:t>Division 1</w:t>
      </w:r>
      <w:r>
        <w:t> — </w:t>
      </w:r>
      <w:r>
        <w:rPr>
          <w:rStyle w:val="CharDivText"/>
        </w:rPr>
        <w:t>General</w:t>
      </w:r>
      <w:bookmarkEnd w:id="26"/>
      <w:bookmarkEnd w:id="27"/>
      <w:bookmarkEnd w:id="28"/>
    </w:p>
    <w:p>
      <w:pPr>
        <w:pStyle w:val="Heading5"/>
      </w:pPr>
      <w:bookmarkStart w:id="29" w:name="_Toc129186729"/>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129186730"/>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129186731"/>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129186732"/>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129186733"/>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129186734"/>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129186735"/>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129186736"/>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129167337"/>
      <w:bookmarkStart w:id="38" w:name="_Toc129167811"/>
      <w:bookmarkStart w:id="39" w:name="_Toc129186737"/>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129186738"/>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129167339"/>
      <w:bookmarkStart w:id="42" w:name="_Toc129167813"/>
      <w:bookmarkStart w:id="43" w:name="_Toc129186739"/>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129167340"/>
      <w:bookmarkStart w:id="45" w:name="_Toc129167814"/>
      <w:bookmarkStart w:id="46" w:name="_Toc129186740"/>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129186741"/>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129186742"/>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129186743"/>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129186744"/>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129186745"/>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129186746"/>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129186747"/>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129186748"/>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129186749"/>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129167350"/>
      <w:bookmarkStart w:id="57" w:name="_Toc129167824"/>
      <w:bookmarkStart w:id="58" w:name="_Toc129186750"/>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129186751"/>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129167352"/>
      <w:bookmarkStart w:id="61" w:name="_Toc129167826"/>
      <w:bookmarkStart w:id="62" w:name="_Toc129186752"/>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129186753"/>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129186754"/>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129186755"/>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129186756"/>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129186757"/>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129186758"/>
      <w:r>
        <w:rPr>
          <w:rStyle w:val="CharSectno"/>
        </w:rPr>
        <w:t>26</w:t>
      </w:r>
      <w:r>
        <w:t>.</w:t>
      </w:r>
      <w:r>
        <w:tab/>
        <w:t>Early compliance with summons to produce</w:t>
      </w:r>
      <w:bookmarkEnd w:id="68"/>
    </w:p>
    <w:p>
      <w:pPr>
        <w:pStyle w:val="Subsection"/>
      </w:pPr>
      <w:r>
        <w:tab/>
        <w:t>(1A)</w:t>
      </w:r>
      <w:r>
        <w:tab/>
        <w:t xml:space="preserve">In this regulation — </w:t>
      </w:r>
    </w:p>
    <w:p>
      <w:pPr>
        <w:pStyle w:val="Defstart"/>
      </w:pPr>
      <w:r>
        <w:tab/>
      </w:r>
      <w:r>
        <w:rPr>
          <w:rStyle w:val="CharDefText"/>
        </w:rPr>
        <w:t>produce electronically</w:t>
      </w:r>
      <w:r>
        <w:t>, in relation to a record or thing, means to provide the record or thing, in a format approved by the court, to the court —</w:t>
      </w:r>
    </w:p>
    <w:p>
      <w:pPr>
        <w:pStyle w:val="Defpara"/>
      </w:pPr>
      <w:r>
        <w:tab/>
        <w:t>(a)</w:t>
      </w:r>
      <w:r>
        <w:tab/>
        <w:t>by saving it to a CD</w:t>
      </w:r>
      <w:r>
        <w:noBreakHyphen/>
        <w:t xml:space="preserve">ROM, DVD or USB device and — </w:t>
      </w:r>
    </w:p>
    <w:p>
      <w:pPr>
        <w:pStyle w:val="Defsubpara"/>
      </w:pPr>
      <w:r>
        <w:tab/>
        <w:t>(i)</w:t>
      </w:r>
      <w:r>
        <w:tab/>
        <w:t>providing the CD</w:t>
      </w:r>
      <w:r>
        <w:noBreakHyphen/>
        <w:t>ROM, DVD or USB device to the court in person; or</w:t>
      </w:r>
    </w:p>
    <w:p>
      <w:pPr>
        <w:pStyle w:val="Defsubpara"/>
      </w:pPr>
      <w:r>
        <w:tab/>
        <w:t>(ii)</w:t>
      </w:r>
      <w:r>
        <w:tab/>
        <w:t>sending the CD</w:t>
      </w:r>
      <w:r>
        <w:noBreakHyphen/>
        <w:t>ROM, DVD or USB device to the court by post or courier;</w:t>
      </w:r>
    </w:p>
    <w:p>
      <w:pPr>
        <w:pStyle w:val="Defpara"/>
      </w:pPr>
      <w:r>
        <w:tab/>
      </w:r>
      <w:r>
        <w:tab/>
        <w:t>or</w:t>
      </w:r>
    </w:p>
    <w:p>
      <w:pPr>
        <w:pStyle w:val="Defpara"/>
      </w:pPr>
      <w:r>
        <w:tab/>
        <w:t>(b)</w:t>
      </w:r>
      <w:r>
        <w:tab/>
        <w:t>by other electronic means approved by a registrar.</w:t>
      </w:r>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keepNext/>
      </w:pPr>
      <w:r>
        <w:lastRenderedPageBreak/>
        <w:tab/>
        <w:t>(2)</w:t>
      </w:r>
      <w:r>
        <w:tab/>
        <w:t xml:space="preserve">The witness may produce the record or thing — </w:t>
      </w:r>
    </w:p>
    <w:p>
      <w:pPr>
        <w:pStyle w:val="Indenta"/>
      </w:pPr>
      <w:r>
        <w:tab/>
        <w:t>(a)</w:t>
      </w:r>
      <w:r>
        <w:tab/>
        <w:t>if the original record or thing is in electronic form — by producing it electronically; or</w:t>
      </w:r>
    </w:p>
    <w:p>
      <w:pPr>
        <w:pStyle w:val="Indenta"/>
      </w:pPr>
      <w:r>
        <w:tab/>
        <w:t>(b)</w:t>
      </w:r>
      <w:r>
        <w:tab/>
        <w:t>otherwise — by providing it to the court in person or sending it to the court by post or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(5A)</w:t>
      </w:r>
      <w:r>
        <w:tab/>
        <w:t>If the summons requires the production of a record and does not require that the original record be produced, the witness may comply with subregulation (2) or (4)(b) by producing a copy of the record (whether in electronic form or otherwise).</w:t>
      </w:r>
    </w:p>
    <w:p>
      <w:pPr>
        <w:pStyle w:val="Subsection"/>
        <w:keepNext/>
      </w:pPr>
      <w:r>
        <w:tab/>
        <w:t>(6)</w:t>
      </w:r>
      <w:r>
        <w:tab/>
        <w:t xml:space="preserve">On receiving the record or thing produced, a court officer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[Regulation 26 amended: SL 2023/19 r. 6.]</w:t>
      </w:r>
    </w:p>
    <w:p>
      <w:pPr>
        <w:pStyle w:val="Heading5"/>
      </w:pPr>
      <w:bookmarkStart w:id="69" w:name="_Toc129186759"/>
      <w:r>
        <w:rPr>
          <w:rStyle w:val="CharSectno"/>
        </w:rPr>
        <w:lastRenderedPageBreak/>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129186760"/>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129167361"/>
      <w:bookmarkStart w:id="72" w:name="_Toc129167835"/>
      <w:bookmarkStart w:id="73" w:name="_Toc129186761"/>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129186762"/>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129186763"/>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129186764"/>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129186765"/>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129167366"/>
      <w:bookmarkStart w:id="79" w:name="_Toc129167840"/>
      <w:bookmarkStart w:id="80" w:name="_Toc129186766"/>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129186767"/>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129167368"/>
      <w:bookmarkStart w:id="83" w:name="_Toc129167842"/>
      <w:bookmarkStart w:id="84" w:name="_Toc129186768"/>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129186769"/>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129167370"/>
      <w:bookmarkStart w:id="87" w:name="_Toc129167844"/>
      <w:bookmarkStart w:id="88" w:name="_Toc129186770"/>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129186771"/>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129186772"/>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129186773"/>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129186774"/>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129186775"/>
      <w:r>
        <w:rPr>
          <w:rStyle w:val="CharSClsNo"/>
        </w:rPr>
        <w:lastRenderedPageBreak/>
        <w:t>5</w:t>
      </w:r>
      <w:r>
        <w:t>.</w:t>
      </w:r>
      <w:r>
        <w:tab/>
        <w:t>Court hearing notice</w:t>
      </w:r>
      <w:bookmarkEnd w:id="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 xml:space="preserve">A written plea of not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w:t>
            </w:r>
          </w:p>
          <w:p>
            <w:pPr>
              <w:pStyle w:val="yTableNAm"/>
              <w:spacing w:before="0"/>
              <w:ind w:left="567" w:hanging="567"/>
            </w:pPr>
            <w:r>
              <w:rPr>
                <w:sz w:val="20"/>
              </w:rPr>
              <w:t>2.</w:t>
            </w:r>
            <w:r>
              <w:rPr>
                <w:sz w:val="20"/>
              </w:rP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 xml:space="preserve">A written plea of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 </w:t>
            </w:r>
          </w:p>
          <w:p>
            <w:pPr>
              <w:pStyle w:val="yTableNAm"/>
              <w:spacing w:before="0"/>
              <w:ind w:left="567" w:hanging="567"/>
              <w:rPr>
                <w:sz w:val="20"/>
              </w:rPr>
            </w:pPr>
            <w:r>
              <w:rPr>
                <w:sz w:val="20"/>
              </w:rPr>
              <w:t>2.</w:t>
            </w:r>
            <w:r>
              <w:rPr>
                <w:sz w:val="20"/>
              </w:rPr>
              <w:tab/>
              <w:t>by completing page 2 of this form and returning it to the court registry.</w:t>
            </w:r>
          </w:p>
          <w:p>
            <w:pPr>
              <w:pStyle w:val="yTableNAm"/>
              <w:spacing w:before="0"/>
              <w:rPr>
                <w:sz w:val="20"/>
              </w:rPr>
            </w:pPr>
            <w:r>
              <w:rPr>
                <w:sz w:val="20"/>
              </w:rP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tabs>
          <w:tab w:val="left" w:pos="480"/>
        </w:tabs>
        <w:spacing w:before="0"/>
        <w:ind w:left="482" w:hanging="482"/>
      </w:pPr>
      <w:r>
        <w:rPr>
          <w:sz w:val="20"/>
        </w:rPr>
        <w:t>Notes</w:t>
      </w:r>
      <w:r>
        <w:t xml:space="preserve">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94" w:name="_Toc129186776"/>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129186777"/>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129186778"/>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129186779"/>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129186780"/>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129186781"/>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129186782"/>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129186783"/>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129186784"/>
      <w:r>
        <w:rPr>
          <w:rStyle w:val="CharSClsNo"/>
        </w:rPr>
        <w:lastRenderedPageBreak/>
        <w:t>11</w:t>
      </w:r>
      <w:r>
        <w:t>.</w:t>
      </w:r>
      <w:r>
        <w:tab/>
        <w:t>Witness summons to produce a record or thing (r. 25(1)(b))</w:t>
      </w:r>
      <w:bookmarkEnd w:id="10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noWrap/>
          </w:tcPr>
          <w:p>
            <w:pPr>
              <w:pStyle w:val="yTableNAm"/>
              <w:spacing w:before="0"/>
              <w:rPr>
                <w:b/>
                <w:sz w:val="20"/>
              </w:rPr>
            </w:pPr>
            <w:r>
              <w:rPr>
                <w:b/>
                <w:sz w:val="20"/>
              </w:rPr>
              <w:t>Command</w:t>
            </w:r>
          </w:p>
        </w:tc>
        <w:tc>
          <w:tcPr>
            <w:tcW w:w="5528" w:type="dxa"/>
            <w:gridSpan w:val="3"/>
            <w:tcBorders>
              <w:bottom w:val="single" w:sz="4" w:space="0" w:color="auto"/>
            </w:tcBorders>
            <w:noWrap/>
          </w:tcPr>
          <w:p>
            <w:pPr>
              <w:pStyle w:val="yTableNAm"/>
              <w:spacing w:before="0"/>
              <w:rPr>
                <w:b/>
                <w:sz w:val="20"/>
              </w:rPr>
            </w:pPr>
            <w:r>
              <w:rPr>
                <w:b/>
                <w:sz w:val="20"/>
              </w:rPr>
              <w:t>You are commanded to produce the records or things described below on or before the date and at or before the 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sz w:val="20"/>
              </w:rPr>
            </w:pPr>
            <w:r>
              <w:rPr>
                <w:sz w:val="20"/>
              </w:rPr>
              <w:t>Time 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rPr>
                <w:sz w:val="20"/>
              </w:rPr>
            </w:pPr>
            <w:r>
              <w:rPr>
                <w:sz w:val="20"/>
              </w:rPr>
              <w:t>Date:</w:t>
            </w:r>
            <w:r>
              <w:rPr>
                <w:sz w:val="20"/>
              </w:rPr>
              <w:tab/>
              <w:t>Time:</w:t>
            </w:r>
          </w:p>
          <w:p>
            <w:pPr>
              <w:pStyle w:val="yTableNAm"/>
              <w:tabs>
                <w:tab w:val="clear" w:pos="567"/>
                <w:tab w:val="left" w:pos="3291"/>
              </w:tabs>
              <w:spacing w:before="0"/>
              <w:rPr>
                <w:sz w:val="20"/>
              </w:rPr>
            </w:pPr>
            <w:r>
              <w:rPr>
                <w:sz w:val="20"/>
              </w:rPr>
              <w:t>Court:</w:t>
            </w:r>
          </w:p>
        </w:tc>
      </w:tr>
      <w:tr>
        <w:trPr>
          <w:cantSplit/>
        </w:trPr>
        <w:tc>
          <w:tcPr>
            <w:tcW w:w="1560" w:type="dxa"/>
            <w:tcBorders>
              <w:bottom w:val="single" w:sz="4" w:space="0" w:color="auto"/>
            </w:tcBorders>
            <w:noWrap/>
          </w:tcPr>
          <w:p>
            <w:pPr>
              <w:pStyle w:val="yTableNAm"/>
              <w:spacing w:before="0"/>
              <w:rPr>
                <w:sz w:val="20"/>
              </w:rPr>
            </w:pPr>
            <w:r>
              <w:rPr>
                <w:sz w:val="20"/>
              </w:rPr>
              <w:t>Records or things to be produced</w:t>
            </w:r>
          </w:p>
        </w:tc>
        <w:tc>
          <w:tcPr>
            <w:tcW w:w="5528" w:type="dxa"/>
            <w:gridSpan w:val="3"/>
            <w:tcBorders>
              <w:bottom w:val="single" w:sz="4" w:space="0" w:color="auto"/>
            </w:tcBorders>
            <w:noWrap/>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List the records or things and whether the original of any record is required. If insufficient space, attach list.</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r>
        <w:tc>
          <w:tcPr>
            <w:tcW w:w="7088" w:type="dxa"/>
            <w:gridSpan w:val="4"/>
            <w:tcBorders>
              <w:bottom w:val="single" w:sz="4" w:space="0" w:color="auto"/>
            </w:tcBorders>
            <w:noWrap/>
          </w:tcPr>
          <w:p>
            <w:pPr>
              <w:pStyle w:val="yTableNAm"/>
              <w:spacing w:before="0"/>
              <w:jc w:val="center"/>
            </w:pPr>
            <w:r>
              <w:rPr>
                <w:b/>
                <w:sz w:val="20"/>
              </w:rPr>
              <w:t>Notes</w:t>
            </w:r>
          </w:p>
        </w:tc>
      </w:tr>
      <w:t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b/>
                <w:sz w:val="20"/>
              </w:rPr>
            </w:pPr>
            <w:r>
              <w:rPr>
                <w:b/>
                <w:sz w:val="20"/>
              </w:rPr>
              <w:t>Production of copy of record instead of original record</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rStyle w:val="DraftersNotes"/>
                <w:b w:val="0"/>
                <w:i w:val="0"/>
              </w:rPr>
            </w:pPr>
            <w:r>
              <w:rPr>
                <w:sz w:val="20"/>
              </w:rPr>
              <w:t>Unless this summons states that the original of a record is required, you may produce a copy of it instead.</w:t>
            </w:r>
          </w:p>
        </w:tc>
      </w:tr>
    </w:tbl>
    <w:p>
      <w:pPr>
        <w:pStyle w:val="yFootnotesection"/>
      </w:pPr>
      <w:r>
        <w:tab/>
        <w:t>[Form 11 amended: SL 2023/19 r. 7.]</w:t>
      </w:r>
    </w:p>
    <w:p>
      <w:pPr>
        <w:pStyle w:val="yHeading5"/>
        <w:pageBreakBefore/>
        <w:spacing w:before="0" w:after="120"/>
      </w:pPr>
      <w:bookmarkStart w:id="103" w:name="_Toc129186785"/>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129186786"/>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129186787"/>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 w:name="_Toc129167388"/>
      <w:bookmarkStart w:id="108" w:name="_Toc129167862"/>
      <w:bookmarkStart w:id="109" w:name="_Toc129186788"/>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w:t>
      </w:r>
      <w:r>
        <w:lastRenderedPageBreak/>
        <w:t xml:space="preserve">p. 4314; 14 Sep 2018 p. 3314; 12 Feb 2019 p. 265; SL 2020/32 r. 4; SL 2021/135 r. 4; SL 2021/136 r. 4; SL 2021/174 r. 4; </w:t>
      </w:r>
      <w:r>
        <w:rPr>
          <w:spacing w:val="-4"/>
        </w:rPr>
        <w:t>SL 2022/8 r. 4; SL 2022/14 r. 4</w:t>
      </w:r>
      <w:r>
        <w:t>.]</w:t>
      </w:r>
    </w:p>
    <w:p>
      <w:pPr>
        <w:pStyle w:val="yScheduleHeading"/>
      </w:pPr>
      <w:bookmarkStart w:id="110" w:name="_Toc129167389"/>
      <w:bookmarkStart w:id="111" w:name="_Toc129167863"/>
      <w:bookmarkStart w:id="112" w:name="_Toc129186789"/>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129167390"/>
      <w:bookmarkStart w:id="114" w:name="_Toc129167864"/>
      <w:bookmarkStart w:id="115" w:name="_Toc129186790"/>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129186791"/>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129186792"/>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129186793"/>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129186794"/>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129167395"/>
      <w:bookmarkStart w:id="121" w:name="_Toc129167869"/>
      <w:bookmarkStart w:id="122" w:name="_Toc129186795"/>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129186796"/>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129186797"/>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129186798"/>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129186799"/>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129186800"/>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129186801"/>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9" w:name="_Toc129186802"/>
      <w:r>
        <w:rPr>
          <w:rStyle w:val="CharSClsNo"/>
        </w:rPr>
        <w:t>5</w:t>
      </w:r>
      <w:r>
        <w:t>.</w:t>
      </w:r>
      <w:r>
        <w:tab/>
      </w:r>
      <w:r>
        <w:rPr>
          <w:i/>
        </w:rPr>
        <w:t>Mines Safety and Inspection Act 1994</w:t>
      </w:r>
      <w:r>
        <w:t xml:space="preserve"> offences</w:t>
      </w:r>
      <w:bookmarkEnd w:id="129"/>
    </w:p>
    <w:p>
      <w:pPr>
        <w:pStyle w:val="ySubsection"/>
      </w:pPr>
      <w:r>
        <w:tab/>
      </w:r>
      <w:r>
        <w:tab/>
        <w:t xml:space="preserve">Any simple offence under the </w:t>
      </w:r>
      <w:r>
        <w:rPr>
          <w:i/>
        </w:rPr>
        <w:t>Mines Safety and Inspection Act 1994</w:t>
      </w:r>
      <w:r>
        <w:t>.</w:t>
      </w:r>
    </w:p>
    <w:p>
      <w:pPr>
        <w:pStyle w:val="yFootnotesection"/>
      </w:pPr>
      <w:r>
        <w:tab/>
        <w:t>[Clause 5 inserted: SL 2022/127 r. 4.]</w:t>
      </w:r>
    </w:p>
    <w:p>
      <w:pPr>
        <w:pStyle w:val="yHeading5"/>
      </w:pPr>
      <w:bookmarkStart w:id="130" w:name="_Toc129186803"/>
      <w:r>
        <w:rPr>
          <w:rStyle w:val="CharSClsNo"/>
        </w:rPr>
        <w:lastRenderedPageBreak/>
        <w:t>6</w:t>
      </w:r>
      <w:r>
        <w:t>.</w:t>
      </w:r>
      <w:r>
        <w:tab/>
      </w:r>
      <w:r>
        <w:rPr>
          <w:i/>
        </w:rPr>
        <w:t>Occupational Safety and Health Act 1984</w:t>
      </w:r>
      <w:r>
        <w:t xml:space="preserve"> offences</w:t>
      </w:r>
      <w:bookmarkEnd w:id="130"/>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131" w:name="_Toc129186804"/>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2" w:name="_Toc129186805"/>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3" w:name="_Toc129186806"/>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134" w:name="_Toc129186807"/>
      <w:r>
        <w:rPr>
          <w:rStyle w:val="CharSClsNo"/>
        </w:rPr>
        <w:t>10</w:t>
      </w:r>
      <w:r>
        <w:t>.</w:t>
      </w:r>
      <w:r>
        <w:tab/>
      </w:r>
      <w:r>
        <w:rPr>
          <w:i/>
        </w:rPr>
        <w:t>Work Health and Safety Act 2020</w:t>
      </w:r>
      <w:r>
        <w:t xml:space="preserve"> offences</w:t>
      </w:r>
      <w:bookmarkEnd w:id="134"/>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5" w:name="_Toc129167408"/>
      <w:bookmarkStart w:id="136" w:name="_Toc129167882"/>
      <w:bookmarkStart w:id="137" w:name="_Toc129186808"/>
      <w:r>
        <w:lastRenderedPageBreak/>
        <w:t>Notes</w:t>
      </w:r>
      <w:bookmarkEnd w:id="135"/>
      <w:bookmarkEnd w:id="136"/>
      <w:bookmarkEnd w:id="137"/>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8" w:name="_Toc129186809"/>
      <w:r>
        <w:t>Compilation table</w:t>
      </w:r>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3) 2022</w:t>
            </w:r>
          </w:p>
        </w:tc>
        <w:tc>
          <w:tcPr>
            <w:tcW w:w="1276" w:type="dxa"/>
            <w:tcBorders>
              <w:top w:val="nil"/>
              <w:bottom w:val="nil"/>
            </w:tcBorders>
            <w:shd w:val="clear" w:color="auto" w:fill="auto"/>
          </w:tcPr>
          <w:p>
            <w:pPr>
              <w:pStyle w:val="nTable"/>
              <w:keepNext/>
              <w:spacing w:after="40"/>
            </w:pPr>
            <w:r>
              <w:t>SL 2022/127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Attorney General Regulations Amendment (Electronic Processes) Regulations 2023</w:t>
            </w:r>
            <w:r>
              <w:t xml:space="preserve"> Pt. 3</w:t>
            </w:r>
          </w:p>
        </w:tc>
        <w:tc>
          <w:tcPr>
            <w:tcW w:w="1276" w:type="dxa"/>
            <w:tcBorders>
              <w:bottom w:val="single" w:sz="4" w:space="0" w:color="auto"/>
            </w:tcBorders>
            <w:shd w:val="clear" w:color="auto" w:fill="auto"/>
          </w:tcPr>
          <w:p>
            <w:pPr>
              <w:pStyle w:val="nTable"/>
              <w:keepNext/>
              <w:spacing w:after="40"/>
            </w:pPr>
            <w:r>
              <w:t>SL 2023/19 14 Mar 2023</w:t>
            </w:r>
          </w:p>
        </w:tc>
        <w:tc>
          <w:tcPr>
            <w:tcW w:w="2693" w:type="dxa"/>
            <w:tcBorders>
              <w:bottom w:val="single" w:sz="4" w:space="0" w:color="auto"/>
            </w:tcBorders>
            <w:shd w:val="clear" w:color="auto" w:fill="auto"/>
          </w:tcPr>
          <w:p>
            <w:pPr>
              <w:pStyle w:val="nTable"/>
              <w:keepNext/>
              <w:spacing w:after="40"/>
            </w:pPr>
            <w:r>
              <w:t>15 Mar 2023 (see r. 2(b))</w:t>
            </w:r>
          </w:p>
        </w:tc>
      </w:tr>
    </w:tbl>
    <w:p>
      <w:pPr>
        <w:pStyle w:val="nHeading3"/>
      </w:pPr>
      <w:bookmarkStart w:id="139" w:name="_Toc129186810"/>
      <w:r>
        <w:t>Other notes</w:t>
      </w:r>
      <w:bookmarkEnd w:id="139"/>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lastRenderedPageBreak/>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1" w:name="_Toc129186811"/>
      <w:r>
        <w:rPr>
          <w:sz w:val="28"/>
        </w:rPr>
        <w:lastRenderedPageBreak/>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produce electronically</w:t>
      </w:r>
      <w:r>
        <w:tab/>
        <w:t>26(1A)</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811183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 w:name="WAFER_20230308111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8111835_GUID" w:val="8ff5d7dc-69e4-477f-a019-117d0e129c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10pt">
    <w:name w:val="zyTableNAm + 10 pt"/>
    <w:aliases w:val="Bold"/>
    <w:basedOn w:val="yTableNAm"/>
    <w:pPr>
      <w:spacing w:before="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7CFA-9078-4E93-B653-13CD8DA9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13340</Words>
  <Characters>63235</Characters>
  <Application>Microsoft Office Word</Application>
  <DocSecurity>0</DocSecurity>
  <Lines>2529</Lines>
  <Paragraphs>1740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2005 - 04-q0-00</dc:title>
  <dc:subject/>
  <dc:creator/>
  <cp:keywords/>
  <dc:description/>
  <cp:lastModifiedBy>Master Repository Process</cp:lastModifiedBy>
  <cp:revision>4</cp:revision>
  <cp:lastPrinted>2019-05-14T08:13:00Z</cp:lastPrinted>
  <dcterms:created xsi:type="dcterms:W3CDTF">2023-03-13T07:42:00Z</dcterms:created>
  <dcterms:modified xsi:type="dcterms:W3CDTF">2023-03-13T07:42:00Z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15 Mar 2023</vt:lpwstr>
  </property>
  <property fmtid="{D5CDD505-2E9C-101B-9397-08002B2CF9AE}" pid="8" name="Suffix">
    <vt:lpwstr>04-q0-00</vt:lpwstr>
  </property>
  <property fmtid="{D5CDD505-2E9C-101B-9397-08002B2CF9AE}" pid="9" name="CommencementDate">
    <vt:lpwstr>20230315</vt:lpwstr>
  </property>
</Properties>
</file>