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_Toc130300741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_Toc130300742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_Toc130300743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_Toc130300744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_Toc130300745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_Toc130300746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_Toc130300747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_Toc130300748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_Toc130300749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_Toc130300750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_Toc130300751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_Toc130300752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_Toc130300753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_Toc130300754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_Toc130300755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_Toc130300756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_Toc130300757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_Toc130300758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_Toc130300759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_Toc130300760 \h </w:instrText>
      </w:r>
      <w:r>
        <w:fldChar w:fldCharType="separate"/>
      </w:r>
      <w:r>
        <w:t>12</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_Toc130300761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_Toc130300764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130300741"/>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30300742"/>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130300743"/>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130300744"/>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 4.]</w:t>
      </w:r>
    </w:p>
    <w:p>
      <w:pPr>
        <w:pStyle w:val="Heading5"/>
      </w:pPr>
      <w:bookmarkStart w:id="8" w:name="_Toc130300745"/>
      <w:r>
        <w:rPr>
          <w:rStyle w:val="CharSectno"/>
        </w:rPr>
        <w:lastRenderedPageBreak/>
        <w:t>4</w:t>
      </w:r>
      <w:r>
        <w:t>.</w:t>
      </w:r>
      <w:r>
        <w:tab/>
        <w:t>Standards for diagnosing mental illness (Act s. 6(4))</w:t>
      </w:r>
      <w:bookmarkEnd w:id="8"/>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130300746"/>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130300747"/>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130300748"/>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lastRenderedPageBreak/>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130300749"/>
      <w:r>
        <w:rPr>
          <w:rStyle w:val="CharSectno"/>
        </w:rPr>
        <w:t>8</w:t>
      </w:r>
      <w:r>
        <w:t>.</w:t>
      </w:r>
      <w:r>
        <w:tab/>
        <w:t>Power of transport officers to enter premises (Act s. 159(3))</w:t>
      </w:r>
      <w:bookmarkEnd w:id="1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130300750"/>
      <w:r>
        <w:rPr>
          <w:rStyle w:val="CharSectno"/>
        </w:rPr>
        <w:t>9</w:t>
      </w:r>
      <w:r>
        <w:t>.</w:t>
      </w:r>
      <w:r>
        <w:tab/>
        <w:t>Persons authorised to exercise search and seizure powers (Act s. 161)</w:t>
      </w:r>
      <w:bookmarkEnd w:id="13"/>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lastRenderedPageBreak/>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130300751"/>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130300752"/>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130300753"/>
      <w:r>
        <w:rPr>
          <w:rStyle w:val="CharSectno"/>
        </w:rPr>
        <w:t>12</w:t>
      </w:r>
      <w:r>
        <w:t>.</w:t>
      </w:r>
      <w:r>
        <w:tab/>
        <w:t>Provision of information to, or involvement of, carer or close family member by a person other than psychiatrist (Act s. 290)</w:t>
      </w:r>
      <w:bookmarkEnd w:id="16"/>
    </w:p>
    <w:p>
      <w:pPr>
        <w:pStyle w:val="Subsection"/>
      </w:pPr>
      <w:r>
        <w:tab/>
      </w:r>
      <w:r>
        <w:tab/>
        <w:t xml:space="preserve">If a patient does not have a psychiatrist, the person in charge of the mental health service admitting or receiving the patient must ensure that any carer or close family member of the patient is provided with information referred to in section 285(1)(a), (c) </w:t>
      </w:r>
      <w:r>
        <w:lastRenderedPageBreak/>
        <w:t>or (d) of the Act, or involved in a matter referred to in section 285(1)(b) of the Act.</w:t>
      </w:r>
    </w:p>
    <w:p>
      <w:pPr>
        <w:pStyle w:val="Heading5"/>
      </w:pPr>
      <w:bookmarkStart w:id="17" w:name="_Toc130300754"/>
      <w:r>
        <w:rPr>
          <w:rStyle w:val="CharSectno"/>
        </w:rPr>
        <w:t>13</w:t>
      </w:r>
      <w:r>
        <w:t>.</w:t>
      </w:r>
      <w:r>
        <w:tab/>
        <w:t>Standards for provision of mental health services (Act s. 333(3)(c))</w:t>
      </w:r>
      <w:bookmarkEnd w:id="17"/>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130300755"/>
      <w:r>
        <w:rPr>
          <w:rStyle w:val="CharSectno"/>
        </w:rPr>
        <w:t>14</w:t>
      </w:r>
      <w:r>
        <w:t>.</w:t>
      </w:r>
      <w:r>
        <w:tab/>
        <w:t>Specific powers of mental health advocates (Act s. 359(1)(g))</w:t>
      </w:r>
      <w:bookmarkEnd w:id="18"/>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lastRenderedPageBreak/>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130300756"/>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130300757"/>
      <w:r>
        <w:rPr>
          <w:rStyle w:val="CharSectno"/>
        </w:rPr>
        <w:t>16</w:t>
      </w:r>
      <w:r>
        <w:t>.</w:t>
      </w:r>
      <w:r>
        <w:tab/>
        <w:t>Particulars of involuntary patients to be kept by registrar of Mental Health Tribunal (Act s. 484(a))</w:t>
      </w:r>
      <w:bookmarkEnd w:id="20"/>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 xml:space="preserve">any declaration made by the Tribunal under section 398(1) or (3)(a) of the Act about the validity of a treatment order made in respect of the patient and any </w:t>
      </w:r>
      <w:r>
        <w:lastRenderedPageBreak/>
        <w:t>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130300758"/>
      <w:r>
        <w:rPr>
          <w:rStyle w:val="CharSectno"/>
        </w:rPr>
        <w:lastRenderedPageBreak/>
        <w:t>17</w:t>
      </w:r>
      <w:r>
        <w:t>.</w:t>
      </w:r>
      <w:r>
        <w:tab/>
        <w:t>Authorised mental health practitioners (Act s. 539(4))</w:t>
      </w:r>
      <w:bookmarkEnd w:id="21"/>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lastRenderedPageBreak/>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130300759"/>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lastRenderedPageBreak/>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 xml:space="preserve">The issuing of a direction under subregulation (3) is an event to which Part 9 of the Act applies and the person in charge of the </w:t>
      </w:r>
      <w:r>
        <w:lastRenderedPageBreak/>
        <w:t>public hospital is the person responsible under that Part for notification of that event.</w:t>
      </w:r>
    </w:p>
    <w:p>
      <w:pPr>
        <w:pStyle w:val="Heading5"/>
      </w:pPr>
      <w:bookmarkStart w:id="23" w:name="_Toc130300760"/>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lastRenderedPageBreak/>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130300761"/>
      <w:r>
        <w:rPr>
          <w:rStyle w:val="CharSectno"/>
        </w:rPr>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 w:name="_Toc130295308"/>
      <w:bookmarkStart w:id="26" w:name="_Toc130295635"/>
      <w:bookmarkStart w:id="27" w:name="_Toc130300762"/>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9" w:name="_Toc130295309"/>
      <w:bookmarkStart w:id="30" w:name="_Toc130295636"/>
      <w:bookmarkStart w:id="31" w:name="_Toc130300763"/>
      <w:r>
        <w:lastRenderedPageBreak/>
        <w:t>Notes</w:t>
      </w:r>
      <w:bookmarkEnd w:id="29"/>
      <w:bookmarkEnd w:id="30"/>
      <w:bookmarkEnd w:id="31"/>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2" w:name="_Toc130300764"/>
      <w:r>
        <w:t>Compilation table</w:t>
      </w:r>
      <w:bookmarkEnd w:id="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2023</w:t>
            </w:r>
          </w:p>
        </w:tc>
        <w:tc>
          <w:tcPr>
            <w:tcW w:w="1276" w:type="dxa"/>
            <w:tcBorders>
              <w:top w:val="nil"/>
              <w:left w:val="nil"/>
              <w:bottom w:val="single" w:sz="8" w:space="0" w:color="auto"/>
              <w:right w:val="nil"/>
            </w:tcBorders>
          </w:tcPr>
          <w:p>
            <w:pPr>
              <w:pStyle w:val="nTable"/>
              <w:keepLines/>
              <w:spacing w:after="40"/>
            </w:pPr>
            <w:r>
              <w:t>SL 2023/23 24 Mar 2023</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4" w:name="_Toc130295311"/>
      <w:bookmarkStart w:id="35" w:name="_Toc130295638"/>
      <w:bookmarkStart w:id="36" w:name="_Toc130300765"/>
      <w:r>
        <w:rPr>
          <w:sz w:val="28"/>
        </w:rPr>
        <w:lastRenderedPageBreak/>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1124556"/>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72D7-88E7-4F0D-8313-B1716341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4689</Words>
  <Characters>22837</Characters>
  <Application>Microsoft Office Word</Application>
  <DocSecurity>0</DocSecurity>
  <Lines>761</Lines>
  <Paragraphs>377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2015 - 00-q0-00</dc:title>
  <dc:subject/>
  <dc:creator/>
  <cp:keywords/>
  <dc:description/>
  <cp:lastModifiedBy>Master Repository Process</cp:lastModifiedBy>
  <cp:revision>4</cp:revision>
  <cp:lastPrinted>2019-10-08T03:56:00Z</cp:lastPrinted>
  <dcterms:created xsi:type="dcterms:W3CDTF">2023-03-24T01:07:00Z</dcterms:created>
  <dcterms:modified xsi:type="dcterms:W3CDTF">2023-03-24T01:07:00Z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25 Mar 2023</vt:lpwstr>
  </property>
  <property fmtid="{D5CDD505-2E9C-101B-9397-08002B2CF9AE}" pid="6" name="Suffix">
    <vt:lpwstr>00-q0-00</vt:lpwstr>
  </property>
  <property fmtid="{D5CDD505-2E9C-101B-9397-08002B2CF9AE}" pid="7" name="CommencementDate">
    <vt:lpwstr>20230325</vt:lpwstr>
  </property>
</Properties>
</file>