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Auction Sales Act 1973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Auction Sales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Short</w:t>
      </w:r>
      <w:r>
        <w:rPr>
          <w:snapToGrid w:val="0"/>
        </w:rPr>
        <w:t xml:space="preserve"> title</w:t>
      </w:r>
      <w:r>
        <w:tab/>
      </w:r>
      <w:r>
        <w:fldChar w:fldCharType="begin"/>
      </w:r>
      <w:r>
        <w:instrText xml:space="preserve"> PAGEREF _Toc131509551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_Toc131509552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_Toc131509553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_Toc131509554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Auctioneers to be licensed</w:t>
      </w:r>
      <w:r>
        <w:tab/>
      </w:r>
      <w:r>
        <w:fldChar w:fldCharType="begin"/>
      </w:r>
      <w:r>
        <w:instrText xml:space="preserve"> PAGEREF _Toc131509555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Kinds of licence</w:t>
      </w:r>
      <w:r>
        <w:tab/>
      </w:r>
      <w:r>
        <w:fldChar w:fldCharType="begin"/>
      </w:r>
      <w:r>
        <w:instrText xml:space="preserve"> PAGEREF _Toc131509556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may be issued for the benefit of a firm or corporation</w:t>
      </w:r>
      <w:r>
        <w:tab/>
      </w:r>
      <w:r>
        <w:fldChar w:fldCharType="begin"/>
      </w:r>
      <w:r>
        <w:instrText xml:space="preserve"> PAGEREF _Toc131509557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of businesses</w:t>
      </w:r>
      <w:r>
        <w:tab/>
      </w:r>
      <w:r>
        <w:fldChar w:fldCharType="begin"/>
      </w:r>
      <w:r>
        <w:instrText xml:space="preserve"> PAGEREF _Toc131509558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_Toc131509559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Occasional licences</w:t>
      </w:r>
      <w:r>
        <w:tab/>
      </w:r>
      <w:r>
        <w:fldChar w:fldCharType="begin"/>
      </w:r>
      <w:r>
        <w:instrText xml:space="preserve"> PAGEREF _Toc131509560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Interim licence</w:t>
      </w:r>
      <w:r>
        <w:tab/>
      </w:r>
      <w:r>
        <w:fldChar w:fldCharType="begin"/>
      </w:r>
      <w:r>
        <w:instrText xml:space="preserve"> PAGEREF _Toc131509561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licences</w:t>
      </w:r>
      <w:r>
        <w:tab/>
      </w:r>
      <w:r>
        <w:fldChar w:fldCharType="begin"/>
      </w:r>
      <w:r>
        <w:instrText xml:space="preserve"> PAGEREF _Toc131509562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 of applications</w:t>
      </w:r>
      <w:r>
        <w:tab/>
      </w:r>
      <w:r>
        <w:fldChar w:fldCharType="begin"/>
      </w:r>
      <w:r>
        <w:instrText xml:space="preserve"> PAGEREF _Toc131509563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_Toc131509564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Duplicate licences</w:t>
      </w:r>
      <w:r>
        <w:tab/>
      </w:r>
      <w:r>
        <w:fldChar w:fldCharType="begin"/>
      </w:r>
      <w:r>
        <w:instrText xml:space="preserve"> PAGEREF _Toc131509565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of general and restricted licences</w:t>
      </w:r>
      <w:r>
        <w:tab/>
      </w:r>
      <w:r>
        <w:fldChar w:fldCharType="begin"/>
      </w:r>
      <w:r>
        <w:instrText xml:space="preserve"> PAGEREF _Toc131509566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Surrender of a licence</w:t>
      </w:r>
      <w:r>
        <w:tab/>
      </w:r>
      <w:r>
        <w:fldChar w:fldCharType="begin"/>
      </w:r>
      <w:r>
        <w:instrText xml:space="preserve"> PAGEREF _Toc131509567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 cancellation and disqualification</w:t>
      </w:r>
      <w:r>
        <w:tab/>
      </w:r>
      <w:r>
        <w:fldChar w:fldCharType="begin"/>
      </w:r>
      <w:r>
        <w:instrText xml:space="preserve"> PAGEREF _Toc131509568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Advertising</w:t>
      </w:r>
      <w:r>
        <w:tab/>
      </w:r>
      <w:r>
        <w:fldChar w:fldCharType="begin"/>
      </w:r>
      <w:r>
        <w:instrText xml:space="preserve"> PAGEREF _Toc131509569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Misrepresentation</w:t>
      </w:r>
      <w:r>
        <w:tab/>
      </w:r>
      <w:r>
        <w:fldChar w:fldCharType="begin"/>
      </w:r>
      <w:r>
        <w:instrText xml:space="preserve"> PAGEREF _Toc131509570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Mock auctions</w:t>
      </w:r>
      <w:r>
        <w:tab/>
      </w:r>
      <w:r>
        <w:fldChar w:fldCharType="begin"/>
      </w:r>
      <w:r>
        <w:instrText xml:space="preserve"> PAGEREF _Toc131509571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Records to be kept</w:t>
      </w:r>
      <w:r>
        <w:tab/>
      </w:r>
      <w:r>
        <w:fldChar w:fldCharType="begin"/>
      </w:r>
      <w:r>
        <w:instrText xml:space="preserve"> PAGEREF _Toc131509572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Account to be rendered</w:t>
      </w:r>
      <w:r>
        <w:tab/>
      </w:r>
      <w:r>
        <w:fldChar w:fldCharType="begin"/>
      </w:r>
      <w:r>
        <w:instrText xml:space="preserve"> PAGEREF _Toc131509573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Inspection of records</w:t>
      </w:r>
      <w:r>
        <w:tab/>
      </w:r>
      <w:r>
        <w:fldChar w:fldCharType="begin"/>
      </w:r>
      <w:r>
        <w:instrText xml:space="preserve"> PAGEREF _Toc131509574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Bidding by seller or auctioneer or person on their behalf</w:t>
      </w:r>
      <w:r>
        <w:tab/>
      </w:r>
      <w:r>
        <w:fldChar w:fldCharType="begin"/>
      </w:r>
      <w:r>
        <w:instrText xml:space="preserve"> PAGEREF _Toc131509575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Sales of cattle, sheep, pigs or goats</w:t>
      </w:r>
      <w:r>
        <w:tab/>
      </w:r>
      <w:r>
        <w:fldChar w:fldCharType="begin"/>
      </w:r>
      <w:r>
        <w:instrText xml:space="preserve"> PAGEREF _Toc131509576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31</w:t>
      </w:r>
      <w:r>
        <w:rPr>
          <w:snapToGrid w:val="0"/>
        </w:rPr>
        <w:t>.</w:t>
      </w:r>
      <w:r>
        <w:rPr>
          <w:snapToGrid w:val="0"/>
        </w:rPr>
        <w:tab/>
        <w:t>Splitting of lots of livestock or farm produce</w:t>
      </w:r>
      <w:r>
        <w:tab/>
      </w:r>
      <w:r>
        <w:fldChar w:fldCharType="begin"/>
      </w:r>
      <w:r>
        <w:instrText xml:space="preserve"> PAGEREF _Toc131509577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Sale of livestock</w:t>
      </w:r>
      <w:r>
        <w:tab/>
      </w:r>
      <w:r>
        <w:fldChar w:fldCharType="begin"/>
      </w:r>
      <w:r>
        <w:instrText xml:space="preserve"> PAGEREF _Toc131509578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Liquor</w:t>
      </w:r>
      <w:r>
        <w:tab/>
      </w:r>
      <w:r>
        <w:fldChar w:fldCharType="begin"/>
      </w:r>
      <w:r>
        <w:instrText xml:space="preserve"> PAGEREF _Toc131509579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Savings of other remedies or actions</w:t>
      </w:r>
      <w:r>
        <w:tab/>
      </w:r>
      <w:r>
        <w:fldChar w:fldCharType="begin"/>
      </w:r>
      <w:r>
        <w:instrText xml:space="preserve"> PAGEREF _Toc131509580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_Toc131509581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Enforcement</w:t>
      </w:r>
      <w:r>
        <w:tab/>
      </w:r>
      <w:r>
        <w:fldChar w:fldCharType="begin"/>
      </w:r>
      <w:r>
        <w:instrText xml:space="preserve"> PAGEREF _Toc131509582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_Toc131509583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_Toc131509585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_Toc131509586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_Toc131509587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1</w:t>
      </w:r>
      <w:r>
        <w:rPr>
          <w:snapToGrid w:val="0"/>
        </w:rPr>
        <w:t xml:space="preserve">, to prohibit certain practices in relation to sales purporting to be sales by way of auction, and for incidental and other purposes. </w:t>
      </w:r>
    </w:p>
    <w:p>
      <w:pPr>
        <w:pStyle w:val="Heading5"/>
        <w:rPr>
          <w:snapToGrid w:val="0"/>
        </w:rPr>
      </w:pPr>
      <w:bookmarkStart w:id="3" w:name="_Toc131509551"/>
      <w:r>
        <w:rPr>
          <w:rStyle w:val="CharSectno"/>
        </w:rPr>
        <w:t>1</w:t>
      </w:r>
      <w:r>
        <w:rPr>
          <w:snapToGrid w:val="0"/>
        </w:rPr>
        <w:t>.</w:t>
      </w:r>
      <w:r>
        <w:rPr>
          <w:snapToGrid w:val="0"/>
        </w:rPr>
        <w:tab/>
      </w:r>
      <w:r>
        <w:t>Short</w:t>
      </w:r>
      <w:r>
        <w:rPr>
          <w:snapToGrid w:val="0"/>
        </w:rPr>
        <w:t xml:space="preserve">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rPr>
        <w:t>.</w:t>
      </w:r>
    </w:p>
    <w:p>
      <w:pPr>
        <w:pStyle w:val="Heading5"/>
        <w:rPr>
          <w:snapToGrid w:val="0"/>
        </w:rPr>
      </w:pPr>
      <w:bookmarkStart w:id="4" w:name="_Toc13150955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p>
    <w:p>
      <w:pPr>
        <w:pStyle w:val="Ednotesection"/>
      </w:pPr>
      <w:r>
        <w:t>[</w:t>
      </w:r>
      <w:r>
        <w:rPr>
          <w:b/>
          <w:bCs/>
        </w:rPr>
        <w:t>3.</w:t>
      </w:r>
      <w:r>
        <w:tab/>
        <w:t>Omitted under the Reprints Act 1984 s. 7(4)(f).]</w:t>
      </w:r>
    </w:p>
    <w:p>
      <w:pPr>
        <w:pStyle w:val="Heading5"/>
        <w:rPr>
          <w:snapToGrid w:val="0"/>
        </w:rPr>
      </w:pPr>
      <w:bookmarkStart w:id="5" w:name="_Toc131509553"/>
      <w:r>
        <w:rPr>
          <w:rStyle w:val="CharSectno"/>
        </w:rPr>
        <w:t>4</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lastRenderedPageBreak/>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keepNext/>
      </w:pPr>
      <w:r>
        <w:rPr>
          <w:b/>
        </w:rPr>
        <w:lastRenderedPageBreak/>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6" w:name="_Toc131509554"/>
      <w:r>
        <w:rPr>
          <w:rStyle w:val="CharSectno"/>
        </w:rPr>
        <w:t>5</w:t>
      </w:r>
      <w:r>
        <w:rPr>
          <w:snapToGrid w:val="0"/>
        </w:rPr>
        <w:t>.</w:t>
      </w:r>
      <w:r>
        <w:rPr>
          <w:snapToGrid w:val="0"/>
        </w:rPr>
        <w:tab/>
        <w:t>Exemptions</w:t>
      </w:r>
      <w:bookmarkEnd w:id="6"/>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keepNext/>
        <w:rPr>
          <w:snapToGrid w:val="0"/>
        </w:rPr>
      </w:pPr>
      <w:r>
        <w:rPr>
          <w:snapToGrid w:val="0"/>
        </w:rPr>
        <w:tab/>
        <w:t>(2)</w:t>
      </w:r>
      <w:r>
        <w:rPr>
          <w:snapToGrid w:val="0"/>
        </w:rPr>
        <w:tab/>
        <w:t xml:space="preserve">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w:t>
      </w:r>
      <w:r>
        <w:rPr>
          <w:snapToGrid w:val="0"/>
        </w:rPr>
        <w:lastRenderedPageBreak/>
        <w:t>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7" w:name="_Toc131509555"/>
      <w:r>
        <w:rPr>
          <w:rStyle w:val="CharSectno"/>
        </w:rPr>
        <w:t>6</w:t>
      </w:r>
      <w:r>
        <w:rPr>
          <w:snapToGrid w:val="0"/>
        </w:rPr>
        <w:t>.</w:t>
      </w:r>
      <w:r>
        <w:rPr>
          <w:snapToGrid w:val="0"/>
        </w:rPr>
        <w:tab/>
        <w:t>Auctioneers to be licensed</w:t>
      </w:r>
      <w:bookmarkEnd w:id="7"/>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keepNext/>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lastRenderedPageBreak/>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for this subsection: a fine of $50 000.</w:t>
      </w:r>
    </w:p>
    <w:p>
      <w:pPr>
        <w:pStyle w:val="Footnotesection"/>
      </w:pPr>
      <w:r>
        <w:tab/>
        <w:t xml:space="preserve">[Section 6 amended: No. 60 of 1975 s. 2; No. 25 of 2019 s. 7.] </w:t>
      </w:r>
    </w:p>
    <w:p>
      <w:pPr>
        <w:pStyle w:val="Heading5"/>
        <w:rPr>
          <w:snapToGrid w:val="0"/>
        </w:rPr>
      </w:pPr>
      <w:bookmarkStart w:id="8" w:name="_Toc131509556"/>
      <w:r>
        <w:rPr>
          <w:rStyle w:val="CharSectno"/>
        </w:rPr>
        <w:t>7</w:t>
      </w:r>
      <w:r>
        <w:rPr>
          <w:snapToGrid w:val="0"/>
        </w:rPr>
        <w:t>.</w:t>
      </w:r>
      <w:r>
        <w:rPr>
          <w:snapToGrid w:val="0"/>
        </w:rPr>
        <w:tab/>
        <w:t>Kinds of licence</w:t>
      </w:r>
      <w:bookmarkEnd w:id="8"/>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lastRenderedPageBreak/>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9" w:name="_Toc131509557"/>
      <w:r>
        <w:rPr>
          <w:rStyle w:val="CharSectno"/>
        </w:rPr>
        <w:t>8</w:t>
      </w:r>
      <w:r>
        <w:rPr>
          <w:snapToGrid w:val="0"/>
        </w:rPr>
        <w:t>.</w:t>
      </w:r>
      <w:r>
        <w:rPr>
          <w:snapToGrid w:val="0"/>
        </w:rPr>
        <w:tab/>
        <w:t>Licences may be issued for the benefit of a firm or corporation</w:t>
      </w:r>
      <w:bookmarkEnd w:id="9"/>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 xml:space="preserve">On an application made under this section the court shall have regard not only to the question as to whether or not the proposed licensee is a fit and proper person to hold a licence but also to the fitness and repute of the firm or corporation for the benefit </w:t>
      </w:r>
      <w:r>
        <w:rPr>
          <w:snapToGrid w:val="0"/>
        </w:rPr>
        <w:lastRenderedPageBreak/>
        <w:t>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r>
        <w:lastRenderedPageBreak/>
        <w:t>[</w:t>
      </w:r>
      <w:r>
        <w:rPr>
          <w:b/>
        </w:rPr>
        <w:t>9.</w:t>
      </w:r>
      <w:r>
        <w:tab/>
        <w:t>Deleted: No. 44 of 2016 s. 4.]</w:t>
      </w:r>
    </w:p>
    <w:p>
      <w:pPr>
        <w:pStyle w:val="Heading5"/>
        <w:rPr>
          <w:snapToGrid w:val="0"/>
        </w:rPr>
      </w:pPr>
      <w:bookmarkStart w:id="10" w:name="_Toc131509558"/>
      <w:r>
        <w:rPr>
          <w:rStyle w:val="CharSectno"/>
        </w:rPr>
        <w:t>10</w:t>
      </w:r>
      <w:r>
        <w:rPr>
          <w:snapToGrid w:val="0"/>
        </w:rPr>
        <w:t>.</w:t>
      </w:r>
      <w:r>
        <w:rPr>
          <w:snapToGrid w:val="0"/>
        </w:rPr>
        <w:tab/>
        <w:t>Classes of businesses</w:t>
      </w:r>
      <w:bookmarkEnd w:id="10"/>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11" w:name="_Toc131509559"/>
      <w:r>
        <w:rPr>
          <w:rStyle w:val="CharSectno"/>
        </w:rPr>
        <w:t>11</w:t>
      </w:r>
      <w:r>
        <w:rPr>
          <w:snapToGrid w:val="0"/>
        </w:rPr>
        <w:t>.</w:t>
      </w:r>
      <w:r>
        <w:rPr>
          <w:snapToGrid w:val="0"/>
        </w:rPr>
        <w:tab/>
        <w:t>Applications</w:t>
      </w:r>
      <w:bookmarkEnd w:id="11"/>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lastRenderedPageBreak/>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lastRenderedPageBreak/>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12" w:name="_Toc131509560"/>
      <w:r>
        <w:rPr>
          <w:rStyle w:val="CharSectno"/>
        </w:rPr>
        <w:t>13</w:t>
      </w:r>
      <w:r>
        <w:rPr>
          <w:snapToGrid w:val="0"/>
        </w:rPr>
        <w:t>.</w:t>
      </w:r>
      <w:r>
        <w:rPr>
          <w:snapToGrid w:val="0"/>
        </w:rPr>
        <w:tab/>
        <w:t>Occasional licences</w:t>
      </w:r>
      <w:bookmarkEnd w:id="12"/>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keepNext/>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 xml:space="preserve">An occasional licence shall take effect from the day therein specified, but shall not be granted for a period or periods of </w:t>
      </w:r>
      <w:r>
        <w:rPr>
          <w:snapToGrid w:val="0"/>
        </w:rPr>
        <w:lastRenderedPageBreak/>
        <w:t>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13" w:name="_Toc131509561"/>
      <w:r>
        <w:rPr>
          <w:rStyle w:val="CharSectno"/>
        </w:rPr>
        <w:t>14</w:t>
      </w:r>
      <w:r>
        <w:rPr>
          <w:snapToGrid w:val="0"/>
        </w:rPr>
        <w:t>.</w:t>
      </w:r>
      <w:r>
        <w:rPr>
          <w:snapToGrid w:val="0"/>
        </w:rPr>
        <w:tab/>
        <w:t>Interim licence</w:t>
      </w:r>
      <w:bookmarkEnd w:id="13"/>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lastRenderedPageBreak/>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14" w:name="_Toc131509562"/>
      <w:r>
        <w:rPr>
          <w:rStyle w:val="CharSectno"/>
        </w:rPr>
        <w:t>15</w:t>
      </w:r>
      <w:r>
        <w:rPr>
          <w:snapToGrid w:val="0"/>
        </w:rPr>
        <w:t>.</w:t>
      </w:r>
      <w:r>
        <w:rPr>
          <w:snapToGrid w:val="0"/>
        </w:rPr>
        <w:tab/>
        <w:t>Provisional licences</w:t>
      </w:r>
      <w:bookmarkEnd w:id="14"/>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keepNext/>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lastRenderedPageBreak/>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15" w:name="_Toc131509563"/>
      <w:r>
        <w:rPr>
          <w:rStyle w:val="CharSectno"/>
        </w:rPr>
        <w:t>16</w:t>
      </w:r>
      <w:r>
        <w:rPr>
          <w:snapToGrid w:val="0"/>
        </w:rPr>
        <w:t>.</w:t>
      </w:r>
      <w:r>
        <w:rPr>
          <w:snapToGrid w:val="0"/>
        </w:rPr>
        <w:tab/>
        <w:t>Hearing of applications</w:t>
      </w:r>
      <w:bookmarkEnd w:id="15"/>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lastRenderedPageBreak/>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lastRenderedPageBreak/>
        <w:tab/>
        <w:t>[Section 16 amended: No. 59 of 2004 s. 141; No. 44 of 2016 s. 7.]</w:t>
      </w:r>
    </w:p>
    <w:p>
      <w:pPr>
        <w:pStyle w:val="Heading5"/>
        <w:rPr>
          <w:snapToGrid w:val="0"/>
        </w:rPr>
      </w:pPr>
      <w:bookmarkStart w:id="16" w:name="_Toc131509564"/>
      <w:r>
        <w:rPr>
          <w:rStyle w:val="CharSectno"/>
        </w:rPr>
        <w:t>17</w:t>
      </w:r>
      <w:r>
        <w:rPr>
          <w:snapToGrid w:val="0"/>
        </w:rPr>
        <w:t>.</w:t>
      </w:r>
      <w:r>
        <w:rPr>
          <w:snapToGrid w:val="0"/>
        </w:rPr>
        <w:tab/>
        <w:t>Form of licence</w:t>
      </w:r>
      <w:bookmarkEnd w:id="16"/>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17" w:name="_Toc131509565"/>
      <w:r>
        <w:rPr>
          <w:rStyle w:val="CharSectno"/>
        </w:rPr>
        <w:lastRenderedPageBreak/>
        <w:t>18</w:t>
      </w:r>
      <w:r>
        <w:rPr>
          <w:snapToGrid w:val="0"/>
        </w:rPr>
        <w:t>.</w:t>
      </w:r>
      <w:r>
        <w:rPr>
          <w:snapToGrid w:val="0"/>
        </w:rPr>
        <w:tab/>
        <w:t>Duplicate licences</w:t>
      </w:r>
      <w:bookmarkEnd w:id="17"/>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18" w:name="_Toc131509566"/>
      <w:r>
        <w:rPr>
          <w:rStyle w:val="CharSectno"/>
        </w:rPr>
        <w:t>19</w:t>
      </w:r>
      <w:r>
        <w:rPr>
          <w:snapToGrid w:val="0"/>
        </w:rPr>
        <w:t>.</w:t>
      </w:r>
      <w:r>
        <w:rPr>
          <w:snapToGrid w:val="0"/>
        </w:rPr>
        <w:tab/>
        <w:t>Duration of general and restricted licences</w:t>
      </w:r>
      <w:bookmarkEnd w:id="18"/>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lastRenderedPageBreak/>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19" w:name="_Toc131509567"/>
      <w:r>
        <w:rPr>
          <w:rStyle w:val="CharSectno"/>
        </w:rPr>
        <w:t>21</w:t>
      </w:r>
      <w:r>
        <w:rPr>
          <w:snapToGrid w:val="0"/>
        </w:rPr>
        <w:t>.</w:t>
      </w:r>
      <w:r>
        <w:rPr>
          <w:snapToGrid w:val="0"/>
        </w:rPr>
        <w:tab/>
        <w:t>Surrender of a licence</w:t>
      </w:r>
      <w:bookmarkEnd w:id="19"/>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20" w:name="_Toc131509568"/>
      <w:r>
        <w:rPr>
          <w:rStyle w:val="CharSectno"/>
        </w:rPr>
        <w:t>22</w:t>
      </w:r>
      <w:r>
        <w:rPr>
          <w:snapToGrid w:val="0"/>
        </w:rPr>
        <w:t>.</w:t>
      </w:r>
      <w:r>
        <w:rPr>
          <w:snapToGrid w:val="0"/>
        </w:rPr>
        <w:tab/>
        <w:t>Suspension, cancellation and disqualification</w:t>
      </w:r>
      <w:bookmarkEnd w:id="2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w:t>
      </w:r>
      <w:r>
        <w:rPr>
          <w:snapToGrid w:val="0"/>
        </w:rPr>
        <w:lastRenderedPageBreak/>
        <w:t>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lastRenderedPageBreak/>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No. 25 of 2019 s. 6.] </w:t>
      </w:r>
    </w:p>
    <w:p>
      <w:pPr>
        <w:pStyle w:val="Heading5"/>
        <w:spacing w:before="120"/>
        <w:rPr>
          <w:snapToGrid w:val="0"/>
        </w:rPr>
      </w:pPr>
      <w:bookmarkStart w:id="21" w:name="_Toc131509569"/>
      <w:r>
        <w:rPr>
          <w:rStyle w:val="CharSectno"/>
        </w:rPr>
        <w:t>23</w:t>
      </w:r>
      <w:r>
        <w:rPr>
          <w:snapToGrid w:val="0"/>
        </w:rPr>
        <w:t>.</w:t>
      </w:r>
      <w:r>
        <w:rPr>
          <w:snapToGrid w:val="0"/>
        </w:rPr>
        <w:tab/>
        <w:t>Advertising</w:t>
      </w:r>
      <w:bookmarkEnd w:id="21"/>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 xml:space="preserve">A person who is the holder of an occasional licence under this Act shall not, for the purposes of this section, be regarded as being the holder of a licence under this Act except in so far as </w:t>
      </w:r>
      <w:r>
        <w:rPr>
          <w:snapToGrid w:val="0"/>
        </w:rPr>
        <w:lastRenderedPageBreak/>
        <w:t>any sign, advertisement or announcement relates solely to the matters in respect of which that occasional licence was granted.</w:t>
      </w:r>
    </w:p>
    <w:p>
      <w:pPr>
        <w:pStyle w:val="Footnotesection"/>
      </w:pPr>
      <w:r>
        <w:tab/>
        <w:t xml:space="preserve">[Section 23 amended: No. 25 of 2019 s. 6.] </w:t>
      </w:r>
    </w:p>
    <w:p>
      <w:pPr>
        <w:pStyle w:val="Heading5"/>
        <w:rPr>
          <w:snapToGrid w:val="0"/>
        </w:rPr>
      </w:pPr>
      <w:bookmarkStart w:id="22" w:name="_Toc131509570"/>
      <w:r>
        <w:rPr>
          <w:rStyle w:val="CharSectno"/>
        </w:rPr>
        <w:t>24</w:t>
      </w:r>
      <w:r>
        <w:rPr>
          <w:snapToGrid w:val="0"/>
        </w:rPr>
        <w:t>.</w:t>
      </w:r>
      <w:r>
        <w:rPr>
          <w:snapToGrid w:val="0"/>
        </w:rPr>
        <w:tab/>
        <w:t>Misrepresentation</w:t>
      </w:r>
      <w:bookmarkEnd w:id="22"/>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 No. 25 of 2019 s. 6.]</w:t>
      </w:r>
    </w:p>
    <w:p>
      <w:pPr>
        <w:pStyle w:val="Heading5"/>
        <w:rPr>
          <w:snapToGrid w:val="0"/>
        </w:rPr>
      </w:pPr>
      <w:bookmarkStart w:id="23" w:name="_Toc131509571"/>
      <w:r>
        <w:rPr>
          <w:rStyle w:val="CharSectno"/>
        </w:rPr>
        <w:t>25</w:t>
      </w:r>
      <w:r>
        <w:rPr>
          <w:snapToGrid w:val="0"/>
        </w:rPr>
        <w:t>.</w:t>
      </w:r>
      <w:r>
        <w:rPr>
          <w:snapToGrid w:val="0"/>
        </w:rPr>
        <w:tab/>
        <w:t>Mock auctions</w:t>
      </w:r>
      <w:bookmarkEnd w:id="23"/>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for this subsection: a fine of $50 000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lastRenderedPageBreak/>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lastRenderedPageBreak/>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Footnotesection"/>
      </w:pPr>
      <w:r>
        <w:tab/>
        <w:t xml:space="preserve">[Section 25 amended: No. 25 of 2019 s. 7.] </w:t>
      </w:r>
    </w:p>
    <w:p>
      <w:pPr>
        <w:pStyle w:val="Heading5"/>
        <w:rPr>
          <w:snapToGrid w:val="0"/>
        </w:rPr>
      </w:pPr>
      <w:bookmarkStart w:id="24" w:name="_Toc131509572"/>
      <w:r>
        <w:rPr>
          <w:rStyle w:val="CharSectno"/>
        </w:rPr>
        <w:t>26</w:t>
      </w:r>
      <w:r>
        <w:rPr>
          <w:snapToGrid w:val="0"/>
        </w:rPr>
        <w:t>.</w:t>
      </w:r>
      <w:r>
        <w:rPr>
          <w:snapToGrid w:val="0"/>
        </w:rPr>
        <w:tab/>
        <w:t>Records to be kept</w:t>
      </w:r>
      <w:bookmarkEnd w:id="24"/>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Penstart"/>
        <w:rPr>
          <w:snapToGrid w:val="0"/>
        </w:rPr>
      </w:pPr>
      <w:r>
        <w:lastRenderedPageBreak/>
        <w:tab/>
      </w:r>
      <w:r>
        <w:rPr>
          <w:snapToGrid w:val="0"/>
        </w:rPr>
        <w:t>Penalty for this subsection: a fine of $25 000.</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Footnotesection"/>
      </w:pPr>
      <w:r>
        <w:tab/>
        <w:t xml:space="preserve">[Section 26 amended: No. 25 of 2019 s. 6.] </w:t>
      </w:r>
    </w:p>
    <w:p>
      <w:pPr>
        <w:pStyle w:val="Heading5"/>
        <w:rPr>
          <w:snapToGrid w:val="0"/>
        </w:rPr>
      </w:pPr>
      <w:bookmarkStart w:id="25" w:name="_Toc131509573"/>
      <w:r>
        <w:rPr>
          <w:rStyle w:val="CharSectno"/>
        </w:rPr>
        <w:t>27</w:t>
      </w:r>
      <w:r>
        <w:rPr>
          <w:snapToGrid w:val="0"/>
        </w:rPr>
        <w:t>.</w:t>
      </w:r>
      <w:r>
        <w:rPr>
          <w:snapToGrid w:val="0"/>
        </w:rPr>
        <w:tab/>
        <w:t>Account to be rendered</w:t>
      </w:r>
      <w:bookmarkEnd w:id="25"/>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Penstart"/>
        <w:rPr>
          <w:snapToGrid w:val="0"/>
        </w:rPr>
      </w:pPr>
      <w:r>
        <w:tab/>
      </w:r>
      <w:r>
        <w:rPr>
          <w:snapToGrid w:val="0"/>
        </w:rPr>
        <w:t>Penalty for this subsection: a fine of $25 000.</w:t>
      </w:r>
    </w:p>
    <w:p>
      <w:pPr>
        <w:pStyle w:val="Subsection"/>
        <w:keepNext/>
        <w:rPr>
          <w:snapToGrid w:val="0"/>
        </w:rPr>
      </w:pPr>
      <w:r>
        <w:rPr>
          <w:snapToGrid w:val="0"/>
        </w:rPr>
        <w:lastRenderedPageBreak/>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Footnotesection"/>
      </w:pPr>
      <w:r>
        <w:tab/>
        <w:t xml:space="preserve">[Section 27 amended: No. 25 of 2019 s. 6.] </w:t>
      </w:r>
    </w:p>
    <w:p>
      <w:pPr>
        <w:pStyle w:val="Heading5"/>
        <w:rPr>
          <w:snapToGrid w:val="0"/>
        </w:rPr>
      </w:pPr>
      <w:bookmarkStart w:id="26" w:name="_Toc131509574"/>
      <w:r>
        <w:rPr>
          <w:rStyle w:val="CharSectno"/>
        </w:rPr>
        <w:t>28</w:t>
      </w:r>
      <w:r>
        <w:rPr>
          <w:snapToGrid w:val="0"/>
        </w:rPr>
        <w:t>.</w:t>
      </w:r>
      <w:r>
        <w:rPr>
          <w:snapToGrid w:val="0"/>
        </w:rPr>
        <w:tab/>
        <w:t>Inspection of records</w:t>
      </w:r>
      <w:bookmarkEnd w:id="26"/>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lastRenderedPageBreak/>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lastRenderedPageBreak/>
        <w:tab/>
      </w:r>
      <w:r>
        <w:rPr>
          <w:snapToGrid w:val="0"/>
        </w:rPr>
        <w:t>Penalty for this subsection: a fine of $25 000.</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Ednotesubsection"/>
      </w:pPr>
      <w:r>
        <w:tab/>
        <w:t>[(9)</w:t>
      </w:r>
      <w:r>
        <w:tab/>
        <w:t>deleted]</w:t>
      </w:r>
    </w:p>
    <w:p>
      <w:pPr>
        <w:pStyle w:val="Footnotesection"/>
      </w:pPr>
      <w:r>
        <w:tab/>
        <w:t xml:space="preserve">[Section 28 amended: No. 98 of 1985 s. 3; No. 77 of 2006 s. 17; No. 25 of 2019 s. 4.] </w:t>
      </w:r>
    </w:p>
    <w:p>
      <w:pPr>
        <w:pStyle w:val="Heading5"/>
        <w:rPr>
          <w:snapToGrid w:val="0"/>
        </w:rPr>
      </w:pPr>
      <w:bookmarkStart w:id="27" w:name="_Toc131509575"/>
      <w:r>
        <w:rPr>
          <w:rStyle w:val="CharSectno"/>
        </w:rPr>
        <w:t>29</w:t>
      </w:r>
      <w:r>
        <w:rPr>
          <w:snapToGrid w:val="0"/>
        </w:rPr>
        <w:t>.</w:t>
      </w:r>
      <w:r>
        <w:rPr>
          <w:snapToGrid w:val="0"/>
        </w:rPr>
        <w:tab/>
        <w:t>Bidding by seller or auctioneer or person on their behalf</w:t>
      </w:r>
      <w:bookmarkEnd w:id="27"/>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lastRenderedPageBreak/>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Footnotesection"/>
      </w:pPr>
      <w:r>
        <w:tab/>
        <w:t xml:space="preserve">[Section 29 amended: No. 25 of 2019 s. 6.] </w:t>
      </w:r>
    </w:p>
    <w:p>
      <w:pPr>
        <w:pStyle w:val="Heading5"/>
        <w:rPr>
          <w:snapToGrid w:val="0"/>
        </w:rPr>
      </w:pPr>
      <w:bookmarkStart w:id="28" w:name="_Toc131509576"/>
      <w:r>
        <w:rPr>
          <w:rStyle w:val="CharSectno"/>
        </w:rPr>
        <w:t>30</w:t>
      </w:r>
      <w:r>
        <w:rPr>
          <w:snapToGrid w:val="0"/>
        </w:rPr>
        <w:t>.</w:t>
      </w:r>
      <w:r>
        <w:rPr>
          <w:snapToGrid w:val="0"/>
        </w:rPr>
        <w:tab/>
        <w:t>Sales of cattle, sheep, pigs or goats</w:t>
      </w:r>
      <w:bookmarkEnd w:id="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for this subsection: a fine of $10 000.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xml:space="preserve">, shall not exercise, or be entitled to </w:t>
      </w:r>
      <w:r>
        <w:rPr>
          <w:snapToGrid w:val="0"/>
        </w:rPr>
        <w:lastRenderedPageBreak/>
        <w:t>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for this subsection: a fine of $50 000 or imprisonment for 12 months, or both.</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 No. 25 of 2019 s. 7.]</w:t>
      </w:r>
    </w:p>
    <w:p>
      <w:pPr>
        <w:pStyle w:val="Heading5"/>
        <w:rPr>
          <w:snapToGrid w:val="0"/>
        </w:rPr>
      </w:pPr>
      <w:bookmarkStart w:id="29" w:name="_Toc131509577"/>
      <w:r>
        <w:rPr>
          <w:rStyle w:val="CharSectno"/>
        </w:rPr>
        <w:t>31</w:t>
      </w:r>
      <w:r>
        <w:rPr>
          <w:snapToGrid w:val="0"/>
        </w:rPr>
        <w:t>.</w:t>
      </w:r>
      <w:r>
        <w:rPr>
          <w:snapToGrid w:val="0"/>
        </w:rPr>
        <w:tab/>
        <w:t>Splitting of lots of livestock or farm produce</w:t>
      </w:r>
      <w:bookmarkEnd w:id="29"/>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lastRenderedPageBreak/>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lastRenderedPageBreak/>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Penstart"/>
        <w:rPr>
          <w:snapToGrid w:val="0"/>
        </w:rPr>
      </w:pPr>
      <w:r>
        <w:tab/>
      </w:r>
      <w:r>
        <w:rPr>
          <w:snapToGrid w:val="0"/>
        </w:rPr>
        <w:t>Penalty for this subsection: a fine of $25 000.</w:t>
      </w:r>
    </w:p>
    <w:p>
      <w:pPr>
        <w:pStyle w:val="Footnotesection"/>
      </w:pPr>
      <w:r>
        <w:tab/>
        <w:t xml:space="preserve">[Section 31 amended: No. 25 of 2019 s. 6.] </w:t>
      </w:r>
    </w:p>
    <w:p>
      <w:pPr>
        <w:pStyle w:val="Heading5"/>
        <w:rPr>
          <w:snapToGrid w:val="0"/>
        </w:rPr>
      </w:pPr>
      <w:bookmarkStart w:id="30" w:name="_Toc131509578"/>
      <w:r>
        <w:rPr>
          <w:rStyle w:val="CharSectno"/>
        </w:rPr>
        <w:t>32</w:t>
      </w:r>
      <w:r>
        <w:rPr>
          <w:snapToGrid w:val="0"/>
        </w:rPr>
        <w:t>.</w:t>
      </w:r>
      <w:r>
        <w:rPr>
          <w:snapToGrid w:val="0"/>
        </w:rPr>
        <w:tab/>
        <w:t>Sale of livestock</w:t>
      </w:r>
      <w:bookmarkEnd w:id="3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w:t>
      </w:r>
      <w:r>
        <w:rPr>
          <w:snapToGrid w:val="0"/>
        </w:rPr>
        <w:lastRenderedPageBreak/>
        <w:t xml:space="preserve">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31" w:name="_Toc131509579"/>
      <w:r>
        <w:rPr>
          <w:rStyle w:val="CharSectno"/>
        </w:rPr>
        <w:t>33</w:t>
      </w:r>
      <w:r>
        <w:rPr>
          <w:snapToGrid w:val="0"/>
        </w:rPr>
        <w:t>.</w:t>
      </w:r>
      <w:r>
        <w:rPr>
          <w:snapToGrid w:val="0"/>
        </w:rPr>
        <w:tab/>
        <w:t>Liquor</w:t>
      </w:r>
      <w:bookmarkEnd w:id="31"/>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lastRenderedPageBreak/>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32" w:name="_Toc131509580"/>
      <w:r>
        <w:rPr>
          <w:rStyle w:val="CharSectno"/>
        </w:rPr>
        <w:t>34</w:t>
      </w:r>
      <w:r>
        <w:rPr>
          <w:snapToGrid w:val="0"/>
        </w:rPr>
        <w:t>.</w:t>
      </w:r>
      <w:r>
        <w:rPr>
          <w:snapToGrid w:val="0"/>
        </w:rPr>
        <w:tab/>
        <w:t>Savings of other remedies or actions</w:t>
      </w:r>
      <w:bookmarkEnd w:id="32"/>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33" w:name="_Toc131509581"/>
      <w:r>
        <w:rPr>
          <w:rStyle w:val="CharSectno"/>
        </w:rPr>
        <w:t>35</w:t>
      </w:r>
      <w:r>
        <w:rPr>
          <w:snapToGrid w:val="0"/>
        </w:rPr>
        <w:t>.</w:t>
      </w:r>
      <w:r>
        <w:rPr>
          <w:snapToGrid w:val="0"/>
        </w:rPr>
        <w:tab/>
        <w:t>Offences</w:t>
      </w:r>
      <w:bookmarkEnd w:id="33"/>
      <w:r>
        <w:rPr>
          <w:snapToGrid w:val="0"/>
        </w:rPr>
        <w:t xml:space="preserve"> </w:t>
      </w:r>
    </w:p>
    <w:p>
      <w:pPr>
        <w:pStyle w:val="Ednotesubsection"/>
      </w:pPr>
      <w:r>
        <w:tab/>
        <w:t>[(1), (2)</w:t>
      </w:r>
      <w:r>
        <w:tab/>
        <w:t>deleted]</w:t>
      </w:r>
    </w:p>
    <w:p>
      <w:pPr>
        <w:pStyle w:val="Subsection"/>
      </w:pPr>
      <w:r>
        <w:tab/>
        <w:t>(3)</w:t>
      </w:r>
      <w:r>
        <w:tab/>
        <w:t>A prosecution for an offence under this Act must be commenced within 2 years after the date on which the offence is alleged to have been committed.</w:t>
      </w:r>
    </w:p>
    <w:p>
      <w:pPr>
        <w:pStyle w:val="Ednotesubsection"/>
      </w:pPr>
      <w:r>
        <w:tab/>
        <w:t>[(4)</w:t>
      </w:r>
      <w:r>
        <w:tab/>
        <w:t>deleted]</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lastRenderedPageBreak/>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No. 59 of 2004 s. 141; No. 25 of 2019 s. 5; No. 9 of 2023 s. 24.] </w:t>
      </w:r>
    </w:p>
    <w:p>
      <w:pPr>
        <w:pStyle w:val="Heading5"/>
        <w:rPr>
          <w:snapToGrid w:val="0"/>
        </w:rPr>
      </w:pPr>
      <w:bookmarkStart w:id="34" w:name="_Toc131509582"/>
      <w:r>
        <w:rPr>
          <w:rStyle w:val="CharSectno"/>
        </w:rPr>
        <w:t>36</w:t>
      </w:r>
      <w:r>
        <w:rPr>
          <w:snapToGrid w:val="0"/>
        </w:rPr>
        <w:t>.</w:t>
      </w:r>
      <w:r>
        <w:rPr>
          <w:snapToGrid w:val="0"/>
        </w:rPr>
        <w:tab/>
        <w:t>Enforcement</w:t>
      </w:r>
      <w:bookmarkEnd w:id="34"/>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35" w:name="_Toc131509583"/>
      <w:r>
        <w:rPr>
          <w:rStyle w:val="CharSectno"/>
        </w:rPr>
        <w:t>37</w:t>
      </w:r>
      <w:r>
        <w:rPr>
          <w:snapToGrid w:val="0"/>
        </w:rPr>
        <w:t>.</w:t>
      </w:r>
      <w:r>
        <w:rPr>
          <w:snapToGrid w:val="0"/>
        </w:rPr>
        <w:tab/>
        <w:t>Regulations</w:t>
      </w:r>
      <w:bookmarkEnd w:id="35"/>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Ednotesubsection"/>
      </w:pPr>
      <w:r>
        <w:tab/>
        <w:t>[(2)</w:t>
      </w:r>
      <w:r>
        <w:tab/>
        <w:t>deleted]</w:t>
      </w:r>
    </w:p>
    <w:p>
      <w:pPr>
        <w:pStyle w:val="Footnotesection"/>
      </w:pPr>
      <w:r>
        <w:tab/>
        <w:t>[Section 37 amended: No. 44 of 2016 s. 9; No. 34 of 2020 s. 95(2).]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6" w:name="_Toc50708995"/>
      <w:bookmarkStart w:id="37" w:name="_Toc50709232"/>
      <w:bookmarkStart w:id="38" w:name="_Toc50973109"/>
      <w:bookmarkStart w:id="39" w:name="_Toc131498684"/>
      <w:bookmarkStart w:id="40" w:name="_Toc131498878"/>
      <w:bookmarkStart w:id="41" w:name="_Toc131509584"/>
      <w:r>
        <w:lastRenderedPageBreak/>
        <w:t>Notes</w:t>
      </w:r>
      <w:bookmarkEnd w:id="36"/>
      <w:bookmarkEnd w:id="37"/>
      <w:bookmarkEnd w:id="38"/>
      <w:bookmarkEnd w:id="39"/>
      <w:bookmarkEnd w:id="40"/>
      <w:bookmarkEnd w:id="41"/>
    </w:p>
    <w:p>
      <w:pPr>
        <w:pStyle w:val="nStatement"/>
      </w:pPr>
      <w:r>
        <w:t xml:space="preserve">This is a compilation of the </w:t>
      </w:r>
      <w:r>
        <w:rPr>
          <w:i/>
          <w:noProof/>
        </w:rPr>
        <w:t>Auction Sales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 w:name="_Toc131509585"/>
      <w:r>
        <w:t>Compilation table</w:t>
      </w:r>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7"/>
        <w:gridCol w:w="1136"/>
        <w:gridCol w:w="2552"/>
        <w:gridCol w:w="18"/>
      </w:tblGrid>
      <w:tr>
        <w:trPr>
          <w:gridAfter w:val="1"/>
          <w:wAfter w:w="18" w:type="dxa"/>
          <w:tblHeader/>
        </w:trPr>
        <w:tc>
          <w:tcPr>
            <w:tcW w:w="2268" w:type="dxa"/>
          </w:tcPr>
          <w:p>
            <w:pPr>
              <w:pStyle w:val="nTable"/>
              <w:spacing w:after="40"/>
              <w:rPr>
                <w:b/>
              </w:rPr>
            </w:pPr>
            <w:r>
              <w:rPr>
                <w:b/>
              </w:rPr>
              <w:t>Short title</w:t>
            </w:r>
          </w:p>
        </w:tc>
        <w:tc>
          <w:tcPr>
            <w:tcW w:w="1137"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52"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52" w:type="dxa"/>
          </w:tcPr>
          <w:p>
            <w:pPr>
              <w:pStyle w:val="nTable"/>
              <w:spacing w:after="40"/>
            </w:pPr>
            <w:r>
              <w:t>29 Aug 1978</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p/>
        </w:tc>
        <w:tc>
          <w:tcPr>
            <w:tcW w:w="2552" w:type="dxa"/>
          </w:tcPr>
          <w:p>
            <w:pPr>
              <w:pStyle w:val="nTable"/>
              <w:spacing w:after="40"/>
            </w:pPr>
            <w:r>
              <w:t xml:space="preserve">1 Jul 1982 (see s. 2(1) and </w:t>
            </w:r>
            <w:r>
              <w:rPr>
                <w:i/>
                <w:iCs/>
              </w:rPr>
              <w:t>Gazette</w:t>
            </w:r>
            <w:r>
              <w:t xml:space="preserve"> 25 Jun 1982 p. 2079)</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52" w:type="dxa"/>
          </w:tcPr>
          <w:p>
            <w:pPr>
              <w:pStyle w:val="nTable"/>
              <w:spacing w:after="40"/>
            </w:pPr>
            <w:r>
              <w:t xml:space="preserve">17 May 1995 (see s. 2 and </w:t>
            </w:r>
            <w:r>
              <w:rPr>
                <w:i/>
              </w:rPr>
              <w:t>Gazette</w:t>
            </w:r>
            <w:r>
              <w:t xml:space="preserve"> 16 May 1995 p. 1839)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lastRenderedPageBreak/>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52" w:type="dxa"/>
          </w:tcPr>
          <w:p>
            <w:pPr>
              <w:pStyle w:val="nTable"/>
              <w:spacing w:after="40"/>
              <w:rPr>
                <w:snapToGrid w:val="0"/>
              </w:rPr>
            </w:pPr>
            <w:r>
              <w:t xml:space="preserve">7 May 2007 (see s. 2(2) and </w:t>
            </w:r>
            <w:r>
              <w:rPr>
                <w:i/>
                <w:iCs/>
              </w:rPr>
              <w:t xml:space="preserve">Gazette </w:t>
            </w:r>
            <w:r>
              <w:t>1 May 2007 p. 1893)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70"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52"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snapToGrid w:val="0"/>
              </w:rPr>
            </w:pPr>
            <w:r>
              <w:rPr>
                <w:i/>
              </w:rPr>
              <w:t>Licensing Provisions Amendment Act 2016</w:t>
            </w:r>
            <w:r>
              <w:t xml:space="preserve"> Pt. 2</w:t>
            </w:r>
          </w:p>
        </w:tc>
        <w:tc>
          <w:tcPr>
            <w:tcW w:w="1137" w:type="dxa"/>
          </w:tcPr>
          <w:p>
            <w:pPr>
              <w:pStyle w:val="nTable"/>
              <w:spacing w:after="40"/>
              <w:rPr>
                <w:snapToGrid w:val="0"/>
              </w:rPr>
            </w:pPr>
            <w:r>
              <w:t>44 of 2016</w:t>
            </w:r>
          </w:p>
        </w:tc>
        <w:tc>
          <w:tcPr>
            <w:tcW w:w="1136" w:type="dxa"/>
          </w:tcPr>
          <w:p>
            <w:pPr>
              <w:pStyle w:val="nTable"/>
              <w:spacing w:after="40"/>
              <w:rPr>
                <w:snapToGrid w:val="0"/>
              </w:rPr>
            </w:pPr>
            <w:r>
              <w:t>1 Dec 2016</w:t>
            </w:r>
          </w:p>
        </w:tc>
        <w:tc>
          <w:tcPr>
            <w:tcW w:w="2552" w:type="dxa"/>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Borders>
              <w:top w:val="nil"/>
              <w:bottom w:val="nil"/>
            </w:tcBorders>
          </w:tcPr>
          <w:p>
            <w:pPr>
              <w:pStyle w:val="nTable"/>
              <w:spacing w:after="40"/>
              <w:ind w:right="113"/>
            </w:pPr>
            <w:r>
              <w:rPr>
                <w:i/>
              </w:rPr>
              <w:t>Consumer Protection Legislation Amendment Act 2019</w:t>
            </w:r>
            <w:r>
              <w:t xml:space="preserve"> Pt. 2</w:t>
            </w:r>
          </w:p>
        </w:tc>
        <w:tc>
          <w:tcPr>
            <w:tcW w:w="1137" w:type="dxa"/>
            <w:tcBorders>
              <w:top w:val="nil"/>
              <w:bottom w:val="nil"/>
            </w:tcBorders>
          </w:tcPr>
          <w:p>
            <w:pPr>
              <w:pStyle w:val="nTable"/>
              <w:spacing w:after="40"/>
            </w:pPr>
            <w:r>
              <w:t>25 of 2019</w:t>
            </w:r>
          </w:p>
        </w:tc>
        <w:tc>
          <w:tcPr>
            <w:tcW w:w="1136" w:type="dxa"/>
            <w:tcBorders>
              <w:top w:val="nil"/>
              <w:bottom w:val="nil"/>
            </w:tcBorders>
          </w:tcPr>
          <w:p>
            <w:pPr>
              <w:pStyle w:val="nTable"/>
              <w:spacing w:after="40"/>
            </w:pPr>
            <w:r>
              <w:t>24 Oct 2019</w:t>
            </w:r>
          </w:p>
        </w:tc>
        <w:tc>
          <w:tcPr>
            <w:tcW w:w="2552" w:type="dxa"/>
            <w:tcBorders>
              <w:top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24 Dec 2019 p. 4415)</w:t>
            </w:r>
          </w:p>
        </w:tc>
      </w:tr>
      <w:tr>
        <w:trPr>
          <w:gridAfter w:val="1"/>
          <w:wAfter w:w="18" w:type="dxa"/>
          <w:cantSplit/>
        </w:trPr>
        <w:tc>
          <w:tcPr>
            <w:tcW w:w="2268" w:type="dxa"/>
            <w:tcBorders>
              <w:top w:val="nil"/>
              <w:bottom w:val="nil"/>
            </w:tcBorders>
          </w:tcPr>
          <w:p>
            <w:pPr>
              <w:pStyle w:val="nTable"/>
              <w:spacing w:after="40"/>
              <w:ind w:right="113"/>
            </w:pPr>
            <w:r>
              <w:rPr>
                <w:i/>
              </w:rPr>
              <w:t>COVID-19 Response and Economic Recovery Omnibus Act 2020</w:t>
            </w:r>
            <w:r>
              <w:t xml:space="preserve"> s. 95</w:t>
            </w:r>
          </w:p>
        </w:tc>
        <w:tc>
          <w:tcPr>
            <w:tcW w:w="1137" w:type="dxa"/>
            <w:tcBorders>
              <w:top w:val="nil"/>
              <w:bottom w:val="nil"/>
            </w:tcBorders>
          </w:tcPr>
          <w:p>
            <w:pPr>
              <w:pStyle w:val="nTable"/>
              <w:spacing w:after="40"/>
            </w:pPr>
            <w:r>
              <w:t>34 of 2020</w:t>
            </w:r>
          </w:p>
        </w:tc>
        <w:tc>
          <w:tcPr>
            <w:tcW w:w="1136"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Borders>
              <w:bottom w:val="single" w:sz="4" w:space="0" w:color="auto"/>
            </w:tcBorders>
          </w:tcPr>
          <w:p>
            <w:pPr>
              <w:pStyle w:val="nTable"/>
              <w:spacing w:after="40"/>
              <w:ind w:right="113"/>
              <w:rPr>
                <w:i/>
              </w:rPr>
            </w:pPr>
            <w:r>
              <w:rPr>
                <w:i/>
              </w:rPr>
              <w:lastRenderedPageBreak/>
              <w:t>Directors’ Liability Reform Act 2023</w:t>
            </w:r>
            <w:r>
              <w:t xml:space="preserve"> Pt. 3 Div. 7</w:t>
            </w:r>
          </w:p>
        </w:tc>
        <w:tc>
          <w:tcPr>
            <w:tcW w:w="1137" w:type="dxa"/>
            <w:tcBorders>
              <w:bottom w:val="single" w:sz="4" w:space="0" w:color="auto"/>
            </w:tcBorders>
          </w:tcPr>
          <w:p>
            <w:pPr>
              <w:pStyle w:val="nTable"/>
              <w:spacing w:after="40"/>
            </w:pPr>
            <w:r>
              <w:t>9 of 2023</w:t>
            </w:r>
          </w:p>
        </w:tc>
        <w:tc>
          <w:tcPr>
            <w:tcW w:w="1136"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rPr>
                <w:snapToGrid w:val="0"/>
              </w:rPr>
            </w:pPr>
            <w:r>
              <w:t>5 Apr 2023 (see s. 2(j))</w:t>
            </w:r>
          </w:p>
        </w:tc>
      </w:tr>
    </w:tbl>
    <w:p>
      <w:pPr>
        <w:pStyle w:val="nHeading3"/>
      </w:pPr>
      <w:bookmarkStart w:id="43" w:name="_Toc131509586"/>
      <w:r>
        <w:t>Uncommenced provisions table</w:t>
      </w:r>
      <w:bookmarkEnd w:id="4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61" w:type="dxa"/>
            <w:gridSpan w:val="2"/>
            <w:tcBorders>
              <w:top w:val="single" w:sz="4" w:space="0" w:color="auto"/>
              <w:bottom w:val="single" w:sz="4" w:space="0" w:color="auto"/>
            </w:tcBorders>
          </w:tcPr>
          <w:p>
            <w:pPr>
              <w:pStyle w:val="nTable"/>
              <w:spacing w:after="40"/>
              <w:rPr>
                <w:snapToGrid w:val="0"/>
              </w:rPr>
            </w:pPr>
            <w:r>
              <w:rPr>
                <w:snapToGrid w:val="0"/>
              </w:rPr>
              <w:t>To be proclaimed (see s. 2(2))</w:t>
            </w:r>
          </w:p>
        </w:tc>
      </w:tr>
    </w:tbl>
    <w:p>
      <w:pPr>
        <w:pStyle w:val="nHeading3"/>
      </w:pPr>
      <w:bookmarkStart w:id="44" w:name="_Toc131509587"/>
      <w:r>
        <w:t>Other notes</w:t>
      </w:r>
      <w:bookmarkEnd w:id="44"/>
    </w:p>
    <w:p>
      <w:pPr>
        <w:pStyle w:val="nNote"/>
        <w:rPr>
          <w:snapToGrid w:val="0"/>
        </w:rPr>
      </w:pPr>
      <w:r>
        <w:rPr>
          <w:vertAlign w:val="superscript"/>
        </w:rPr>
        <w:t>1</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6" w:name="_Toc50708999"/>
      <w:bookmarkStart w:id="47" w:name="_Toc50709236"/>
      <w:bookmarkStart w:id="48" w:name="_Toc50973113"/>
      <w:bookmarkStart w:id="49" w:name="_Toc131498688"/>
      <w:bookmarkStart w:id="50" w:name="_Toc131498882"/>
      <w:bookmarkStart w:id="51" w:name="_Toc131509588"/>
      <w:r>
        <w:rPr>
          <w:sz w:val="28"/>
        </w:rPr>
        <w:lastRenderedPageBreak/>
        <w:t>Defined terms</w:t>
      </w:r>
      <w:bookmarkEnd w:id="46"/>
      <w:bookmarkEnd w:id="47"/>
      <w:bookmarkEnd w:id="48"/>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auction</w:t>
      </w:r>
      <w:r>
        <w:tab/>
        <w:t>4</w:t>
      </w:r>
    </w:p>
    <w:p>
      <w:pPr>
        <w:pStyle w:val="DefinedTerms"/>
      </w:pPr>
      <w:r>
        <w:t>auctioneer</w:t>
      </w:r>
      <w:r>
        <w:tab/>
        <w:t>4</w:t>
      </w:r>
    </w:p>
    <w:p>
      <w:pPr>
        <w:pStyle w:val="DefinedTerms"/>
      </w:pPr>
      <w:r>
        <w:t>cattle</w:t>
      </w:r>
      <w:r>
        <w:tab/>
        <w:t>4</w:t>
      </w:r>
    </w:p>
    <w:p>
      <w:pPr>
        <w:pStyle w:val="DefinedTerms"/>
      </w:pPr>
      <w:r>
        <w:t>corporation</w:t>
      </w:r>
      <w:r>
        <w:tab/>
        <w:t>4</w:t>
      </w:r>
    </w:p>
    <w:p>
      <w:pPr>
        <w:pStyle w:val="DefinedTerms"/>
      </w:pPr>
      <w:r>
        <w:t>farm produce</w:t>
      </w:r>
      <w:r>
        <w:tab/>
        <w:t>4</w:t>
      </w:r>
    </w:p>
    <w:p>
      <w:pPr>
        <w:pStyle w:val="DefinedTerms"/>
      </w:pPr>
      <w:r>
        <w:t>firm</w:t>
      </w:r>
      <w:r>
        <w:tab/>
        <w:t>4</w:t>
      </w:r>
    </w:p>
    <w:p>
      <w:pPr>
        <w:pStyle w:val="DefinedTerms"/>
      </w:pPr>
      <w:r>
        <w:t>horses</w:t>
      </w:r>
      <w:r>
        <w:tab/>
        <w:t>4</w:t>
      </w:r>
    </w:p>
    <w:p>
      <w:pPr>
        <w:pStyle w:val="DefinedTerms"/>
      </w:pPr>
      <w:r>
        <w:t>licensee</w:t>
      </w:r>
      <w:r>
        <w:tab/>
        <w:t>22(7), 28(8)</w:t>
      </w:r>
    </w:p>
    <w:p>
      <w:pPr>
        <w:pStyle w:val="DefinedTerms"/>
      </w:pPr>
      <w:r>
        <w:t>livestock</w:t>
      </w:r>
      <w:r>
        <w:tab/>
        <w:t>4</w:t>
      </w:r>
    </w:p>
    <w:p>
      <w:pPr>
        <w:pStyle w:val="DefinedTerms"/>
      </w:pPr>
      <w:r>
        <w:t>mock auction</w:t>
      </w:r>
      <w:r>
        <w:tab/>
        <w:t>4</w:t>
      </w:r>
    </w:p>
    <w:p>
      <w:pPr>
        <w:pStyle w:val="DefinedTerms"/>
      </w:pPr>
      <w:r>
        <w:t>money</w:t>
      </w:r>
      <w:r>
        <w:tab/>
        <w:t>4</w:t>
      </w:r>
    </w:p>
    <w:p>
      <w:pPr>
        <w:pStyle w:val="DefinedTerms"/>
      </w:pPr>
      <w:r>
        <w:t>money received for or on behalf of any person</w:t>
      </w:r>
      <w:r>
        <w:tab/>
        <w:t>4</w:t>
      </w:r>
    </w:p>
    <w:p>
      <w:pPr>
        <w:pStyle w:val="DefinedTerms"/>
      </w:pPr>
      <w:r>
        <w:t>person</w:t>
      </w:r>
      <w:r>
        <w:tab/>
        <w:t>4</w:t>
      </w:r>
    </w:p>
    <w:p>
      <w:pPr>
        <w:pStyle w:val="DefinedTerms"/>
      </w:pPr>
      <w:r>
        <w:t>police district</w:t>
      </w:r>
      <w:r>
        <w:tab/>
        <w:t>4</w:t>
      </w:r>
    </w:p>
    <w:p>
      <w:pPr>
        <w:pStyle w:val="DefinedTerms"/>
      </w:pPr>
      <w:r>
        <w:t>property</w:t>
      </w:r>
      <w:r>
        <w:tab/>
        <w:t>4</w:t>
      </w:r>
    </w:p>
    <w:p>
      <w:pPr>
        <w:pStyle w:val="DefinedTerms"/>
      </w:pPr>
      <w:r>
        <w:t>sale</w:t>
      </w:r>
      <w:r>
        <w:tab/>
        <w:t>4</w:t>
      </w:r>
    </w:p>
    <w:p>
      <w:pPr>
        <w:pStyle w:val="DefinedTerms"/>
      </w:pPr>
      <w:r>
        <w:t>sale by auction</w:t>
      </w:r>
      <w:r>
        <w:tab/>
        <w:t>4</w:t>
      </w:r>
    </w:p>
    <w:p>
      <w:pPr>
        <w:pStyle w:val="DefinedTerms"/>
      </w:pPr>
      <w:r>
        <w:t>section</w:t>
      </w:r>
      <w:r>
        <w:tab/>
        <w:t>4</w:t>
      </w:r>
    </w:p>
    <w:p>
      <w:pPr>
        <w:pStyle w:val="DefinedTerms"/>
      </w:pPr>
      <w:r>
        <w:t>sell by way of auction</w:t>
      </w:r>
      <w:r>
        <w:tab/>
        <w:t>4</w:t>
      </w:r>
    </w:p>
    <w:p>
      <w:pPr>
        <w:pStyle w:val="DefinedTerms"/>
      </w:pPr>
      <w:r>
        <w:t>sheep</w:t>
      </w:r>
      <w:r>
        <w:tab/>
        <w:t>4</w:t>
      </w:r>
    </w:p>
    <w:p>
      <w:pPr>
        <w:pStyle w:val="DefinedTerms"/>
      </w:pPr>
      <w:r>
        <w:t>stated</w:t>
      </w:r>
      <w:r>
        <w:tab/>
        <w:t>25(5)</w:t>
      </w:r>
    </w:p>
    <w:p>
      <w:pPr>
        <w:pStyle w:val="DefinedTerms"/>
      </w:pPr>
      <w:r>
        <w:t>stock</w:t>
      </w:r>
      <w:r>
        <w:tab/>
        <w:t>30(1)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293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E682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7E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FEC9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14F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1092832"/>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 w:name="WAFER_20191219112054" w:val="RemoveTocBookmarks,RemoveUnusedBookmarks,RemoveLanguageTags,ResetPageSize,RunningHeaders,UpdateStyles,UsedStyles"/>
    <w:docVar w:name="WAFER_20191219112054_GUID" w:val="ee0e138d-248f-4edf-b3b8-34b51b344c76"/>
    <w:docVar w:name="WAFER_202002101234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412_GUID" w:val="ea87af6b-32d9-4a1e-be44-cf850fcb7102"/>
    <w:docVar w:name="WAFER_20200911092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2832_GUID" w:val="2ed01b85-35ce-4f42-b755-f4cb2d5e7c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10843</Words>
  <Characters>49011</Characters>
  <Application>Microsoft Office Word</Application>
  <DocSecurity>0</DocSecurity>
  <Lines>1324</Lines>
  <Paragraphs>695</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59159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1973 - 04-k0-00</dc:title>
  <dc:subject/>
  <dc:creator/>
  <cp:keywords/>
  <dc:description/>
  <cp:lastModifiedBy>Master Repository Process</cp:lastModifiedBy>
  <cp:revision>4</cp:revision>
  <cp:lastPrinted>2007-05-30T02:03:00Z</cp:lastPrinted>
  <dcterms:created xsi:type="dcterms:W3CDTF">2023-04-05T02:37:00Z</dcterms:created>
  <dcterms:modified xsi:type="dcterms:W3CDTF">2023-04-05T02:37:00Z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AsAtDate">
    <vt:lpwstr>05 Apr 2023</vt:lpwstr>
  </property>
  <property fmtid="{D5CDD505-2E9C-101B-9397-08002B2CF9AE}" pid="8" name="Suffix">
    <vt:lpwstr>04-k0-00</vt:lpwstr>
  </property>
  <property fmtid="{D5CDD505-2E9C-101B-9397-08002B2CF9AE}" pid="9" name="CommencementDate">
    <vt:lpwstr>20230405</vt:lpwstr>
  </property>
</Properties>
</file>