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_Toc131510968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_Toc131510969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_Toc131510970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_Toc131510973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_Toc131510974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_Toc131510975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_Toc131510977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_Toc131510979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_Toc131510982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10.</w:t>
      </w:r>
      <w:r>
        <w:tab/>
        <w:t>Effect of registration as building service practitioner</w:t>
      </w:r>
      <w:r>
        <w:tab/>
      </w:r>
      <w:r>
        <w:fldChar w:fldCharType="begin"/>
      </w:r>
      <w:r>
        <w:instrText xml:space="preserve"> PAGEREF _Toc131510983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_Toc131510984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_Toc131510985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_Toc131510986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_Toc131510987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_Toc131510988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_Toc131510989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_Toc131510990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_Toc131510991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_Toc131510992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_Toc131510993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_Toc131510995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_Toc131510996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_Toc131510998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_Toc131510999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_Toc131511000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_Toc131511002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_Toc131511003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_Toc131511004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_Toc131511006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_Toc131511007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_Toc131511008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_Toc131511010 \h </w:instrText>
      </w:r>
      <w:r>
        <w:fldChar w:fldCharType="separate"/>
      </w:r>
      <w:r>
        <w:t>21</w:t>
      </w:r>
      <w:r>
        <w:fldChar w:fldCharType="end"/>
      </w:r>
    </w:p>
    <w:p>
      <w:pPr>
        <w:pStyle w:val="TOC8"/>
        <w:rPr>
          <w:rFonts w:asciiTheme="minorHAnsi" w:eastAsiaTheme="minorEastAsia" w:hAnsiTheme="minorHAnsi" w:cstheme="minorBidi"/>
          <w:szCs w:val="22"/>
        </w:rPr>
      </w:pPr>
      <w:r>
        <w:t>32A.</w:t>
      </w:r>
      <w:r>
        <w:tab/>
        <w:t>Notification of new directors</w:t>
      </w:r>
      <w:r>
        <w:tab/>
      </w:r>
      <w:r>
        <w:fldChar w:fldCharType="begin"/>
      </w:r>
      <w:r>
        <w:instrText xml:space="preserve"> PAGEREF _Toc131511011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_Toc131511012 \h </w:instrText>
      </w:r>
      <w:r>
        <w:fldChar w:fldCharType="separate"/>
      </w:r>
      <w:r>
        <w:t>22</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_Toc131511013 \h </w:instrText>
      </w:r>
      <w:r>
        <w:fldChar w:fldCharType="separate"/>
      </w:r>
      <w:r>
        <w:t>22</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_Toc131511014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_Toc131511015 \h </w:instrText>
      </w:r>
      <w:r>
        <w:fldChar w:fldCharType="separate"/>
      </w:r>
      <w:r>
        <w:t>23</w:t>
      </w:r>
      <w:r>
        <w:fldChar w:fldCharType="end"/>
      </w:r>
    </w:p>
    <w:p>
      <w:pPr>
        <w:pStyle w:val="TOC8"/>
        <w:rPr>
          <w:rFonts w:asciiTheme="minorHAnsi" w:eastAsiaTheme="minorEastAsia" w:hAnsiTheme="minorHAnsi" w:cstheme="minorBidi"/>
          <w:szCs w:val="22"/>
        </w:rPr>
      </w:pPr>
      <w:r>
        <w:lastRenderedPageBreak/>
        <w:t>37.</w:t>
      </w:r>
      <w:r>
        <w:tab/>
        <w:t>Return of registration certificate</w:t>
      </w:r>
      <w:r>
        <w:tab/>
      </w:r>
      <w:r>
        <w:fldChar w:fldCharType="begin"/>
      </w:r>
      <w:r>
        <w:instrText xml:space="preserve"> PAGEREF _Toc131511016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_Toc131511019 \h </w:instrText>
      </w:r>
      <w:r>
        <w:fldChar w:fldCharType="separate"/>
      </w:r>
      <w:r>
        <w:t>25</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_Toc131511020 \h </w:instrText>
      </w:r>
      <w:r>
        <w:fldChar w:fldCharType="separate"/>
      </w:r>
      <w:r>
        <w:t>25</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_Toc131511021 \h </w:instrText>
      </w:r>
      <w:r>
        <w:fldChar w:fldCharType="separate"/>
      </w:r>
      <w:r>
        <w:t>25</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_Toc131511022 \h </w:instrText>
      </w:r>
      <w:r>
        <w:fldChar w:fldCharType="separate"/>
      </w:r>
      <w:r>
        <w:t>26</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_Toc131511023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_Toc131511025 \h </w:instrText>
      </w:r>
      <w:r>
        <w:fldChar w:fldCharType="separate"/>
      </w:r>
      <w:r>
        <w:t>26</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_Toc131511026 \h </w:instrText>
      </w:r>
      <w:r>
        <w:fldChar w:fldCharType="separate"/>
      </w:r>
      <w:r>
        <w:t>27</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_Toc131511027 \h </w:instrText>
      </w:r>
      <w:r>
        <w:fldChar w:fldCharType="separate"/>
      </w:r>
      <w:r>
        <w:t>28</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_Toc131511028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_Toc131511030 \h </w:instrText>
      </w:r>
      <w:r>
        <w:fldChar w:fldCharType="separate"/>
      </w:r>
      <w:r>
        <w:t>29</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_Toc131511031 \h </w:instrText>
      </w:r>
      <w:r>
        <w:fldChar w:fldCharType="separate"/>
      </w:r>
      <w:r>
        <w:t>29</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_Toc131511032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_Toc131511034 \h </w:instrText>
      </w:r>
      <w:r>
        <w:fldChar w:fldCharType="separate"/>
      </w:r>
      <w:r>
        <w:t>30</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_Toc131511035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_Toc131511038 \h </w:instrText>
      </w:r>
      <w:r>
        <w:fldChar w:fldCharType="separate"/>
      </w:r>
      <w:r>
        <w:t>32</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_Toc131511039 \h </w:instrText>
      </w:r>
      <w:r>
        <w:fldChar w:fldCharType="separate"/>
      </w:r>
      <w:r>
        <w:t>32</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_Toc131511040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_Toc131511042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_Toc131511044 \h </w:instrText>
      </w:r>
      <w:r>
        <w:fldChar w:fldCharType="separate"/>
      </w:r>
      <w:r>
        <w:t>38</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_Toc131511045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_Toc131511047 \h </w:instrText>
      </w:r>
      <w:r>
        <w:fldChar w:fldCharType="separate"/>
      </w:r>
      <w:r>
        <w:t>40</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_Toc131511048 \h </w:instrText>
      </w:r>
      <w:r>
        <w:fldChar w:fldCharType="separate"/>
      </w:r>
      <w:r>
        <w:t>42</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_Toc131511049 \h </w:instrText>
      </w:r>
      <w:r>
        <w:fldChar w:fldCharType="separate"/>
      </w:r>
      <w:r>
        <w:t>43</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_Toc131511050 \h </w:instrText>
      </w:r>
      <w:r>
        <w:fldChar w:fldCharType="separate"/>
      </w:r>
      <w:r>
        <w:t>43</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_Toc131511051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_Toc131511052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5A — Insolvency of building service contractors</w:t>
      </w:r>
    </w:p>
    <w:p>
      <w:pPr>
        <w:pStyle w:val="TOC8"/>
        <w:rPr>
          <w:rFonts w:asciiTheme="minorHAnsi" w:eastAsiaTheme="minorEastAsia" w:hAnsiTheme="minorHAnsi" w:cstheme="minorBidi"/>
          <w:szCs w:val="22"/>
        </w:rPr>
      </w:pPr>
      <w:r>
        <w:t>63A.</w:t>
      </w:r>
      <w:r>
        <w:tab/>
        <w:t>Terms used</w:t>
      </w:r>
      <w:r>
        <w:tab/>
      </w:r>
      <w:r>
        <w:fldChar w:fldCharType="begin"/>
      </w:r>
      <w:r>
        <w:instrText xml:space="preserve"> PAGEREF _Toc131511054 \h </w:instrText>
      </w:r>
      <w:r>
        <w:fldChar w:fldCharType="separate"/>
      </w:r>
      <w:r>
        <w:t>45</w:t>
      </w:r>
      <w:r>
        <w:fldChar w:fldCharType="end"/>
      </w:r>
    </w:p>
    <w:p>
      <w:pPr>
        <w:pStyle w:val="TOC8"/>
        <w:rPr>
          <w:rFonts w:asciiTheme="minorHAnsi" w:eastAsiaTheme="minorEastAsia" w:hAnsiTheme="minorHAnsi" w:cstheme="minorBidi"/>
          <w:szCs w:val="22"/>
        </w:rPr>
      </w:pPr>
      <w:r>
        <w:t>63B.</w:t>
      </w:r>
      <w:r>
        <w:tab/>
        <w:t>Excluded contractors not to be registered</w:t>
      </w:r>
      <w:r>
        <w:tab/>
      </w:r>
      <w:r>
        <w:fldChar w:fldCharType="begin"/>
      </w:r>
      <w:r>
        <w:instrText xml:space="preserve"> PAGEREF _Toc131511055 \h </w:instrText>
      </w:r>
      <w:r>
        <w:fldChar w:fldCharType="separate"/>
      </w:r>
      <w:r>
        <w:t>47</w:t>
      </w:r>
      <w:r>
        <w:fldChar w:fldCharType="end"/>
      </w:r>
    </w:p>
    <w:p>
      <w:pPr>
        <w:pStyle w:val="TOC8"/>
        <w:rPr>
          <w:rFonts w:asciiTheme="minorHAnsi" w:eastAsiaTheme="minorEastAsia" w:hAnsiTheme="minorHAnsi" w:cstheme="minorBidi"/>
          <w:szCs w:val="22"/>
        </w:rPr>
      </w:pPr>
      <w:r>
        <w:t>63C.</w:t>
      </w:r>
      <w:r>
        <w:tab/>
        <w:t>Declaration of excluded contractors</w:t>
      </w:r>
      <w:r>
        <w:tab/>
      </w:r>
      <w:r>
        <w:fldChar w:fldCharType="begin"/>
      </w:r>
      <w:r>
        <w:instrText xml:space="preserve"> PAGEREF _Toc131511056 \h </w:instrText>
      </w:r>
      <w:r>
        <w:fldChar w:fldCharType="separate"/>
      </w:r>
      <w:r>
        <w:t>47</w:t>
      </w:r>
      <w:r>
        <w:fldChar w:fldCharType="end"/>
      </w:r>
    </w:p>
    <w:p>
      <w:pPr>
        <w:pStyle w:val="TOC8"/>
        <w:rPr>
          <w:rFonts w:asciiTheme="minorHAnsi" w:eastAsiaTheme="minorEastAsia" w:hAnsiTheme="minorHAnsi" w:cstheme="minorBidi"/>
          <w:szCs w:val="22"/>
        </w:rPr>
      </w:pPr>
      <w:r>
        <w:t>63D.</w:t>
      </w:r>
      <w:r>
        <w:tab/>
        <w:t>When individual or non</w:t>
      </w:r>
      <w:r>
        <w:noBreakHyphen/>
        <w:t>corporate body may be declared excluded contractor</w:t>
      </w:r>
      <w:r>
        <w:tab/>
      </w:r>
      <w:r>
        <w:fldChar w:fldCharType="begin"/>
      </w:r>
      <w:r>
        <w:instrText xml:space="preserve"> PAGEREF _Toc131511057 \h </w:instrText>
      </w:r>
      <w:r>
        <w:fldChar w:fldCharType="separate"/>
      </w:r>
      <w:r>
        <w:t>48</w:t>
      </w:r>
      <w:r>
        <w:fldChar w:fldCharType="end"/>
      </w:r>
    </w:p>
    <w:p>
      <w:pPr>
        <w:pStyle w:val="TOC8"/>
        <w:rPr>
          <w:rFonts w:asciiTheme="minorHAnsi" w:eastAsiaTheme="minorEastAsia" w:hAnsiTheme="minorHAnsi" w:cstheme="minorBidi"/>
          <w:szCs w:val="22"/>
        </w:rPr>
      </w:pPr>
      <w:r>
        <w:t>63E.</w:t>
      </w:r>
      <w:r>
        <w:tab/>
        <w:t>When corporation may be declared excluded contractor</w:t>
      </w:r>
      <w:r>
        <w:tab/>
      </w:r>
      <w:r>
        <w:fldChar w:fldCharType="begin"/>
      </w:r>
      <w:r>
        <w:instrText xml:space="preserve"> PAGEREF _Toc131511058 \h </w:instrText>
      </w:r>
      <w:r>
        <w:fldChar w:fldCharType="separate"/>
      </w:r>
      <w:r>
        <w:t>49</w:t>
      </w:r>
      <w:r>
        <w:fldChar w:fldCharType="end"/>
      </w:r>
    </w:p>
    <w:p>
      <w:pPr>
        <w:pStyle w:val="TOC8"/>
        <w:rPr>
          <w:rFonts w:asciiTheme="minorHAnsi" w:eastAsiaTheme="minorEastAsia" w:hAnsiTheme="minorHAnsi" w:cstheme="minorBidi"/>
          <w:szCs w:val="22"/>
        </w:rPr>
      </w:pPr>
      <w:r>
        <w:t>63F.</w:t>
      </w:r>
      <w:r>
        <w:tab/>
        <w:t>Procedure for declaring excluded contractor</w:t>
      </w:r>
      <w:r>
        <w:tab/>
      </w:r>
      <w:r>
        <w:fldChar w:fldCharType="begin"/>
      </w:r>
      <w:r>
        <w:instrText xml:space="preserve"> PAGEREF _Toc131511059 \h </w:instrText>
      </w:r>
      <w:r>
        <w:fldChar w:fldCharType="separate"/>
      </w:r>
      <w:r>
        <w:t>50</w:t>
      </w:r>
      <w:r>
        <w:fldChar w:fldCharType="end"/>
      </w:r>
    </w:p>
    <w:p>
      <w:pPr>
        <w:pStyle w:val="TOC8"/>
        <w:rPr>
          <w:rFonts w:asciiTheme="minorHAnsi" w:eastAsiaTheme="minorEastAsia" w:hAnsiTheme="minorHAnsi" w:cstheme="minorBidi"/>
          <w:szCs w:val="22"/>
        </w:rPr>
      </w:pPr>
      <w:r>
        <w:t>63G.</w:t>
      </w:r>
      <w:r>
        <w:tab/>
        <w:t>When declaration of excluded contractor takes effect</w:t>
      </w:r>
      <w:r>
        <w:tab/>
      </w:r>
      <w:r>
        <w:fldChar w:fldCharType="begin"/>
      </w:r>
      <w:r>
        <w:instrText xml:space="preserve"> PAGEREF _Toc131511060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_Toc131511062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_Toc131511065 \h </w:instrText>
      </w:r>
      <w:r>
        <w:fldChar w:fldCharType="separate"/>
      </w:r>
      <w:r>
        <w:t>54</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_Toc131511066 \h </w:instrText>
      </w:r>
      <w:r>
        <w:fldChar w:fldCharType="separate"/>
      </w:r>
      <w:r>
        <w:t>54</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_Toc131511067 \h </w:instrText>
      </w:r>
      <w:r>
        <w:fldChar w:fldCharType="separate"/>
      </w:r>
      <w:r>
        <w:t>54</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_Toc131511068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_Toc131511070 \h </w:instrText>
      </w:r>
      <w:r>
        <w:fldChar w:fldCharType="separate"/>
      </w:r>
      <w:r>
        <w:t>55</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_Toc131511071 \h </w:instrText>
      </w:r>
      <w:r>
        <w:fldChar w:fldCharType="separate"/>
      </w:r>
      <w:r>
        <w:t>55</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_Toc131511072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_Toc131511074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_Toc131511076 \h </w:instrText>
      </w:r>
      <w:r>
        <w:fldChar w:fldCharType="separate"/>
      </w:r>
      <w:r>
        <w:t>56</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_Toc131511077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_Toc131511080 \h </w:instrText>
      </w:r>
      <w:r>
        <w:fldChar w:fldCharType="separate"/>
      </w:r>
      <w:r>
        <w:t>58</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_Toc131511081 \h </w:instrText>
      </w:r>
      <w:r>
        <w:fldChar w:fldCharType="separate"/>
      </w:r>
      <w:r>
        <w:t>58</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_Toc131511082 \h </w:instrText>
      </w:r>
      <w:r>
        <w:fldChar w:fldCharType="separate"/>
      </w:r>
      <w:r>
        <w:t>59</w:t>
      </w:r>
      <w:r>
        <w:fldChar w:fldCharType="end"/>
      </w:r>
    </w:p>
    <w:p>
      <w:pPr>
        <w:pStyle w:val="TOC8"/>
        <w:rPr>
          <w:rFonts w:asciiTheme="minorHAnsi" w:eastAsiaTheme="minorEastAsia" w:hAnsiTheme="minorHAnsi" w:cstheme="minorBidi"/>
          <w:szCs w:val="22"/>
        </w:rPr>
      </w:pPr>
      <w:r>
        <w:t>78.</w:t>
      </w:r>
      <w:r>
        <w:tab/>
        <w:t>Alternate members</w:t>
      </w:r>
      <w:r>
        <w:tab/>
      </w:r>
      <w:r>
        <w:fldChar w:fldCharType="begin"/>
      </w:r>
      <w:r>
        <w:instrText xml:space="preserve"> PAGEREF _Toc131511083 \h </w:instrText>
      </w:r>
      <w:r>
        <w:fldChar w:fldCharType="separate"/>
      </w:r>
      <w:r>
        <w:t>59</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_Toc131511084 \h </w:instrText>
      </w:r>
      <w:r>
        <w:fldChar w:fldCharType="separate"/>
      </w:r>
      <w:r>
        <w:t>60</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_Toc131511085 \h </w:instrText>
      </w:r>
      <w:r>
        <w:fldChar w:fldCharType="separate"/>
      </w:r>
      <w:r>
        <w:t>60</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_Toc131511086 \h </w:instrText>
      </w:r>
      <w:r>
        <w:fldChar w:fldCharType="separate"/>
      </w:r>
      <w:r>
        <w:t>60</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_Toc131511087 \h </w:instrText>
      </w:r>
      <w:r>
        <w:fldChar w:fldCharType="separate"/>
      </w:r>
      <w:r>
        <w:t>60</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_Toc131511088 \h </w:instrText>
      </w:r>
      <w:r>
        <w:fldChar w:fldCharType="separate"/>
      </w:r>
      <w:r>
        <w:t>60</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_Toc131511089 \h </w:instrText>
      </w:r>
      <w:r>
        <w:fldChar w:fldCharType="separate"/>
      </w:r>
      <w:r>
        <w:t>61</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_Toc131511090 \h </w:instrText>
      </w:r>
      <w:r>
        <w:fldChar w:fldCharType="separate"/>
      </w:r>
      <w:r>
        <w:t>61</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_Toc131511091 \h </w:instrText>
      </w:r>
      <w:r>
        <w:fldChar w:fldCharType="separate"/>
      </w:r>
      <w:r>
        <w:t>61</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_Toc131511092 \h </w:instrText>
      </w:r>
      <w:r>
        <w:fldChar w:fldCharType="separate"/>
      </w:r>
      <w:r>
        <w:t>61</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_Toc131511093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_Toc131511095 \h </w:instrText>
      </w:r>
      <w:r>
        <w:fldChar w:fldCharType="separate"/>
      </w:r>
      <w:r>
        <w:t>62</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_Toc131511096 \h </w:instrText>
      </w:r>
      <w:r>
        <w:fldChar w:fldCharType="separate"/>
      </w:r>
      <w:r>
        <w:t>63</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_Toc131511097 \h </w:instrText>
      </w:r>
      <w:r>
        <w:fldChar w:fldCharType="separate"/>
      </w:r>
      <w:r>
        <w:t>63</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_Toc131511098 \h </w:instrText>
      </w:r>
      <w:r>
        <w:fldChar w:fldCharType="separate"/>
      </w:r>
      <w:r>
        <w:t>63</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_Toc131511099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_Toc131511101 \h </w:instrText>
      </w:r>
      <w:r>
        <w:fldChar w:fldCharType="separate"/>
      </w:r>
      <w:r>
        <w:t>64</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_Toc131511102 \h </w:instrText>
      </w:r>
      <w:r>
        <w:fldChar w:fldCharType="separate"/>
      </w:r>
      <w:r>
        <w:t>64</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_Toc131511103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General provisions</w:t>
      </w:r>
    </w:p>
    <w:p>
      <w:pPr>
        <w:pStyle w:val="TOC8"/>
        <w:rPr>
          <w:rFonts w:asciiTheme="minorHAnsi" w:eastAsiaTheme="minorEastAsia" w:hAnsiTheme="minorHAnsi" w:cstheme="minorBidi"/>
          <w:szCs w:val="22"/>
        </w:rPr>
      </w:pPr>
      <w:r>
        <w:t>97.</w:t>
      </w:r>
      <w:r>
        <w:tab/>
        <w:t>Liability of officers for offence by body corporate</w:t>
      </w:r>
      <w:r>
        <w:tab/>
      </w:r>
      <w:r>
        <w:fldChar w:fldCharType="begin"/>
      </w:r>
      <w:r>
        <w:instrText xml:space="preserve"> PAGEREF _Toc131511105 \h </w:instrText>
      </w:r>
      <w:r>
        <w:fldChar w:fldCharType="separate"/>
      </w:r>
      <w:r>
        <w:t>66</w:t>
      </w:r>
      <w:r>
        <w:fldChar w:fldCharType="end"/>
      </w:r>
    </w:p>
    <w:p>
      <w:pPr>
        <w:pStyle w:val="TOC8"/>
        <w:rPr>
          <w:rFonts w:asciiTheme="minorHAnsi" w:eastAsiaTheme="minorEastAsia" w:hAnsiTheme="minorHAnsi" w:cstheme="minorBidi"/>
          <w:szCs w:val="22"/>
        </w:rPr>
      </w:pPr>
      <w:r>
        <w:lastRenderedPageBreak/>
        <w:t>98.</w:t>
      </w:r>
      <w:r>
        <w:tab/>
        <w:t>Protection from liability</w:t>
      </w:r>
      <w:r>
        <w:tab/>
      </w:r>
      <w:r>
        <w:fldChar w:fldCharType="begin"/>
      </w:r>
      <w:r>
        <w:instrText xml:space="preserve"> PAGEREF _Toc131511106 \h </w:instrText>
      </w:r>
      <w:r>
        <w:fldChar w:fldCharType="separate"/>
      </w:r>
      <w:r>
        <w:t>66</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_Toc131511107 \h </w:instrText>
      </w:r>
      <w:r>
        <w:fldChar w:fldCharType="separate"/>
      </w:r>
      <w:r>
        <w:t>67</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_Toc131511108 \h </w:instrText>
      </w:r>
      <w:r>
        <w:fldChar w:fldCharType="separate"/>
      </w:r>
      <w:r>
        <w:t>67</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_Toc131511109 \h </w:instrText>
      </w:r>
      <w:r>
        <w:fldChar w:fldCharType="separate"/>
      </w:r>
      <w:r>
        <w:t>68</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_Toc131511110 \h </w:instrText>
      </w:r>
      <w:r>
        <w:fldChar w:fldCharType="separate"/>
      </w:r>
      <w:r>
        <w:t>68</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_Toc131511111 \h </w:instrText>
      </w:r>
      <w:r>
        <w:fldChar w:fldCharType="separate"/>
      </w:r>
      <w:r>
        <w:t>68</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_Toc131511112 \h </w:instrText>
      </w:r>
      <w:r>
        <w:fldChar w:fldCharType="separate"/>
      </w:r>
      <w:r>
        <w:t>70</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_Toc131511113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_Toc131511116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_Toc131511118 \h </w:instrText>
      </w:r>
      <w:r>
        <w:fldChar w:fldCharType="separate"/>
      </w:r>
      <w:r>
        <w:t>72</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_Toc131511119 \h </w:instrText>
      </w:r>
      <w:r>
        <w:fldChar w:fldCharType="separate"/>
      </w:r>
      <w:r>
        <w:t>72</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_Toc131511120 \h </w:instrText>
      </w:r>
      <w:r>
        <w:fldChar w:fldCharType="separate"/>
      </w:r>
      <w:r>
        <w:t>72</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_Toc131511121 \h </w:instrText>
      </w:r>
      <w:r>
        <w:fldChar w:fldCharType="separate"/>
      </w:r>
      <w:r>
        <w:t>72</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_Toc131511122 \h </w:instrText>
      </w:r>
      <w:r>
        <w:fldChar w:fldCharType="separate"/>
      </w:r>
      <w:r>
        <w:t>72</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_Toc131511123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_Toc131511126 \h </w:instrText>
      </w:r>
      <w:r>
        <w:fldChar w:fldCharType="separate"/>
      </w:r>
      <w:r>
        <w:t>73</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_Toc131511127 \h </w:instrText>
      </w:r>
      <w:r>
        <w:fldChar w:fldCharType="separate"/>
      </w:r>
      <w:r>
        <w:t>73</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_Toc131511128 \h </w:instrText>
      </w:r>
      <w:r>
        <w:fldChar w:fldCharType="separate"/>
      </w:r>
      <w:r>
        <w:t>74</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_Toc131511129 \h </w:instrText>
      </w:r>
      <w:r>
        <w:fldChar w:fldCharType="separate"/>
      </w:r>
      <w:r>
        <w:t>75</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_Toc131511130 \h </w:instrText>
      </w:r>
      <w:r>
        <w:fldChar w:fldCharType="separate"/>
      </w:r>
      <w:r>
        <w:t>75</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_Toc131511131 \h </w:instrText>
      </w:r>
      <w:r>
        <w:fldChar w:fldCharType="separate"/>
      </w:r>
      <w:r>
        <w:t>75</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_Toc131511132 \h </w:instrText>
      </w:r>
      <w:r>
        <w:fldChar w:fldCharType="separate"/>
      </w:r>
      <w:r>
        <w:t>76</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_Toc131511133 \h </w:instrText>
      </w:r>
      <w:r>
        <w:fldChar w:fldCharType="separate"/>
      </w:r>
      <w:r>
        <w:t>76</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_Toc131511134 \h </w:instrText>
      </w:r>
      <w:r>
        <w:fldChar w:fldCharType="separate"/>
      </w:r>
      <w:r>
        <w:t>77</w:t>
      </w:r>
      <w:r>
        <w:fldChar w:fldCharType="end"/>
      </w:r>
    </w:p>
    <w:p>
      <w:pPr>
        <w:pStyle w:val="TOC8"/>
        <w:rPr>
          <w:rFonts w:asciiTheme="minorHAnsi" w:eastAsiaTheme="minorEastAsia" w:hAnsiTheme="minorHAnsi" w:cstheme="minorBidi"/>
          <w:szCs w:val="22"/>
        </w:rPr>
      </w:pPr>
      <w:r>
        <w:t>122.</w:t>
      </w:r>
      <w:r>
        <w:tab/>
        <w:t>Completion of things commenced</w:t>
      </w:r>
      <w:r>
        <w:tab/>
      </w:r>
      <w:r>
        <w:fldChar w:fldCharType="begin"/>
      </w:r>
      <w:r>
        <w:instrText xml:space="preserve"> PAGEREF _Toc131511135 \h </w:instrText>
      </w:r>
      <w:r>
        <w:fldChar w:fldCharType="separate"/>
      </w:r>
      <w:r>
        <w:t>77</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_Toc131511136 \h </w:instrText>
      </w:r>
      <w:r>
        <w:fldChar w:fldCharType="separate"/>
      </w:r>
      <w:r>
        <w:t>78</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_Toc131511137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_Toc131511139 \h </w:instrText>
      </w:r>
      <w:r>
        <w:fldChar w:fldCharType="separate"/>
      </w:r>
      <w:r>
        <w:t>79</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_Toc131511140 \h </w:instrText>
      </w:r>
      <w:r>
        <w:fldChar w:fldCharType="separate"/>
      </w:r>
      <w:r>
        <w:t>79</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_Toc131511141 \h </w:instrText>
      </w:r>
      <w:r>
        <w:fldChar w:fldCharType="separate"/>
      </w:r>
      <w:r>
        <w:t>79</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_Toc131511142 \h </w:instrText>
      </w:r>
      <w:r>
        <w:fldChar w:fldCharType="separate"/>
      </w:r>
      <w:r>
        <w:t>80</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_Toc131511143 \h </w:instrText>
      </w:r>
      <w:r>
        <w:fldChar w:fldCharType="separate"/>
      </w:r>
      <w:r>
        <w:t>81</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_Toc131511144 \h </w:instrText>
      </w:r>
      <w:r>
        <w:fldChar w:fldCharType="separate"/>
      </w:r>
      <w:r>
        <w:t>81</w:t>
      </w:r>
      <w:r>
        <w:fldChar w:fldCharType="end"/>
      </w:r>
    </w:p>
    <w:p>
      <w:pPr>
        <w:pStyle w:val="TOC8"/>
        <w:rPr>
          <w:rFonts w:asciiTheme="minorHAnsi" w:eastAsiaTheme="minorEastAsia" w:hAnsiTheme="minorHAnsi" w:cstheme="minorBidi"/>
          <w:szCs w:val="22"/>
        </w:rPr>
      </w:pPr>
      <w:r>
        <w:t>131.</w:t>
      </w:r>
      <w:r>
        <w:tab/>
        <w:t>Devolution of assets and liabilities of former board</w:t>
      </w:r>
      <w:r>
        <w:tab/>
      </w:r>
      <w:r>
        <w:fldChar w:fldCharType="begin"/>
      </w:r>
      <w:r>
        <w:instrText xml:space="preserve"> PAGEREF _Toc131511145 \h </w:instrText>
      </w:r>
      <w:r>
        <w:fldChar w:fldCharType="separate"/>
      </w:r>
      <w:r>
        <w:t>81</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_Toc131511146 \h </w:instrText>
      </w:r>
      <w:r>
        <w:fldChar w:fldCharType="separate"/>
      </w:r>
      <w:r>
        <w:t>82</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_Toc131511147 \h </w:instrText>
      </w:r>
      <w:r>
        <w:fldChar w:fldCharType="separate"/>
      </w:r>
      <w:r>
        <w:t>82</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_Toc131511148 \h </w:instrText>
      </w:r>
      <w:r>
        <w:fldChar w:fldCharType="separate"/>
      </w:r>
      <w:r>
        <w:t>83</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_Toc131511149 \h </w:instrText>
      </w:r>
      <w:r>
        <w:fldChar w:fldCharType="separate"/>
      </w:r>
      <w:r>
        <w:t>83</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_Toc131511150 \h </w:instrText>
      </w:r>
      <w:r>
        <w:fldChar w:fldCharType="separate"/>
      </w:r>
      <w:r>
        <w:t>83</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_Toc131511151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_Toc131511153 \h </w:instrText>
      </w:r>
      <w:r>
        <w:fldChar w:fldCharType="separate"/>
      </w:r>
      <w:r>
        <w:t>84</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_Toc131511154 \h </w:instrText>
      </w:r>
      <w:r>
        <w:fldChar w:fldCharType="separate"/>
      </w:r>
      <w:r>
        <w:t>85</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_Toc131511155 \h </w:instrText>
      </w:r>
      <w:r>
        <w:fldChar w:fldCharType="separate"/>
      </w:r>
      <w:r>
        <w:t>85</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_Toc131511156 \h </w:instrText>
      </w:r>
      <w:r>
        <w:fldChar w:fldCharType="separate"/>
      </w:r>
      <w:r>
        <w:t>85</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_Toc131511157 \h </w:instrText>
      </w:r>
      <w:r>
        <w:fldChar w:fldCharType="separate"/>
      </w:r>
      <w:r>
        <w:t>85</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_Toc131511158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_Toc131511160 \h </w:instrText>
      </w:r>
      <w:r>
        <w:fldChar w:fldCharType="separate"/>
      </w:r>
      <w:r>
        <w:t>86</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_Toc131511161 \h </w:instrText>
      </w:r>
      <w:r>
        <w:fldChar w:fldCharType="separate"/>
      </w:r>
      <w:r>
        <w:t>87</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_Toc131511162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_Toc131511165 \h </w:instrText>
      </w:r>
      <w:r>
        <w:fldChar w:fldCharType="separate"/>
      </w:r>
      <w:r>
        <w:t>89</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_Toc131511166 \h </w:instrText>
      </w:r>
      <w:r>
        <w:fldChar w:fldCharType="separate"/>
      </w:r>
      <w:r>
        <w:t>89</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_Toc131511167 \h </w:instrText>
      </w:r>
      <w:r>
        <w:fldChar w:fldCharType="separate"/>
      </w:r>
      <w:r>
        <w:t>89</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_Toc131511168 \h </w:instrText>
      </w:r>
      <w:r>
        <w:fldChar w:fldCharType="separate"/>
      </w:r>
      <w:r>
        <w:t>91</w:t>
      </w:r>
      <w:r>
        <w:fldChar w:fldCharType="end"/>
      </w:r>
    </w:p>
    <w:p>
      <w:pPr>
        <w:pStyle w:val="TOC8"/>
        <w:rPr>
          <w:rFonts w:asciiTheme="minorHAnsi" w:eastAsiaTheme="minorEastAsia" w:hAnsiTheme="minorHAnsi" w:cstheme="minorBidi"/>
          <w:szCs w:val="22"/>
        </w:rPr>
      </w:pPr>
      <w:r>
        <w:t>151.</w:t>
      </w:r>
      <w:r>
        <w:tab/>
        <w:t>Section 25F amended</w:t>
      </w:r>
      <w:r>
        <w:tab/>
      </w:r>
      <w:r>
        <w:fldChar w:fldCharType="begin"/>
      </w:r>
      <w:r>
        <w:instrText xml:space="preserve"> PAGEREF _Toc131511169 \h </w:instrText>
      </w:r>
      <w:r>
        <w:fldChar w:fldCharType="separate"/>
      </w:r>
      <w:r>
        <w:t>92</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_Toc131511170 \h </w:instrText>
      </w:r>
      <w:r>
        <w:fldChar w:fldCharType="separate"/>
      </w:r>
      <w:r>
        <w:t>92</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_Toc131511171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154.</w:t>
      </w:r>
      <w:r>
        <w:tab/>
        <w:t>Section 31B amended</w:t>
      </w:r>
      <w:r>
        <w:tab/>
      </w:r>
      <w:r>
        <w:fldChar w:fldCharType="begin"/>
      </w:r>
      <w:r>
        <w:instrText xml:space="preserve"> PAGEREF _Toc131511172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_Toc131511174 \h </w:instrText>
      </w:r>
      <w:r>
        <w:fldChar w:fldCharType="separate"/>
      </w:r>
      <w:r>
        <w:t>94</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_Toc131511175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_Toc131511176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_Toc131511177 \h </w:instrText>
      </w:r>
      <w:r>
        <w:fldChar w:fldCharType="separate"/>
      </w:r>
      <w:r>
        <w:t>95</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_Toc131511178 \h </w:instrText>
      </w:r>
      <w:r>
        <w:fldChar w:fldCharType="separate"/>
      </w:r>
      <w:r>
        <w:t>96</w:t>
      </w:r>
      <w:r>
        <w:fldChar w:fldCharType="end"/>
      </w:r>
    </w:p>
    <w:p>
      <w:pPr>
        <w:pStyle w:val="TOC8"/>
        <w:rPr>
          <w:rFonts w:asciiTheme="minorHAnsi" w:eastAsiaTheme="minorEastAsia" w:hAnsiTheme="minorHAnsi" w:cstheme="minorBidi"/>
          <w:szCs w:val="22"/>
        </w:rPr>
      </w:pPr>
      <w:r>
        <w:t>159.</w:t>
      </w:r>
      <w:r>
        <w:tab/>
      </w:r>
      <w:r>
        <w:rPr>
          <w:i/>
          <w:iCs/>
        </w:rPr>
        <w:t>Travel Agents Act 1985</w:t>
      </w:r>
      <w:r>
        <w:t xml:space="preserve"> amended</w:t>
      </w:r>
      <w:r>
        <w:tab/>
      </w:r>
      <w:r>
        <w:fldChar w:fldCharType="begin"/>
      </w:r>
      <w:r>
        <w:instrText xml:space="preserve"> PAGEREF _Toc131511179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_Toc131511181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124951059"/>
      <w:bookmarkStart w:id="5" w:name="_Toc125010686"/>
      <w:bookmarkStart w:id="6" w:name="_Toc125702919"/>
      <w:bookmarkStart w:id="7" w:name="_Toc125703269"/>
      <w:bookmarkStart w:id="8" w:name="_Toc131500318"/>
      <w:bookmarkStart w:id="9" w:name="_Toc131500535"/>
      <w:bookmarkStart w:id="10" w:name="_Toc13151096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31510968"/>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2" w:name="_Toc131510969"/>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31510970"/>
      <w:r>
        <w:rPr>
          <w:rStyle w:val="CharSectno"/>
        </w:rPr>
        <w:t>3</w:t>
      </w:r>
      <w:r>
        <w:t>.</w:t>
      </w:r>
      <w:r>
        <w:tab/>
        <w:t>Terms used</w:t>
      </w:r>
      <w:bookmarkEnd w:id="13"/>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has the meaning given in section 63A(1);</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lastRenderedPageBreak/>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lastRenderedPageBreak/>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 No. 4 of 2021 s. 126.]</w:t>
      </w:r>
    </w:p>
    <w:p>
      <w:pPr>
        <w:pStyle w:val="Heading2"/>
      </w:pPr>
      <w:bookmarkStart w:id="14" w:name="_Toc124951063"/>
      <w:bookmarkStart w:id="15" w:name="_Toc125010690"/>
      <w:bookmarkStart w:id="16" w:name="_Toc125702923"/>
      <w:bookmarkStart w:id="17" w:name="_Toc125703273"/>
      <w:bookmarkStart w:id="18" w:name="_Toc131500322"/>
      <w:bookmarkStart w:id="19" w:name="_Toc131500539"/>
      <w:bookmarkStart w:id="20" w:name="_Toc131510971"/>
      <w:r>
        <w:rPr>
          <w:rStyle w:val="CharPartNo"/>
        </w:rPr>
        <w:lastRenderedPageBreak/>
        <w:t>Part 2</w:t>
      </w:r>
      <w:r>
        <w:t> — </w:t>
      </w:r>
      <w:r>
        <w:rPr>
          <w:rStyle w:val="CharPartText"/>
        </w:rPr>
        <w:t>Prohibitions in relation to unregistered persons</w:t>
      </w:r>
      <w:bookmarkEnd w:id="14"/>
      <w:bookmarkEnd w:id="15"/>
      <w:bookmarkEnd w:id="16"/>
      <w:bookmarkEnd w:id="17"/>
      <w:bookmarkEnd w:id="18"/>
      <w:bookmarkEnd w:id="19"/>
      <w:bookmarkEnd w:id="20"/>
    </w:p>
    <w:p>
      <w:pPr>
        <w:pStyle w:val="Heading3"/>
        <w:spacing w:before="120"/>
      </w:pPr>
      <w:bookmarkStart w:id="21" w:name="_Toc124951064"/>
      <w:bookmarkStart w:id="22" w:name="_Toc125010691"/>
      <w:bookmarkStart w:id="23" w:name="_Toc125702924"/>
      <w:bookmarkStart w:id="24" w:name="_Toc125703274"/>
      <w:bookmarkStart w:id="25" w:name="_Toc131500323"/>
      <w:bookmarkStart w:id="26" w:name="_Toc131500540"/>
      <w:bookmarkStart w:id="27" w:name="_Toc131510972"/>
      <w:r>
        <w:rPr>
          <w:rStyle w:val="CharDivNo"/>
        </w:rPr>
        <w:t>Division 1</w:t>
      </w:r>
      <w:r>
        <w:t> — </w:t>
      </w:r>
      <w:r>
        <w:rPr>
          <w:rStyle w:val="CharDivText"/>
        </w:rPr>
        <w:t>Use of titles and representations as to registration</w:t>
      </w:r>
      <w:bookmarkEnd w:id="21"/>
      <w:bookmarkEnd w:id="22"/>
      <w:bookmarkEnd w:id="23"/>
      <w:bookmarkEnd w:id="24"/>
      <w:bookmarkEnd w:id="25"/>
      <w:bookmarkEnd w:id="26"/>
      <w:bookmarkEnd w:id="27"/>
    </w:p>
    <w:p>
      <w:pPr>
        <w:pStyle w:val="Heading5"/>
        <w:spacing w:before="120"/>
      </w:pPr>
      <w:bookmarkStart w:id="28" w:name="_Toc131510973"/>
      <w:r>
        <w:rPr>
          <w:rStyle w:val="CharSectno"/>
        </w:rPr>
        <w:t>4</w:t>
      </w:r>
      <w:r>
        <w:t>.</w:t>
      </w:r>
      <w:r>
        <w:tab/>
        <w:t>Restriction on use of titles</w:t>
      </w:r>
      <w:bookmarkEnd w:id="28"/>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29" w:name="_Toc131510974"/>
      <w:r>
        <w:rPr>
          <w:rStyle w:val="CharSectno"/>
        </w:rPr>
        <w:t>5</w:t>
      </w:r>
      <w:r>
        <w:t>.</w:t>
      </w:r>
      <w:r>
        <w:tab/>
        <w:t>Claims as to registration</w:t>
      </w:r>
      <w:bookmarkEnd w:id="29"/>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0" w:name="_Toc131510975"/>
      <w:r>
        <w:rPr>
          <w:rStyle w:val="CharSectno"/>
        </w:rPr>
        <w:t>6</w:t>
      </w:r>
      <w:r>
        <w:t>.</w:t>
      </w:r>
      <w:r>
        <w:tab/>
        <w:t>Advertising entitlement to carry out prescribed building service when not registered</w:t>
      </w:r>
      <w:bookmarkEnd w:id="30"/>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lastRenderedPageBreak/>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1" w:name="_Toc124951068"/>
      <w:bookmarkStart w:id="32" w:name="_Toc125010695"/>
      <w:bookmarkStart w:id="33" w:name="_Toc125702928"/>
      <w:bookmarkStart w:id="34" w:name="_Toc125703278"/>
      <w:bookmarkStart w:id="35" w:name="_Toc131500327"/>
      <w:bookmarkStart w:id="36" w:name="_Toc131500544"/>
      <w:bookmarkStart w:id="37" w:name="_Toc131510976"/>
      <w:r>
        <w:rPr>
          <w:rStyle w:val="CharDivNo"/>
        </w:rPr>
        <w:t>Division 2</w:t>
      </w:r>
      <w:r>
        <w:t> — </w:t>
      </w:r>
      <w:r>
        <w:rPr>
          <w:rStyle w:val="CharDivText"/>
        </w:rPr>
        <w:t>Prohibitions in respect of carrying out prescribed building service</w:t>
      </w:r>
      <w:bookmarkEnd w:id="31"/>
      <w:bookmarkEnd w:id="32"/>
      <w:bookmarkEnd w:id="33"/>
      <w:bookmarkEnd w:id="34"/>
      <w:bookmarkEnd w:id="35"/>
      <w:bookmarkEnd w:id="36"/>
      <w:bookmarkEnd w:id="37"/>
    </w:p>
    <w:p>
      <w:pPr>
        <w:pStyle w:val="Heading5"/>
      </w:pPr>
      <w:bookmarkStart w:id="38" w:name="_Toc131510977"/>
      <w:r>
        <w:rPr>
          <w:rStyle w:val="CharSectno"/>
        </w:rPr>
        <w:t>7</w:t>
      </w:r>
      <w:r>
        <w:t>.</w:t>
      </w:r>
      <w:r>
        <w:tab/>
        <w:t>Carrying out prescribed building service when not registered</w:t>
      </w:r>
      <w:bookmarkEnd w:id="38"/>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lastRenderedPageBreak/>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39" w:name="_Toc124951070"/>
      <w:bookmarkStart w:id="40" w:name="_Toc125010697"/>
      <w:bookmarkStart w:id="41" w:name="_Toc125702930"/>
      <w:bookmarkStart w:id="42" w:name="_Toc125703280"/>
      <w:bookmarkStart w:id="43" w:name="_Toc131500329"/>
      <w:bookmarkStart w:id="44" w:name="_Toc131500546"/>
      <w:bookmarkStart w:id="45" w:name="_Toc131510978"/>
      <w:r>
        <w:rPr>
          <w:rStyle w:val="CharDivNo"/>
        </w:rPr>
        <w:lastRenderedPageBreak/>
        <w:t>Division 3</w:t>
      </w:r>
      <w:r>
        <w:t> — </w:t>
      </w:r>
      <w:r>
        <w:rPr>
          <w:rStyle w:val="CharDivText"/>
        </w:rPr>
        <w:t>Advertisements by building service contractors</w:t>
      </w:r>
      <w:bookmarkEnd w:id="39"/>
      <w:bookmarkEnd w:id="40"/>
      <w:bookmarkEnd w:id="41"/>
      <w:bookmarkEnd w:id="42"/>
      <w:bookmarkEnd w:id="43"/>
      <w:bookmarkEnd w:id="44"/>
      <w:bookmarkEnd w:id="45"/>
    </w:p>
    <w:p>
      <w:pPr>
        <w:pStyle w:val="Heading5"/>
      </w:pPr>
      <w:bookmarkStart w:id="46" w:name="_Toc131510979"/>
      <w:r>
        <w:rPr>
          <w:rStyle w:val="CharSectno"/>
        </w:rPr>
        <w:t>8</w:t>
      </w:r>
      <w:r>
        <w:t>.</w:t>
      </w:r>
      <w:r>
        <w:tab/>
        <w:t>Advertisements by building service contractor</w:t>
      </w:r>
      <w:bookmarkEnd w:id="46"/>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47" w:name="_Toc124951072"/>
      <w:bookmarkStart w:id="48" w:name="_Toc125010699"/>
      <w:bookmarkStart w:id="49" w:name="_Toc125702932"/>
      <w:bookmarkStart w:id="50" w:name="_Toc125703282"/>
      <w:bookmarkStart w:id="51" w:name="_Toc131500331"/>
      <w:bookmarkStart w:id="52" w:name="_Toc131500548"/>
      <w:bookmarkStart w:id="53" w:name="_Toc131510980"/>
      <w:r>
        <w:rPr>
          <w:rStyle w:val="CharPartNo"/>
        </w:rPr>
        <w:lastRenderedPageBreak/>
        <w:t>Part 3</w:t>
      </w:r>
      <w:r>
        <w:t> — </w:t>
      </w:r>
      <w:r>
        <w:rPr>
          <w:rStyle w:val="CharPartText"/>
        </w:rPr>
        <w:t>Registration of building service providers</w:t>
      </w:r>
      <w:bookmarkEnd w:id="47"/>
      <w:bookmarkEnd w:id="48"/>
      <w:bookmarkEnd w:id="49"/>
      <w:bookmarkEnd w:id="50"/>
      <w:bookmarkEnd w:id="51"/>
      <w:bookmarkEnd w:id="52"/>
      <w:bookmarkEnd w:id="53"/>
    </w:p>
    <w:p>
      <w:pPr>
        <w:pStyle w:val="Heading3"/>
      </w:pPr>
      <w:bookmarkStart w:id="54" w:name="_Toc124951073"/>
      <w:bookmarkStart w:id="55" w:name="_Toc125010700"/>
      <w:bookmarkStart w:id="56" w:name="_Toc125702933"/>
      <w:bookmarkStart w:id="57" w:name="_Toc125703283"/>
      <w:bookmarkStart w:id="58" w:name="_Toc131500332"/>
      <w:bookmarkStart w:id="59" w:name="_Toc131500549"/>
      <w:bookmarkStart w:id="60" w:name="_Toc131510981"/>
      <w:r>
        <w:rPr>
          <w:rStyle w:val="CharDivNo"/>
        </w:rPr>
        <w:t>Division 1</w:t>
      </w:r>
      <w:r>
        <w:t> — </w:t>
      </w:r>
      <w:r>
        <w:rPr>
          <w:rStyle w:val="CharDivText"/>
        </w:rPr>
        <w:t>Grant or renewal of registration</w:t>
      </w:r>
      <w:bookmarkEnd w:id="54"/>
      <w:bookmarkEnd w:id="55"/>
      <w:bookmarkEnd w:id="56"/>
      <w:bookmarkEnd w:id="57"/>
      <w:bookmarkEnd w:id="58"/>
      <w:bookmarkEnd w:id="59"/>
      <w:bookmarkEnd w:id="60"/>
    </w:p>
    <w:p>
      <w:pPr>
        <w:pStyle w:val="Heading5"/>
        <w:spacing w:before="120"/>
      </w:pPr>
      <w:bookmarkStart w:id="61" w:name="_Toc131510982"/>
      <w:r>
        <w:rPr>
          <w:rStyle w:val="CharSectno"/>
        </w:rPr>
        <w:t>9</w:t>
      </w:r>
      <w:r>
        <w:t>.</w:t>
      </w:r>
      <w:r>
        <w:tab/>
        <w:t>Classes of building service practitioner and building service contractor</w:t>
      </w:r>
      <w:bookmarkEnd w:id="61"/>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62" w:name="_Toc131510983"/>
      <w:r>
        <w:rPr>
          <w:rStyle w:val="CharSectno"/>
        </w:rPr>
        <w:t>10</w:t>
      </w:r>
      <w:r>
        <w:t>.</w:t>
      </w:r>
      <w:r>
        <w:tab/>
        <w:t>Effect of registration as building service practitioner</w:t>
      </w:r>
      <w:bookmarkEnd w:id="62"/>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63" w:name="_Toc131510984"/>
      <w:r>
        <w:rPr>
          <w:rStyle w:val="CharSectno"/>
        </w:rPr>
        <w:t>11</w:t>
      </w:r>
      <w:r>
        <w:t>.</w:t>
      </w:r>
      <w:r>
        <w:tab/>
        <w:t>Effect of registration as building service contractor</w:t>
      </w:r>
      <w:bookmarkEnd w:id="63"/>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64" w:name="_Toc131510985"/>
      <w:r>
        <w:rPr>
          <w:rStyle w:val="CharSectno"/>
        </w:rPr>
        <w:t>12</w:t>
      </w:r>
      <w:r>
        <w:t>.</w:t>
      </w:r>
      <w:r>
        <w:tab/>
        <w:t>Duration of registration</w:t>
      </w:r>
      <w:bookmarkEnd w:id="64"/>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lastRenderedPageBreak/>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65" w:name="_Toc131510986"/>
      <w:r>
        <w:rPr>
          <w:rStyle w:val="CharSectno"/>
        </w:rPr>
        <w:t>13</w:t>
      </w:r>
      <w:r>
        <w:t>.</w:t>
      </w:r>
      <w:r>
        <w:tab/>
        <w:t>Application for registration or renewal</w:t>
      </w:r>
      <w:bookmarkEnd w:id="65"/>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lastRenderedPageBreak/>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66" w:name="_Toc131510987"/>
      <w:r>
        <w:rPr>
          <w:rStyle w:val="CharSectno"/>
        </w:rPr>
        <w:t>14</w:t>
      </w:r>
      <w:r>
        <w:t>.</w:t>
      </w:r>
      <w:r>
        <w:tab/>
        <w:t>Further information</w:t>
      </w:r>
      <w:bookmarkEnd w:id="66"/>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67" w:name="_Toc131510988"/>
      <w:r>
        <w:rPr>
          <w:rStyle w:val="CharSectno"/>
        </w:rPr>
        <w:t>15</w:t>
      </w:r>
      <w:r>
        <w:t>.</w:t>
      </w:r>
      <w:r>
        <w:tab/>
        <w:t>Timing of application for renewal</w:t>
      </w:r>
      <w:bookmarkEnd w:id="67"/>
    </w:p>
    <w:p>
      <w:pPr>
        <w:pStyle w:val="Subsection"/>
      </w:pPr>
      <w:r>
        <w:tab/>
        <w:t>(1)</w:t>
      </w:r>
      <w:r>
        <w:tab/>
        <w:t xml:space="preserve">An application for the renewal of the registration of a registered building service provider in a class of building service practitioner or in a class of building service contractor is to be </w:t>
      </w:r>
      <w:r>
        <w:lastRenderedPageBreak/>
        <w:t>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68" w:name="_Toc131510989"/>
      <w:r>
        <w:rPr>
          <w:rStyle w:val="CharSectno"/>
        </w:rPr>
        <w:t>16</w:t>
      </w:r>
      <w:r>
        <w:t>.</w:t>
      </w:r>
      <w:r>
        <w:tab/>
        <w:t>Application for registration by a person whose registration has been cancelled</w:t>
      </w:r>
      <w:bookmarkEnd w:id="6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 xml:space="preserve">The Board cannot grant an application for registration by a disqualified person unless the Board has applied for, and </w:t>
      </w:r>
      <w:r>
        <w:lastRenderedPageBreak/>
        <w:t>obtained, the approval of the State Administrative Tribunal to do so.</w:t>
      </w:r>
    </w:p>
    <w:p>
      <w:pPr>
        <w:pStyle w:val="Heading5"/>
      </w:pPr>
      <w:bookmarkStart w:id="69" w:name="_Toc131510990"/>
      <w:r>
        <w:rPr>
          <w:rStyle w:val="CharSectno"/>
        </w:rPr>
        <w:t>17</w:t>
      </w:r>
      <w:r>
        <w:t>.</w:t>
      </w:r>
      <w:r>
        <w:tab/>
        <w:t>Registration of building service practitioners</w:t>
      </w:r>
      <w:bookmarkEnd w:id="69"/>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70" w:name="_Toc131510991"/>
      <w:r>
        <w:rPr>
          <w:rStyle w:val="CharSectno"/>
        </w:rPr>
        <w:t>18</w:t>
      </w:r>
      <w:r>
        <w:t>.</w:t>
      </w:r>
      <w:r>
        <w:tab/>
        <w:t>Registration of building service contractors</w:t>
      </w:r>
      <w:bookmarkEnd w:id="70"/>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lastRenderedPageBreak/>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(fa)</w:t>
      </w:r>
      <w:r>
        <w:tab/>
        <w:t>has paid any building service debt of a kind referred to in section 53(4) that the applicant has incurred;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Footnotesection"/>
      </w:pPr>
      <w:r>
        <w:tab/>
        <w:t>[Section 18 amended: No. 4 of 2021 s. 127.]</w:t>
      </w:r>
    </w:p>
    <w:p>
      <w:pPr>
        <w:pStyle w:val="Heading5"/>
      </w:pPr>
      <w:bookmarkStart w:id="71" w:name="_Toc131510992"/>
      <w:r>
        <w:rPr>
          <w:rStyle w:val="CharSectno"/>
        </w:rPr>
        <w:t>19</w:t>
      </w:r>
      <w:r>
        <w:t>.</w:t>
      </w:r>
      <w:r>
        <w:tab/>
        <w:t>Notice of decision</w:t>
      </w:r>
      <w:bookmarkEnd w:id="71"/>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72" w:name="_Toc131510993"/>
      <w:r>
        <w:rPr>
          <w:rStyle w:val="CharSectno"/>
        </w:rPr>
        <w:t>20</w:t>
      </w:r>
      <w:r>
        <w:t>.</w:t>
      </w:r>
      <w:r>
        <w:tab/>
        <w:t>Registration certificate</w:t>
      </w:r>
      <w:bookmarkEnd w:id="72"/>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lastRenderedPageBreak/>
        <w:tab/>
        <w:t>(2)</w:t>
      </w:r>
      <w:r>
        <w:tab/>
        <w:t>In the absence of evidence to the contrary a registration certificate is evidence that the person to whom the certificate is issued is registered as specified in the certificate.</w:t>
      </w:r>
    </w:p>
    <w:p>
      <w:pPr>
        <w:pStyle w:val="Heading3"/>
      </w:pPr>
      <w:bookmarkStart w:id="73" w:name="_Toc124951086"/>
      <w:bookmarkStart w:id="74" w:name="_Toc125010713"/>
      <w:bookmarkStart w:id="75" w:name="_Toc125702946"/>
      <w:bookmarkStart w:id="76" w:name="_Toc125703296"/>
      <w:bookmarkStart w:id="77" w:name="_Toc131500345"/>
      <w:bookmarkStart w:id="78" w:name="_Toc131500562"/>
      <w:bookmarkStart w:id="79" w:name="_Toc131510994"/>
      <w:r>
        <w:rPr>
          <w:rStyle w:val="CharDivNo"/>
        </w:rPr>
        <w:t>Division 2</w:t>
      </w:r>
      <w:r>
        <w:t> — </w:t>
      </w:r>
      <w:r>
        <w:rPr>
          <w:rStyle w:val="CharDivText"/>
        </w:rPr>
        <w:t>Nominated supervisors</w:t>
      </w:r>
      <w:bookmarkEnd w:id="73"/>
      <w:bookmarkEnd w:id="74"/>
      <w:bookmarkEnd w:id="75"/>
      <w:bookmarkEnd w:id="76"/>
      <w:bookmarkEnd w:id="77"/>
      <w:bookmarkEnd w:id="78"/>
      <w:bookmarkEnd w:id="79"/>
    </w:p>
    <w:p>
      <w:pPr>
        <w:pStyle w:val="Heading5"/>
      </w:pPr>
      <w:bookmarkStart w:id="80" w:name="_Toc131510995"/>
      <w:r>
        <w:rPr>
          <w:rStyle w:val="CharSectno"/>
        </w:rPr>
        <w:t>21</w:t>
      </w:r>
      <w:r>
        <w:t>.</w:t>
      </w:r>
      <w:r>
        <w:tab/>
        <w:t>Nominated supervisor for building service contractor</w:t>
      </w:r>
      <w:bookmarkEnd w:id="80"/>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81" w:name="_Toc131510996"/>
      <w:r>
        <w:rPr>
          <w:rStyle w:val="CharSectno"/>
        </w:rPr>
        <w:t>22</w:t>
      </w:r>
      <w:r>
        <w:t>.</w:t>
      </w:r>
      <w:r>
        <w:tab/>
        <w:t>Effect of not having nominated supervisor</w:t>
      </w:r>
      <w:bookmarkEnd w:id="81"/>
    </w:p>
    <w:p>
      <w:pPr>
        <w:pStyle w:val="Subsection"/>
      </w:pPr>
      <w:r>
        <w:tab/>
        <w:t>(1)</w:t>
      </w:r>
      <w:r>
        <w:tab/>
        <w:t xml:space="preserve">In this section — </w:t>
      </w:r>
    </w:p>
    <w:p>
      <w:pPr>
        <w:pStyle w:val="Defstart"/>
      </w:pPr>
      <w:r>
        <w:tab/>
      </w:r>
      <w:r>
        <w:rPr>
          <w:rStyle w:val="CharDefText"/>
        </w:rPr>
        <w:t>relevant building service</w:t>
      </w:r>
      <w:r>
        <w:t xml:space="preserve">, in relation to a class of building service contractor, means a prescribed building service that a </w:t>
      </w:r>
      <w:r>
        <w:lastRenderedPageBreak/>
        <w:t>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82" w:name="_Toc124951089"/>
      <w:bookmarkStart w:id="83" w:name="_Toc125010716"/>
      <w:bookmarkStart w:id="84" w:name="_Toc125702949"/>
      <w:bookmarkStart w:id="85" w:name="_Toc125703299"/>
      <w:bookmarkStart w:id="86" w:name="_Toc131500348"/>
      <w:bookmarkStart w:id="87" w:name="_Toc131500565"/>
      <w:bookmarkStart w:id="88" w:name="_Toc131510997"/>
      <w:r>
        <w:rPr>
          <w:rStyle w:val="CharDivNo"/>
        </w:rPr>
        <w:t>Division 3</w:t>
      </w:r>
      <w:r>
        <w:t> — </w:t>
      </w:r>
      <w:r>
        <w:rPr>
          <w:rStyle w:val="CharDivText"/>
        </w:rPr>
        <w:t>Conditions on registration</w:t>
      </w:r>
      <w:bookmarkEnd w:id="82"/>
      <w:bookmarkEnd w:id="83"/>
      <w:bookmarkEnd w:id="84"/>
      <w:bookmarkEnd w:id="85"/>
      <w:bookmarkEnd w:id="86"/>
      <w:bookmarkEnd w:id="87"/>
      <w:bookmarkEnd w:id="88"/>
    </w:p>
    <w:p>
      <w:pPr>
        <w:pStyle w:val="Heading5"/>
      </w:pPr>
      <w:bookmarkStart w:id="89" w:name="_Toc131510998"/>
      <w:r>
        <w:rPr>
          <w:rStyle w:val="CharSectno"/>
        </w:rPr>
        <w:t>23</w:t>
      </w:r>
      <w:r>
        <w:t>.</w:t>
      </w:r>
      <w:r>
        <w:tab/>
        <w:t>Conditions generally</w:t>
      </w:r>
      <w:bookmarkEnd w:id="89"/>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90" w:name="_Toc131510999"/>
      <w:r>
        <w:rPr>
          <w:rStyle w:val="CharSectno"/>
        </w:rPr>
        <w:t>24</w:t>
      </w:r>
      <w:r>
        <w:t>.</w:t>
      </w:r>
      <w:r>
        <w:tab/>
        <w:t>Conditions imposed by Board</w:t>
      </w:r>
      <w:bookmarkEnd w:id="90"/>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lastRenderedPageBreak/>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91" w:name="_Toc131511000"/>
      <w:r>
        <w:rPr>
          <w:rStyle w:val="CharSectno"/>
        </w:rPr>
        <w:t>25</w:t>
      </w:r>
      <w:r>
        <w:t>.</w:t>
      </w:r>
      <w:r>
        <w:tab/>
        <w:t>Compliance with conditions</w:t>
      </w:r>
      <w:bookmarkEnd w:id="91"/>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92" w:name="_Toc124951093"/>
      <w:bookmarkStart w:id="93" w:name="_Toc125010720"/>
      <w:bookmarkStart w:id="94" w:name="_Toc125702953"/>
      <w:bookmarkStart w:id="95" w:name="_Toc125703303"/>
      <w:bookmarkStart w:id="96" w:name="_Toc131500352"/>
      <w:bookmarkStart w:id="97" w:name="_Toc131500569"/>
      <w:bookmarkStart w:id="98" w:name="_Toc131511001"/>
      <w:r>
        <w:rPr>
          <w:rStyle w:val="CharDivNo"/>
        </w:rPr>
        <w:t>Division 4</w:t>
      </w:r>
      <w:r>
        <w:t> — </w:t>
      </w:r>
      <w:r>
        <w:rPr>
          <w:rStyle w:val="CharDivText"/>
        </w:rPr>
        <w:t>Amendment, suspension or cancellation of registration</w:t>
      </w:r>
      <w:bookmarkEnd w:id="92"/>
      <w:bookmarkEnd w:id="93"/>
      <w:bookmarkEnd w:id="94"/>
      <w:bookmarkEnd w:id="95"/>
      <w:bookmarkEnd w:id="96"/>
      <w:bookmarkEnd w:id="97"/>
      <w:bookmarkEnd w:id="98"/>
    </w:p>
    <w:p>
      <w:pPr>
        <w:pStyle w:val="Heading5"/>
      </w:pPr>
      <w:bookmarkStart w:id="99" w:name="_Toc131511002"/>
      <w:r>
        <w:rPr>
          <w:rStyle w:val="CharSectno"/>
        </w:rPr>
        <w:t>26</w:t>
      </w:r>
      <w:r>
        <w:t>.</w:t>
      </w:r>
      <w:r>
        <w:tab/>
        <w:t>When Board may amend, suspend or cancel registration</w:t>
      </w:r>
      <w:bookmarkEnd w:id="99"/>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keepNext/>
      </w:pPr>
      <w:r>
        <w:lastRenderedPageBreak/>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00" w:name="_Toc131511003"/>
      <w:r>
        <w:rPr>
          <w:rStyle w:val="CharSectno"/>
        </w:rPr>
        <w:t>27</w:t>
      </w:r>
      <w:r>
        <w:t>.</w:t>
      </w:r>
      <w:r>
        <w:tab/>
        <w:t>Suspension of registration: effect</w:t>
      </w:r>
      <w:bookmarkEnd w:id="100"/>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01" w:name="_Toc131511004"/>
      <w:r>
        <w:rPr>
          <w:rStyle w:val="CharSectno"/>
        </w:rPr>
        <w:t>28</w:t>
      </w:r>
      <w:r>
        <w:t>.</w:t>
      </w:r>
      <w:r>
        <w:tab/>
        <w:t>Revocation of suspension</w:t>
      </w:r>
      <w:bookmarkEnd w:id="101"/>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lastRenderedPageBreak/>
        <w:tab/>
        <w:t>(5)</w:t>
      </w:r>
      <w:r>
        <w:tab/>
        <w:t>The Board must not revoke a suspension imposed by the State Administrative Tribunal unless the Board has applied for, and obtained, the approval of the Tribunal to do so.</w:t>
      </w:r>
    </w:p>
    <w:p>
      <w:pPr>
        <w:pStyle w:val="Heading3"/>
      </w:pPr>
      <w:bookmarkStart w:id="102" w:name="_Toc124951097"/>
      <w:bookmarkStart w:id="103" w:name="_Toc125010724"/>
      <w:bookmarkStart w:id="104" w:name="_Toc125702957"/>
      <w:bookmarkStart w:id="105" w:name="_Toc125703307"/>
      <w:bookmarkStart w:id="106" w:name="_Toc131500356"/>
      <w:bookmarkStart w:id="107" w:name="_Toc131500573"/>
      <w:bookmarkStart w:id="108" w:name="_Toc131511005"/>
      <w:r>
        <w:rPr>
          <w:rStyle w:val="CharDivNo"/>
        </w:rPr>
        <w:t>Division 5</w:t>
      </w:r>
      <w:r>
        <w:t> — </w:t>
      </w:r>
      <w:r>
        <w:rPr>
          <w:rStyle w:val="CharDivText"/>
        </w:rPr>
        <w:t>Register</w:t>
      </w:r>
      <w:bookmarkEnd w:id="102"/>
      <w:bookmarkEnd w:id="103"/>
      <w:bookmarkEnd w:id="104"/>
      <w:bookmarkEnd w:id="105"/>
      <w:bookmarkEnd w:id="106"/>
      <w:bookmarkEnd w:id="107"/>
      <w:bookmarkEnd w:id="108"/>
    </w:p>
    <w:p>
      <w:pPr>
        <w:pStyle w:val="Heading5"/>
      </w:pPr>
      <w:bookmarkStart w:id="109" w:name="_Toc131511006"/>
      <w:r>
        <w:rPr>
          <w:rStyle w:val="CharSectno"/>
        </w:rPr>
        <w:t>29</w:t>
      </w:r>
      <w:r>
        <w:t>.</w:t>
      </w:r>
      <w:r>
        <w:tab/>
        <w:t>The register</w:t>
      </w:r>
      <w:bookmarkEnd w:id="109"/>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lastRenderedPageBreak/>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10" w:name="_Toc131511007"/>
      <w:r>
        <w:rPr>
          <w:rStyle w:val="CharSectno"/>
        </w:rPr>
        <w:t>30</w:t>
      </w:r>
      <w:r>
        <w:t>.</w:t>
      </w:r>
      <w:r>
        <w:tab/>
        <w:t>Inspection of register</w:t>
      </w:r>
      <w:bookmarkEnd w:id="110"/>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 xml:space="preserve">A person may, on application to the Building Commissioner in respect of the register or an entry in the register, and payment of </w:t>
      </w:r>
      <w:r>
        <w:lastRenderedPageBreak/>
        <w:t>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11" w:name="_Toc131511008"/>
      <w:r>
        <w:rPr>
          <w:rStyle w:val="CharSectno"/>
        </w:rPr>
        <w:t>31</w:t>
      </w:r>
      <w:r>
        <w:t>.</w:t>
      </w:r>
      <w:r>
        <w:tab/>
        <w:t>Board to provide register information</w:t>
      </w:r>
      <w:bookmarkEnd w:id="111"/>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12" w:name="_Toc124951101"/>
      <w:bookmarkStart w:id="113" w:name="_Toc125010728"/>
      <w:bookmarkStart w:id="114" w:name="_Toc125702961"/>
      <w:bookmarkStart w:id="115" w:name="_Toc125703311"/>
      <w:bookmarkStart w:id="116" w:name="_Toc131500360"/>
      <w:bookmarkStart w:id="117" w:name="_Toc131500577"/>
      <w:bookmarkStart w:id="118" w:name="_Toc131511009"/>
      <w:r>
        <w:rPr>
          <w:rStyle w:val="CharDivNo"/>
        </w:rPr>
        <w:t>Division 6</w:t>
      </w:r>
      <w:r>
        <w:t> — </w:t>
      </w:r>
      <w:r>
        <w:rPr>
          <w:rStyle w:val="CharDivText"/>
        </w:rPr>
        <w:t>Offences in relation to registration</w:t>
      </w:r>
      <w:bookmarkEnd w:id="112"/>
      <w:bookmarkEnd w:id="113"/>
      <w:bookmarkEnd w:id="114"/>
      <w:bookmarkEnd w:id="115"/>
      <w:bookmarkEnd w:id="116"/>
      <w:bookmarkEnd w:id="117"/>
      <w:bookmarkEnd w:id="118"/>
    </w:p>
    <w:p>
      <w:pPr>
        <w:pStyle w:val="Heading5"/>
      </w:pPr>
      <w:bookmarkStart w:id="119" w:name="_Toc131511010"/>
      <w:r>
        <w:rPr>
          <w:rStyle w:val="CharSectno"/>
        </w:rPr>
        <w:t>32</w:t>
      </w:r>
      <w:r>
        <w:t>.</w:t>
      </w:r>
      <w:r>
        <w:tab/>
        <w:t>Notification of change of address</w:t>
      </w:r>
      <w:bookmarkEnd w:id="119"/>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20" w:name="_Toc75354345"/>
      <w:bookmarkStart w:id="121" w:name="_Toc75534795"/>
      <w:bookmarkStart w:id="122" w:name="_Toc131511011"/>
      <w:r>
        <w:rPr>
          <w:rStyle w:val="CharSectno"/>
        </w:rPr>
        <w:t>32A</w:t>
      </w:r>
      <w:r>
        <w:t>.</w:t>
      </w:r>
      <w:r>
        <w:tab/>
        <w:t>Notification of new directors</w:t>
      </w:r>
      <w:bookmarkEnd w:id="120"/>
      <w:bookmarkEnd w:id="121"/>
      <w:bookmarkEnd w:id="122"/>
    </w:p>
    <w:p>
      <w:pPr>
        <w:pStyle w:val="Subsection"/>
      </w:pPr>
      <w:r>
        <w:tab/>
        <w:t>(1)</w:t>
      </w:r>
      <w:r>
        <w:tab/>
        <w:t xml:space="preserve">In this section — </w:t>
      </w:r>
    </w:p>
    <w:p>
      <w:pPr>
        <w:pStyle w:val="Defstart"/>
      </w:pPr>
      <w:r>
        <w:tab/>
      </w:r>
      <w:r>
        <w:rPr>
          <w:rStyle w:val="CharDefText"/>
        </w:rPr>
        <w:t>director</w:t>
      </w:r>
      <w:r>
        <w:t>, of a body, has the meaning given in the Corporations Act section 9.</w:t>
      </w:r>
    </w:p>
    <w:p>
      <w:pPr>
        <w:pStyle w:val="Subsection"/>
      </w:pPr>
      <w:r>
        <w:tab/>
        <w:t>(2)</w:t>
      </w:r>
      <w:r>
        <w:tab/>
        <w:t>A body that is a building service contractor must give the Board written notice of the appointment of any new director of the body.</w:t>
      </w:r>
    </w:p>
    <w:p>
      <w:pPr>
        <w:pStyle w:val="Penstart"/>
      </w:pPr>
      <w:r>
        <w:tab/>
        <w:t>Penalty for this subsection: a fine of $5 000.</w:t>
      </w:r>
    </w:p>
    <w:p>
      <w:pPr>
        <w:pStyle w:val="Subsection"/>
      </w:pPr>
      <w:r>
        <w:tab/>
        <w:t>(3)</w:t>
      </w:r>
      <w:r>
        <w:tab/>
        <w:t>The notice referred to in subsection (2) must be given no later than 7 days after the day on which the new director is appointed and must include any information prescribed by the regulations.</w:t>
      </w:r>
    </w:p>
    <w:p>
      <w:pPr>
        <w:pStyle w:val="Footnotesection"/>
      </w:pPr>
      <w:r>
        <w:tab/>
        <w:t>[Section 32A inserted: No. 4 of 2021 s. 128.]</w:t>
      </w:r>
    </w:p>
    <w:p>
      <w:pPr>
        <w:pStyle w:val="Heading5"/>
      </w:pPr>
      <w:bookmarkStart w:id="123" w:name="_Toc131511012"/>
      <w:r>
        <w:rPr>
          <w:rStyle w:val="CharSectno"/>
        </w:rPr>
        <w:lastRenderedPageBreak/>
        <w:t>33</w:t>
      </w:r>
      <w:r>
        <w:t>.</w:t>
      </w:r>
      <w:r>
        <w:tab/>
        <w:t>Notification of change in eligibility</w:t>
      </w:r>
      <w:bookmarkEnd w:id="123"/>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24" w:name="_Toc131511013"/>
      <w:r>
        <w:rPr>
          <w:rStyle w:val="CharSectno"/>
        </w:rPr>
        <w:t>34</w:t>
      </w:r>
      <w:r>
        <w:t>.</w:t>
      </w:r>
      <w:r>
        <w:tab/>
        <w:t>Notification of financial difficulty</w:t>
      </w:r>
      <w:bookmarkEnd w:id="124"/>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25" w:name="_Toc131511014"/>
      <w:r>
        <w:rPr>
          <w:rStyle w:val="CharSectno"/>
        </w:rPr>
        <w:t>35</w:t>
      </w:r>
      <w:r>
        <w:t>.</w:t>
      </w:r>
      <w:r>
        <w:tab/>
        <w:t>Notification of certain offences</w:t>
      </w:r>
      <w:bookmarkEnd w:id="125"/>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 xml:space="preserve">A registered building service provider must give the Board written notice if the provider is convicted of an offence against a </w:t>
      </w:r>
      <w:r>
        <w:lastRenderedPageBreak/>
        <w:t>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26" w:name="_Toc131511015"/>
      <w:r>
        <w:rPr>
          <w:rStyle w:val="CharSectno"/>
        </w:rPr>
        <w:t>36</w:t>
      </w:r>
      <w:r>
        <w:t>.</w:t>
      </w:r>
      <w:r>
        <w:tab/>
        <w:t>Notification of disciplinary action</w:t>
      </w:r>
      <w:bookmarkEnd w:id="126"/>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127" w:name="_Toc131511016"/>
      <w:r>
        <w:rPr>
          <w:rStyle w:val="CharSectno"/>
        </w:rPr>
        <w:t>37</w:t>
      </w:r>
      <w:r>
        <w:t>.</w:t>
      </w:r>
      <w:r>
        <w:tab/>
        <w:t>Return of registration certificate</w:t>
      </w:r>
      <w:bookmarkEnd w:id="127"/>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keepNext/>
      </w:pPr>
      <w:r>
        <w:lastRenderedPageBreak/>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28" w:name="_Toc124951108"/>
      <w:bookmarkStart w:id="129" w:name="_Toc125010736"/>
      <w:bookmarkStart w:id="130" w:name="_Toc125702969"/>
      <w:bookmarkStart w:id="131" w:name="_Toc125703319"/>
      <w:bookmarkStart w:id="132" w:name="_Toc131500368"/>
      <w:bookmarkStart w:id="133" w:name="_Toc131500585"/>
      <w:bookmarkStart w:id="134" w:name="_Toc131511017"/>
      <w:r>
        <w:rPr>
          <w:rStyle w:val="CharPartNo"/>
        </w:rPr>
        <w:lastRenderedPageBreak/>
        <w:t>Part 4</w:t>
      </w:r>
      <w:r>
        <w:t> — </w:t>
      </w:r>
      <w:r>
        <w:rPr>
          <w:rStyle w:val="CharPartText"/>
        </w:rPr>
        <w:t>Owner</w:t>
      </w:r>
      <w:r>
        <w:rPr>
          <w:rStyle w:val="CharPartText"/>
        </w:rPr>
        <w:noBreakHyphen/>
        <w:t>builder approvals</w:t>
      </w:r>
      <w:bookmarkEnd w:id="128"/>
      <w:bookmarkEnd w:id="129"/>
      <w:bookmarkEnd w:id="130"/>
      <w:bookmarkEnd w:id="131"/>
      <w:bookmarkEnd w:id="132"/>
      <w:bookmarkEnd w:id="133"/>
      <w:bookmarkEnd w:id="134"/>
    </w:p>
    <w:p>
      <w:pPr>
        <w:pStyle w:val="Heading3"/>
      </w:pPr>
      <w:bookmarkStart w:id="135" w:name="_Toc124951109"/>
      <w:bookmarkStart w:id="136" w:name="_Toc125010737"/>
      <w:bookmarkStart w:id="137" w:name="_Toc125702970"/>
      <w:bookmarkStart w:id="138" w:name="_Toc125703320"/>
      <w:bookmarkStart w:id="139" w:name="_Toc131500369"/>
      <w:bookmarkStart w:id="140" w:name="_Toc131500586"/>
      <w:bookmarkStart w:id="141" w:name="_Toc131511018"/>
      <w:r>
        <w:rPr>
          <w:rStyle w:val="CharDivNo"/>
        </w:rPr>
        <w:t>Division 1</w:t>
      </w:r>
      <w:r>
        <w:t> — </w:t>
      </w:r>
      <w:r>
        <w:rPr>
          <w:rStyle w:val="CharDivText"/>
        </w:rPr>
        <w:t>Preliminary</w:t>
      </w:r>
      <w:bookmarkEnd w:id="135"/>
      <w:bookmarkEnd w:id="136"/>
      <w:bookmarkEnd w:id="137"/>
      <w:bookmarkEnd w:id="138"/>
      <w:bookmarkEnd w:id="139"/>
      <w:bookmarkEnd w:id="140"/>
      <w:bookmarkEnd w:id="141"/>
    </w:p>
    <w:p>
      <w:pPr>
        <w:pStyle w:val="Heading5"/>
      </w:pPr>
      <w:bookmarkStart w:id="142" w:name="_Toc131511019"/>
      <w:r>
        <w:rPr>
          <w:rStyle w:val="CharSectno"/>
        </w:rPr>
        <w:t>38</w:t>
      </w:r>
      <w:r>
        <w:t>.</w:t>
      </w:r>
      <w:r>
        <w:tab/>
        <w:t>Terms used</w:t>
      </w:r>
      <w:bookmarkEnd w:id="142"/>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43" w:name="_Toc131511020"/>
      <w:r>
        <w:rPr>
          <w:rStyle w:val="CharSectno"/>
        </w:rPr>
        <w:t>39</w:t>
      </w:r>
      <w:r>
        <w:t>.</w:t>
      </w:r>
      <w:r>
        <w:tab/>
        <w:t>Meaning of owner</w:t>
      </w:r>
      <w:bookmarkEnd w:id="143"/>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44" w:name="_Toc131511021"/>
      <w:r>
        <w:rPr>
          <w:rStyle w:val="CharSectno"/>
        </w:rPr>
        <w:t>40</w:t>
      </w:r>
      <w:r>
        <w:t>.</w:t>
      </w:r>
      <w:r>
        <w:tab/>
        <w:t>When owner</w:t>
      </w:r>
      <w:r>
        <w:noBreakHyphen/>
        <w:t>builder approval may be applied for</w:t>
      </w:r>
      <w:bookmarkEnd w:id="144"/>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keepNext/>
      </w:pPr>
      <w:r>
        <w:lastRenderedPageBreak/>
        <w:tab/>
        <w:t>(2)</w:t>
      </w:r>
      <w:r>
        <w:tab/>
        <w:t>An owner</w:t>
      </w:r>
      <w:r>
        <w:noBreakHyphen/>
        <w:t>builder approval cannot be granted to an owner who is not an individual.</w:t>
      </w:r>
    </w:p>
    <w:p>
      <w:pPr>
        <w:pStyle w:val="Heading5"/>
      </w:pPr>
      <w:bookmarkStart w:id="145" w:name="_Toc131511022"/>
      <w:r>
        <w:rPr>
          <w:rStyle w:val="CharSectno"/>
        </w:rPr>
        <w:t>41</w:t>
      </w:r>
      <w:r>
        <w:t>.</w:t>
      </w:r>
      <w:r>
        <w:tab/>
        <w:t>Application by more than one person</w:t>
      </w:r>
      <w:bookmarkEnd w:id="145"/>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46" w:name="_Toc131511023"/>
      <w:r>
        <w:rPr>
          <w:rStyle w:val="CharSectno"/>
        </w:rPr>
        <w:t>42</w:t>
      </w:r>
      <w:r>
        <w:t>.</w:t>
      </w:r>
      <w:r>
        <w:tab/>
        <w:t>Approval issued to more than one person</w:t>
      </w:r>
      <w:bookmarkEnd w:id="146"/>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47" w:name="_Toc124951115"/>
      <w:bookmarkStart w:id="148" w:name="_Toc125010743"/>
      <w:bookmarkStart w:id="149" w:name="_Toc125702976"/>
      <w:bookmarkStart w:id="150" w:name="_Toc125703326"/>
      <w:bookmarkStart w:id="151" w:name="_Toc131500375"/>
      <w:bookmarkStart w:id="152" w:name="_Toc131500592"/>
      <w:bookmarkStart w:id="153" w:name="_Toc131511024"/>
      <w:r>
        <w:rPr>
          <w:rStyle w:val="CharDivNo"/>
        </w:rPr>
        <w:t>Division 2</w:t>
      </w:r>
      <w:r>
        <w:t> — </w:t>
      </w:r>
      <w:r>
        <w:rPr>
          <w:rStyle w:val="CharDivText"/>
        </w:rPr>
        <w:t>Grant of approval</w:t>
      </w:r>
      <w:bookmarkEnd w:id="147"/>
      <w:bookmarkEnd w:id="148"/>
      <w:bookmarkEnd w:id="149"/>
      <w:bookmarkEnd w:id="150"/>
      <w:bookmarkEnd w:id="151"/>
      <w:bookmarkEnd w:id="152"/>
      <w:bookmarkEnd w:id="153"/>
    </w:p>
    <w:p>
      <w:pPr>
        <w:pStyle w:val="Heading5"/>
      </w:pPr>
      <w:bookmarkStart w:id="154" w:name="_Toc131511025"/>
      <w:r>
        <w:rPr>
          <w:rStyle w:val="CharSectno"/>
        </w:rPr>
        <w:t>43</w:t>
      </w:r>
      <w:r>
        <w:t>.</w:t>
      </w:r>
      <w:r>
        <w:tab/>
        <w:t>Application for owner</w:t>
      </w:r>
      <w:r>
        <w:noBreakHyphen/>
        <w:t>builder approval</w:t>
      </w:r>
      <w:bookmarkEnd w:id="154"/>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lastRenderedPageBreak/>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55" w:name="_Toc131511026"/>
      <w:r>
        <w:rPr>
          <w:rStyle w:val="CharSectno"/>
        </w:rPr>
        <w:t>44</w:t>
      </w:r>
      <w:r>
        <w:t>.</w:t>
      </w:r>
      <w:r>
        <w:tab/>
        <w:t>Further information</w:t>
      </w:r>
      <w:bookmarkEnd w:id="155"/>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56" w:name="_Toc131511027"/>
      <w:r>
        <w:rPr>
          <w:rStyle w:val="CharSectno"/>
        </w:rPr>
        <w:lastRenderedPageBreak/>
        <w:t>45</w:t>
      </w:r>
      <w:r>
        <w:t>.</w:t>
      </w:r>
      <w:r>
        <w:tab/>
        <w:t>Decision on application for approval</w:t>
      </w:r>
      <w:bookmarkEnd w:id="156"/>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57" w:name="_Toc131511028"/>
      <w:r>
        <w:rPr>
          <w:rStyle w:val="CharSectno"/>
        </w:rPr>
        <w:lastRenderedPageBreak/>
        <w:t>46</w:t>
      </w:r>
      <w:r>
        <w:t>.</w:t>
      </w:r>
      <w:r>
        <w:tab/>
        <w:t>Duration of approval</w:t>
      </w:r>
      <w:bookmarkEnd w:id="157"/>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58" w:name="_Toc124951120"/>
      <w:bookmarkStart w:id="159" w:name="_Toc125010748"/>
      <w:bookmarkStart w:id="160" w:name="_Toc125702981"/>
      <w:bookmarkStart w:id="161" w:name="_Toc125703331"/>
      <w:bookmarkStart w:id="162" w:name="_Toc131500380"/>
      <w:bookmarkStart w:id="163" w:name="_Toc131500597"/>
      <w:bookmarkStart w:id="164" w:name="_Toc131511029"/>
      <w:r>
        <w:rPr>
          <w:rStyle w:val="CharDivNo"/>
        </w:rPr>
        <w:t>Division 3</w:t>
      </w:r>
      <w:r>
        <w:t> — </w:t>
      </w:r>
      <w:r>
        <w:rPr>
          <w:rStyle w:val="CharDivText"/>
        </w:rPr>
        <w:t>Conditions on approval</w:t>
      </w:r>
      <w:bookmarkEnd w:id="158"/>
      <w:bookmarkEnd w:id="159"/>
      <w:bookmarkEnd w:id="160"/>
      <w:bookmarkEnd w:id="161"/>
      <w:bookmarkEnd w:id="162"/>
      <w:bookmarkEnd w:id="163"/>
      <w:bookmarkEnd w:id="164"/>
    </w:p>
    <w:p>
      <w:pPr>
        <w:pStyle w:val="Heading5"/>
      </w:pPr>
      <w:bookmarkStart w:id="165" w:name="_Toc131511030"/>
      <w:r>
        <w:rPr>
          <w:rStyle w:val="CharSectno"/>
        </w:rPr>
        <w:t>47</w:t>
      </w:r>
      <w:r>
        <w:t>.</w:t>
      </w:r>
      <w:r>
        <w:tab/>
        <w:t>Conditions of owner</w:t>
      </w:r>
      <w:r>
        <w:noBreakHyphen/>
        <w:t>builder approval</w:t>
      </w:r>
      <w:bookmarkEnd w:id="165"/>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66" w:name="_Toc131511031"/>
      <w:r>
        <w:rPr>
          <w:rStyle w:val="CharSectno"/>
        </w:rPr>
        <w:t>48</w:t>
      </w:r>
      <w:r>
        <w:t>.</w:t>
      </w:r>
      <w:r>
        <w:tab/>
        <w:t>Conditions imposed by Board</w:t>
      </w:r>
      <w:bookmarkEnd w:id="166"/>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lastRenderedPageBreak/>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67" w:name="_Toc131511032"/>
      <w:r>
        <w:rPr>
          <w:rStyle w:val="CharSectno"/>
        </w:rPr>
        <w:t>49</w:t>
      </w:r>
      <w:r>
        <w:t>.</w:t>
      </w:r>
      <w:r>
        <w:tab/>
        <w:t>Compliance with conditions</w:t>
      </w:r>
      <w:bookmarkEnd w:id="167"/>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68" w:name="_Toc124951124"/>
      <w:bookmarkStart w:id="169" w:name="_Toc125010752"/>
      <w:bookmarkStart w:id="170" w:name="_Toc125702985"/>
      <w:bookmarkStart w:id="171" w:name="_Toc125703335"/>
      <w:bookmarkStart w:id="172" w:name="_Toc131500384"/>
      <w:bookmarkStart w:id="173" w:name="_Toc131500601"/>
      <w:bookmarkStart w:id="174" w:name="_Toc131511033"/>
      <w:r>
        <w:rPr>
          <w:rStyle w:val="CharDivNo"/>
        </w:rPr>
        <w:t>Division 4</w:t>
      </w:r>
      <w:r>
        <w:t> — </w:t>
      </w:r>
      <w:r>
        <w:rPr>
          <w:rStyle w:val="CharDivText"/>
        </w:rPr>
        <w:t>Role of Board in respect of complaint about owner</w:t>
      </w:r>
      <w:r>
        <w:rPr>
          <w:rStyle w:val="CharDivText"/>
        </w:rPr>
        <w:noBreakHyphen/>
        <w:t>builder</w:t>
      </w:r>
      <w:bookmarkEnd w:id="168"/>
      <w:bookmarkEnd w:id="169"/>
      <w:bookmarkEnd w:id="170"/>
      <w:bookmarkEnd w:id="171"/>
      <w:bookmarkEnd w:id="172"/>
      <w:bookmarkEnd w:id="173"/>
      <w:bookmarkEnd w:id="174"/>
    </w:p>
    <w:p>
      <w:pPr>
        <w:pStyle w:val="Heading5"/>
      </w:pPr>
      <w:bookmarkStart w:id="175" w:name="_Toc131511034"/>
      <w:r>
        <w:rPr>
          <w:rStyle w:val="CharSectno"/>
        </w:rPr>
        <w:t>50</w:t>
      </w:r>
      <w:r>
        <w:t>.</w:t>
      </w:r>
      <w:r>
        <w:tab/>
        <w:t>Grounds for cancellation of approval</w:t>
      </w:r>
      <w:bookmarkEnd w:id="175"/>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76" w:name="_Toc131511035"/>
      <w:r>
        <w:rPr>
          <w:rStyle w:val="CharSectno"/>
        </w:rPr>
        <w:t>51</w:t>
      </w:r>
      <w:r>
        <w:t>.</w:t>
      </w:r>
      <w:r>
        <w:tab/>
        <w:t>Board to decide what action to take in respect of complaint forwarded by Building Commission</w:t>
      </w:r>
      <w:bookmarkEnd w:id="176"/>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lastRenderedPageBreak/>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77" w:name="_Toc124951127"/>
      <w:bookmarkStart w:id="178" w:name="_Toc125010755"/>
      <w:bookmarkStart w:id="179" w:name="_Toc125702988"/>
      <w:bookmarkStart w:id="180" w:name="_Toc125703338"/>
      <w:bookmarkStart w:id="181" w:name="_Toc131500387"/>
      <w:bookmarkStart w:id="182" w:name="_Toc131500604"/>
      <w:bookmarkStart w:id="183" w:name="_Toc131511036"/>
      <w:r>
        <w:rPr>
          <w:rStyle w:val="CharPartNo"/>
        </w:rPr>
        <w:lastRenderedPageBreak/>
        <w:t>Part 5</w:t>
      </w:r>
      <w:r>
        <w:t> — </w:t>
      </w:r>
      <w:r>
        <w:rPr>
          <w:rStyle w:val="CharPartText"/>
        </w:rPr>
        <w:t>Disciplinary matters — registered building service providers</w:t>
      </w:r>
      <w:bookmarkEnd w:id="177"/>
      <w:bookmarkEnd w:id="178"/>
      <w:bookmarkEnd w:id="179"/>
      <w:bookmarkEnd w:id="180"/>
      <w:bookmarkEnd w:id="181"/>
      <w:bookmarkEnd w:id="182"/>
      <w:bookmarkEnd w:id="183"/>
    </w:p>
    <w:p>
      <w:pPr>
        <w:pStyle w:val="Heading3"/>
      </w:pPr>
      <w:bookmarkStart w:id="184" w:name="_Toc124951128"/>
      <w:bookmarkStart w:id="185" w:name="_Toc125010756"/>
      <w:bookmarkStart w:id="186" w:name="_Toc125702989"/>
      <w:bookmarkStart w:id="187" w:name="_Toc125703339"/>
      <w:bookmarkStart w:id="188" w:name="_Toc131500388"/>
      <w:bookmarkStart w:id="189" w:name="_Toc131500605"/>
      <w:bookmarkStart w:id="190" w:name="_Toc131511037"/>
      <w:r>
        <w:rPr>
          <w:rStyle w:val="CharDivNo"/>
        </w:rPr>
        <w:t>Division 1</w:t>
      </w:r>
      <w:r>
        <w:t> — </w:t>
      </w:r>
      <w:r>
        <w:rPr>
          <w:rStyle w:val="CharDivText"/>
        </w:rPr>
        <w:t>Preliminary</w:t>
      </w:r>
      <w:bookmarkEnd w:id="184"/>
      <w:bookmarkEnd w:id="185"/>
      <w:bookmarkEnd w:id="186"/>
      <w:bookmarkEnd w:id="187"/>
      <w:bookmarkEnd w:id="188"/>
      <w:bookmarkEnd w:id="189"/>
      <w:bookmarkEnd w:id="190"/>
    </w:p>
    <w:p>
      <w:pPr>
        <w:pStyle w:val="Heading5"/>
      </w:pPr>
      <w:bookmarkStart w:id="191" w:name="_Toc131511038"/>
      <w:r>
        <w:rPr>
          <w:rStyle w:val="CharSectno"/>
        </w:rPr>
        <w:t>52</w:t>
      </w:r>
      <w:r>
        <w:t>.</w:t>
      </w:r>
      <w:r>
        <w:tab/>
        <w:t>Application of Part</w:t>
      </w:r>
      <w:bookmarkEnd w:id="191"/>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192" w:name="_Toc131511039"/>
      <w:r>
        <w:rPr>
          <w:rStyle w:val="CharSectno"/>
        </w:rPr>
        <w:t>53</w:t>
      </w:r>
      <w:r>
        <w:t>.</w:t>
      </w:r>
      <w:r>
        <w:tab/>
        <w:t>Disciplinary matters</w:t>
      </w:r>
      <w:bookmarkEnd w:id="192"/>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the </w:t>
      </w:r>
      <w:r>
        <w:rPr>
          <w:i/>
        </w:rPr>
        <w:t>Building and Construction Industry (Security of Payment) Act 2021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lastRenderedPageBreak/>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lastRenderedPageBreak/>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Indenta"/>
      </w:pPr>
      <w:r>
        <w:tab/>
        <w:t>(n)</w:t>
      </w:r>
      <w:r>
        <w:tab/>
        <w:t>that the registered building service provider has not paid a building service debt of a kind referred to in subsection (4) that the registered building service provider has incurred.</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 xml:space="preserve">section 95) does not of </w:t>
      </w:r>
      <w:r>
        <w:lastRenderedPageBreak/>
        <w:t>itself constitute a disciplinary matter but, in any proceeding under this Part, such a breach may be asserted and may be taken into account in determining any question that arises in the course of that proceeding.</w:t>
      </w:r>
    </w:p>
    <w:p>
      <w:pPr>
        <w:pStyle w:val="Subsection"/>
      </w:pPr>
      <w:r>
        <w:tab/>
        <w:t>(4)</w:t>
      </w:r>
      <w:r>
        <w:tab/>
        <w:t>A building service debt of a registered building service provider is any of the following —</w:t>
      </w:r>
    </w:p>
    <w:p>
      <w:pPr>
        <w:pStyle w:val="Indenta"/>
      </w:pPr>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p>
    <w:p>
      <w:pPr>
        <w:pStyle w:val="Indenta"/>
      </w:pPr>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p>
    <w:p>
      <w:pPr>
        <w:pStyle w:val="Indenta"/>
      </w:pPr>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p>
    <w:p>
      <w:pPr>
        <w:pStyle w:val="Subsection"/>
      </w:pPr>
      <w:r>
        <w:tab/>
        <w:t>(5)</w:t>
      </w:r>
      <w:r>
        <w:tab/>
        <w:t>A judgment debt is a building service debt under subsection (4) only if —</w:t>
      </w:r>
    </w:p>
    <w:p>
      <w:pPr>
        <w:pStyle w:val="Indenta"/>
      </w:pPr>
      <w:r>
        <w:tab/>
        <w:t>(a)</w:t>
      </w:r>
      <w:r>
        <w:tab/>
        <w:t>the amount is not paid in full within 28 days after the judgment debt was entered (or within any longer period for payment allowed by the court); and</w:t>
      </w:r>
    </w:p>
    <w:p>
      <w:pPr>
        <w:pStyle w:val="Indenta"/>
      </w:pPr>
      <w:r>
        <w:tab/>
        <w:t>(b)</w:t>
      </w:r>
      <w:r>
        <w:tab/>
        <w:t>the judgment debtor has not entered into a payment arrangement with the judgment creditor or, if any payment arrangement is entered into, the judgment debtor has failed to comply with the arrangement; and</w:t>
      </w:r>
    </w:p>
    <w:p>
      <w:pPr>
        <w:pStyle w:val="Indenta"/>
        <w:keepNext/>
      </w:pPr>
      <w:r>
        <w:lastRenderedPageBreak/>
        <w:tab/>
        <w:t>(c)</w:t>
      </w:r>
      <w:r>
        <w:tab/>
        <w:t>either —</w:t>
      </w:r>
    </w:p>
    <w:p>
      <w:pPr>
        <w:pStyle w:val="Indenti"/>
      </w:pPr>
      <w:r>
        <w:tab/>
        <w:t>(i)</w:t>
      </w:r>
      <w:r>
        <w:tab/>
        <w:t>proceedings have not been instituted to appeal or set aside the judgment debt within the time allowed for instituting the proceedings; or</w:t>
      </w:r>
    </w:p>
    <w:p>
      <w:pPr>
        <w:pStyle w:val="Indenti"/>
      </w:pPr>
      <w:r>
        <w:tab/>
        <w:t>(ii)</w:t>
      </w:r>
      <w:r>
        <w:tab/>
        <w:t>any proceedings so instituted do not result in the judgment debt being quashed or set aside and the debt has not been paid in full within 5 days after the termination of the proceedings.</w:t>
      </w:r>
    </w:p>
    <w:p>
      <w:pPr>
        <w:pStyle w:val="Subsection"/>
      </w:pPr>
      <w:r>
        <w:tab/>
        <w:t>(6)</w:t>
      </w:r>
      <w:r>
        <w:tab/>
        <w:t>An adjudicated amount is a building service debt under subsection (4) only if —</w:t>
      </w:r>
    </w:p>
    <w:p>
      <w:pPr>
        <w:pStyle w:val="Indenta"/>
      </w:pPr>
      <w:r>
        <w:tab/>
        <w:t>(a)</w:t>
      </w:r>
      <w:r>
        <w:tab/>
        <w:t>the amount is not paid in full by the due date for payment of the adjudicated amount (or within any longer period for payment allowed by the adjudicator or review adjudicator); and</w:t>
      </w:r>
    </w:p>
    <w:p>
      <w:pPr>
        <w:pStyle w:val="Indenta"/>
      </w:pPr>
      <w:r>
        <w:tab/>
        <w:t>(b)</w:t>
      </w:r>
      <w:r>
        <w:tab/>
        <w:t>either —</w:t>
      </w:r>
    </w:p>
    <w:p>
      <w:pPr>
        <w:pStyle w:val="Indenti"/>
      </w:pPr>
      <w:r>
        <w:tab/>
        <w:t>(i)</w:t>
      </w:r>
      <w:r>
        <w:tab/>
        <w:t>an adjudication review or judicial review has not been instituted within the time allowed for doing so; or</w:t>
      </w:r>
    </w:p>
    <w:p>
      <w:pPr>
        <w:pStyle w:val="Indenti"/>
      </w:pPr>
      <w:r>
        <w:tab/>
        <w:t>(ii)</w:t>
      </w:r>
      <w:r>
        <w:tab/>
        <w:t>any review so instituted does not result in the adjudicated amount being quashed or set aside and the amount has not been paid in full within 5 days after the termination of the review.</w:t>
      </w:r>
    </w:p>
    <w:p>
      <w:pPr>
        <w:pStyle w:val="Subsection"/>
      </w:pPr>
      <w:r>
        <w:tab/>
        <w:t>(7)</w:t>
      </w:r>
      <w:r>
        <w:tab/>
        <w:t>The reference to the time allowed for instituting a judicial review in subsection (6)(b)(i) does not include time that is allowed only with the leave of a court.</w:t>
      </w:r>
    </w:p>
    <w:p>
      <w:pPr>
        <w:pStyle w:val="Subsection"/>
      </w:pPr>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p>
    <w:p>
      <w:pPr>
        <w:pStyle w:val="Footnotesection"/>
      </w:pPr>
      <w:r>
        <w:tab/>
        <w:t>[Section 53 amended: No. 4 of 2021 s. 129.]</w:t>
      </w:r>
    </w:p>
    <w:p>
      <w:pPr>
        <w:pStyle w:val="Heading5"/>
      </w:pPr>
      <w:bookmarkStart w:id="193" w:name="_Toc131511040"/>
      <w:r>
        <w:rPr>
          <w:rStyle w:val="CharSectno"/>
        </w:rPr>
        <w:lastRenderedPageBreak/>
        <w:t>54</w:t>
      </w:r>
      <w:r>
        <w:t>.</w:t>
      </w:r>
      <w:r>
        <w:tab/>
        <w:t>Relationship with other legislation</w:t>
      </w:r>
      <w:bookmarkEnd w:id="193"/>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194" w:name="_Toc124951132"/>
      <w:bookmarkStart w:id="195" w:name="_Toc125010760"/>
      <w:bookmarkStart w:id="196" w:name="_Toc125702993"/>
      <w:bookmarkStart w:id="197" w:name="_Toc125703343"/>
      <w:bookmarkStart w:id="198" w:name="_Toc131500392"/>
      <w:bookmarkStart w:id="199" w:name="_Toc131500609"/>
      <w:bookmarkStart w:id="200" w:name="_Toc131511041"/>
      <w:r>
        <w:rPr>
          <w:rStyle w:val="CharDivNo"/>
        </w:rPr>
        <w:t>Division 2</w:t>
      </w:r>
      <w:r>
        <w:t> — </w:t>
      </w:r>
      <w:r>
        <w:rPr>
          <w:rStyle w:val="CharDivText"/>
        </w:rPr>
        <w:t>Interim disciplinary orders</w:t>
      </w:r>
      <w:bookmarkEnd w:id="194"/>
      <w:bookmarkEnd w:id="195"/>
      <w:bookmarkEnd w:id="196"/>
      <w:bookmarkEnd w:id="197"/>
      <w:bookmarkEnd w:id="198"/>
      <w:bookmarkEnd w:id="199"/>
      <w:bookmarkEnd w:id="200"/>
    </w:p>
    <w:p>
      <w:pPr>
        <w:pStyle w:val="Heading5"/>
      </w:pPr>
      <w:bookmarkStart w:id="201" w:name="_Toc131511042"/>
      <w:r>
        <w:rPr>
          <w:rStyle w:val="CharSectno"/>
        </w:rPr>
        <w:t>55</w:t>
      </w:r>
      <w:r>
        <w:t>.</w:t>
      </w:r>
      <w:r>
        <w:tab/>
        <w:t>Interim disciplinary orders</w:t>
      </w:r>
      <w:bookmarkEnd w:id="201"/>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202" w:name="_Toc124951134"/>
      <w:bookmarkStart w:id="203" w:name="_Toc125010762"/>
      <w:bookmarkStart w:id="204" w:name="_Toc125702995"/>
      <w:bookmarkStart w:id="205" w:name="_Toc125703345"/>
      <w:bookmarkStart w:id="206" w:name="_Toc131500394"/>
      <w:bookmarkStart w:id="207" w:name="_Toc131500611"/>
      <w:bookmarkStart w:id="208" w:name="_Toc131511043"/>
      <w:r>
        <w:rPr>
          <w:rStyle w:val="CharDivNo"/>
        </w:rPr>
        <w:lastRenderedPageBreak/>
        <w:t>Division 3</w:t>
      </w:r>
      <w:r>
        <w:t> — </w:t>
      </w:r>
      <w:r>
        <w:rPr>
          <w:rStyle w:val="CharDivText"/>
        </w:rPr>
        <w:t>Role of Board</w:t>
      </w:r>
      <w:bookmarkEnd w:id="202"/>
      <w:bookmarkEnd w:id="203"/>
      <w:bookmarkEnd w:id="204"/>
      <w:bookmarkEnd w:id="205"/>
      <w:bookmarkEnd w:id="206"/>
      <w:bookmarkEnd w:id="207"/>
      <w:bookmarkEnd w:id="208"/>
    </w:p>
    <w:p>
      <w:pPr>
        <w:pStyle w:val="Heading5"/>
      </w:pPr>
      <w:bookmarkStart w:id="209" w:name="_Toc131511044"/>
      <w:r>
        <w:rPr>
          <w:rStyle w:val="CharSectno"/>
        </w:rPr>
        <w:t>56</w:t>
      </w:r>
      <w:r>
        <w:t>.</w:t>
      </w:r>
      <w:r>
        <w:tab/>
        <w:t>Board to decide what action to take in respect of complaint forwarded by Building Commissioner</w:t>
      </w:r>
      <w:bookmarkEnd w:id="209"/>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10" w:name="_Toc131511045"/>
      <w:r>
        <w:rPr>
          <w:rStyle w:val="CharSectno"/>
        </w:rPr>
        <w:lastRenderedPageBreak/>
        <w:t>57</w:t>
      </w:r>
      <w:r>
        <w:t>.</w:t>
      </w:r>
      <w:r>
        <w:tab/>
        <w:t>Board may deal with certain complaints</w:t>
      </w:r>
      <w:bookmarkEnd w:id="210"/>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 or the exercise of power relates only to a disciplinary matter referred to in section 53(1)(n).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keepNext/>
      </w:pPr>
      <w:r>
        <w:lastRenderedPageBreak/>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Footnotesection"/>
      </w:pPr>
      <w:r>
        <w:tab/>
        <w:t>[Section 57 amended: No. 4 of 2021 s. 130.]</w:t>
      </w:r>
    </w:p>
    <w:p>
      <w:pPr>
        <w:pStyle w:val="Heading3"/>
      </w:pPr>
      <w:bookmarkStart w:id="211" w:name="_Toc124951137"/>
      <w:bookmarkStart w:id="212" w:name="_Toc125010765"/>
      <w:bookmarkStart w:id="213" w:name="_Toc125702998"/>
      <w:bookmarkStart w:id="214" w:name="_Toc125703348"/>
      <w:bookmarkStart w:id="215" w:name="_Toc131500397"/>
      <w:bookmarkStart w:id="216" w:name="_Toc131500614"/>
      <w:bookmarkStart w:id="217" w:name="_Toc131511046"/>
      <w:r>
        <w:rPr>
          <w:rStyle w:val="CharDivNo"/>
        </w:rPr>
        <w:t>Division 4</w:t>
      </w:r>
      <w:r>
        <w:t> — </w:t>
      </w:r>
      <w:r>
        <w:rPr>
          <w:rStyle w:val="CharDivText"/>
        </w:rPr>
        <w:t>Proceedings in State Administrative Tribunal</w:t>
      </w:r>
      <w:bookmarkEnd w:id="211"/>
      <w:bookmarkEnd w:id="212"/>
      <w:bookmarkEnd w:id="213"/>
      <w:bookmarkEnd w:id="214"/>
      <w:bookmarkEnd w:id="215"/>
      <w:bookmarkEnd w:id="216"/>
      <w:bookmarkEnd w:id="217"/>
    </w:p>
    <w:p>
      <w:pPr>
        <w:pStyle w:val="Heading5"/>
      </w:pPr>
      <w:bookmarkStart w:id="218" w:name="_Toc131511047"/>
      <w:r>
        <w:rPr>
          <w:rStyle w:val="CharSectno"/>
        </w:rPr>
        <w:t>58</w:t>
      </w:r>
      <w:r>
        <w:t>.</w:t>
      </w:r>
      <w:r>
        <w:tab/>
        <w:t>Jurisdiction of State Administrative Tribunal</w:t>
      </w:r>
      <w:bookmarkEnd w:id="218"/>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keepNext/>
      </w:pPr>
      <w:r>
        <w:lastRenderedPageBreak/>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(n),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Subsection"/>
      </w:pPr>
      <w:r>
        <w:tab/>
        <w:t>(4)</w:t>
      </w:r>
      <w:r>
        <w:tab/>
        <w:t xml:space="preserve">If the State Administrative Tribunal orders the cancellation of the registration of a person as a building service contractor, it may, for the purposes of Part 5A, certify that the person is </w:t>
      </w:r>
      <w:r>
        <w:lastRenderedPageBreak/>
        <w:t>unable to meet the person’s financial obligations as and when they fall due if the Tribunal made its order wholly or partly on that basis.</w:t>
      </w:r>
    </w:p>
    <w:p>
      <w:pPr>
        <w:pStyle w:val="Footnotesection"/>
      </w:pPr>
      <w:r>
        <w:tab/>
        <w:t>[Section 58 amended: No. 4 of 2021 s. 131.]</w:t>
      </w:r>
    </w:p>
    <w:p>
      <w:pPr>
        <w:pStyle w:val="Heading5"/>
      </w:pPr>
      <w:bookmarkStart w:id="219" w:name="_Toc131511048"/>
      <w:r>
        <w:rPr>
          <w:rStyle w:val="CharSectno"/>
        </w:rPr>
        <w:t>59</w:t>
      </w:r>
      <w:r>
        <w:t>.</w:t>
      </w:r>
      <w:r>
        <w:tab/>
        <w:t>Disciplinary action against nominated supervisor or officer of building service contractor</w:t>
      </w:r>
      <w:bookmarkEnd w:id="219"/>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(n)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lastRenderedPageBreak/>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Footnotesection"/>
      </w:pPr>
      <w:r>
        <w:tab/>
        <w:t>[Section 58 amended: No. 4 of 2021 s. 132.]</w:t>
      </w:r>
    </w:p>
    <w:p>
      <w:pPr>
        <w:pStyle w:val="Heading5"/>
      </w:pPr>
      <w:bookmarkStart w:id="220" w:name="_Toc131511049"/>
      <w:r>
        <w:rPr>
          <w:rStyle w:val="CharSectno"/>
        </w:rPr>
        <w:t>60</w:t>
      </w:r>
      <w:r>
        <w:t>.</w:t>
      </w:r>
      <w:r>
        <w:tab/>
        <w:t>Declaration of ineligible person</w:t>
      </w:r>
      <w:bookmarkEnd w:id="220"/>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21" w:name="_Toc131511050"/>
      <w:r>
        <w:rPr>
          <w:rStyle w:val="CharSectno"/>
        </w:rPr>
        <w:t>61</w:t>
      </w:r>
      <w:r>
        <w:t>.</w:t>
      </w:r>
      <w:r>
        <w:tab/>
        <w:t>State Administrative Tribunal to provide information to Building Commissioner</w:t>
      </w:r>
      <w:bookmarkEnd w:id="221"/>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22" w:name="_Toc131511051"/>
      <w:r>
        <w:rPr>
          <w:rStyle w:val="CharSectno"/>
        </w:rPr>
        <w:t>62</w:t>
      </w:r>
      <w:r>
        <w:t>.</w:t>
      </w:r>
      <w:r>
        <w:tab/>
        <w:t>Board may notify certain persons if registration suspended or cancelled</w:t>
      </w:r>
      <w:bookmarkEnd w:id="222"/>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23" w:name="_Toc131511052"/>
      <w:r>
        <w:rPr>
          <w:rStyle w:val="CharSectno"/>
        </w:rPr>
        <w:lastRenderedPageBreak/>
        <w:t>63</w:t>
      </w:r>
      <w:r>
        <w:t>.</w:t>
      </w:r>
      <w:r>
        <w:tab/>
        <w:t>Other remedies not affected</w:t>
      </w:r>
      <w:bookmarkEnd w:id="223"/>
    </w:p>
    <w:p>
      <w:pPr>
        <w:pStyle w:val="Subsection"/>
      </w:pPr>
      <w:r>
        <w:tab/>
      </w:r>
      <w:r>
        <w:tab/>
        <w:t>This Division does not affect any other remedy available to the owner of a building or a person for whom building work is carried out.</w:t>
      </w:r>
    </w:p>
    <w:p>
      <w:pPr>
        <w:pStyle w:val="Heading2"/>
      </w:pPr>
      <w:bookmarkStart w:id="224" w:name="_Toc72498858"/>
      <w:bookmarkStart w:id="225" w:name="_Toc75354351"/>
      <w:bookmarkStart w:id="226" w:name="_Toc75534801"/>
      <w:bookmarkStart w:id="227" w:name="_Toc125010772"/>
      <w:bookmarkStart w:id="228" w:name="_Toc125703005"/>
      <w:bookmarkStart w:id="229" w:name="_Toc125703355"/>
      <w:bookmarkStart w:id="230" w:name="_Toc131500404"/>
      <w:bookmarkStart w:id="231" w:name="_Toc131500621"/>
      <w:bookmarkStart w:id="232" w:name="_Toc131511053"/>
      <w:bookmarkStart w:id="233" w:name="_Toc124951144"/>
      <w:r>
        <w:rPr>
          <w:rStyle w:val="CharPartNo"/>
        </w:rPr>
        <w:lastRenderedPageBreak/>
        <w:t>Part 5A</w:t>
      </w:r>
      <w:r>
        <w:rPr>
          <w:rStyle w:val="CharDivNo"/>
        </w:rPr>
        <w:t> </w:t>
      </w:r>
      <w:r>
        <w:t>—</w:t>
      </w:r>
      <w:r>
        <w:rPr>
          <w:rStyle w:val="CharDivText"/>
        </w:rPr>
        <w:t> </w:t>
      </w:r>
      <w:r>
        <w:rPr>
          <w:rStyle w:val="CharPartText"/>
        </w:rPr>
        <w:t>Insolvency of building service contractors</w:t>
      </w:r>
      <w:bookmarkEnd w:id="224"/>
      <w:bookmarkEnd w:id="225"/>
      <w:bookmarkEnd w:id="226"/>
      <w:bookmarkEnd w:id="227"/>
      <w:bookmarkEnd w:id="228"/>
      <w:bookmarkEnd w:id="229"/>
      <w:bookmarkEnd w:id="230"/>
      <w:bookmarkEnd w:id="231"/>
      <w:bookmarkEnd w:id="232"/>
    </w:p>
    <w:p>
      <w:pPr>
        <w:pStyle w:val="Footnoteheading"/>
      </w:pPr>
      <w:r>
        <w:tab/>
        <w:t>[Heading inserted: No. 4 of 2021 s. 133.]</w:t>
      </w:r>
    </w:p>
    <w:p>
      <w:pPr>
        <w:pStyle w:val="Heading5"/>
      </w:pPr>
      <w:bookmarkStart w:id="234" w:name="_Toc75354352"/>
      <w:bookmarkStart w:id="235" w:name="_Toc75534802"/>
      <w:bookmarkStart w:id="236" w:name="_Toc131511054"/>
      <w:r>
        <w:rPr>
          <w:rStyle w:val="CharSectno"/>
        </w:rPr>
        <w:t>63A</w:t>
      </w:r>
      <w:r>
        <w:t>.</w:t>
      </w:r>
      <w:r>
        <w:tab/>
        <w:t>Terms used</w:t>
      </w:r>
      <w:bookmarkEnd w:id="234"/>
      <w:bookmarkEnd w:id="235"/>
      <w:bookmarkEnd w:id="236"/>
    </w:p>
    <w:p>
      <w:pPr>
        <w:pStyle w:val="Subsection"/>
      </w:pPr>
      <w:r>
        <w:tab/>
        <w:t>(1)</w:t>
      </w:r>
      <w:r>
        <w:tab/>
        <w:t xml:space="preserve">In this Part — </w:t>
      </w:r>
    </w:p>
    <w:p>
      <w:pPr>
        <w:pStyle w:val="Defstart"/>
      </w:pPr>
      <w:r>
        <w:tab/>
      </w:r>
      <w:r>
        <w:rPr>
          <w:rStyle w:val="CharDefText"/>
        </w:rPr>
        <w:t>construction company</w:t>
      </w:r>
      <w:r>
        <w:t xml:space="preserve"> means a corporation or non</w:t>
      </w:r>
      <w:r>
        <w:noBreakHyphen/>
        <w:t xml:space="preserve">corporate body that directly or indirectly — </w:t>
      </w:r>
    </w:p>
    <w:p>
      <w:pPr>
        <w:pStyle w:val="Defpara"/>
      </w:pPr>
      <w:r>
        <w:tab/>
        <w:t>(a)</w:t>
      </w:r>
      <w:r>
        <w:tab/>
        <w:t>carries out construction work in this State or in any other State or a Territory; or</w:t>
      </w:r>
    </w:p>
    <w:p>
      <w:pPr>
        <w:pStyle w:val="Defpara"/>
      </w:pPr>
      <w:r>
        <w:tab/>
        <w:t>(b)</w:t>
      </w:r>
      <w:r>
        <w:tab/>
        <w:t>carried out construction work in this State or in any other State or a Territory during the period of 2 years immediately before becoming an insolvent;</w:t>
      </w:r>
    </w:p>
    <w:p>
      <w:pPr>
        <w:pStyle w:val="Defstart"/>
      </w:pPr>
      <w:r>
        <w:tab/>
      </w:r>
      <w:r>
        <w:rPr>
          <w:rStyle w:val="CharDefText"/>
        </w:rPr>
        <w:t>construction work</w:t>
      </w:r>
      <w:r>
        <w:t xml:space="preserve"> has the meaning given in the </w:t>
      </w:r>
      <w:r>
        <w:rPr>
          <w:i/>
        </w:rPr>
        <w:t xml:space="preserve">Building and Construction Industry (Security of Payment) Act 2021 </w:t>
      </w:r>
      <w:r>
        <w:t>section 6;</w:t>
      </w:r>
    </w:p>
    <w:p>
      <w:pPr>
        <w:pStyle w:val="Defstart"/>
      </w:pPr>
      <w:r>
        <w:tab/>
      </w:r>
      <w:r>
        <w:rPr>
          <w:rStyle w:val="CharDefText"/>
        </w:rPr>
        <w:t>excluded contractor</w:t>
      </w:r>
      <w:r>
        <w:t xml:space="preserve"> means a temporarily excluded contractor or a permanently excluded contractor;</w:t>
      </w:r>
    </w:p>
    <w:p>
      <w:pPr>
        <w:pStyle w:val="Defstart"/>
      </w:pPr>
      <w:r>
        <w:tab/>
      </w:r>
      <w:r>
        <w:rPr>
          <w:rStyle w:val="CharDefText"/>
        </w:rPr>
        <w:t>influential person</w:t>
      </w:r>
      <w:r>
        <w:t>, for a corporation or non</w:t>
      </w:r>
      <w:r>
        <w:noBreakHyphen/>
        <w:t>corporate body —</w:t>
      </w:r>
    </w:p>
    <w:p>
      <w:pPr>
        <w:pStyle w:val="Defpara"/>
      </w:pPr>
      <w:r>
        <w:tab/>
        <w:t>(a)</w:t>
      </w:r>
      <w:r>
        <w:tab/>
        <w:t xml:space="preserve">means an individual who controls or substantially influences the conduct of the corporation or body; but </w:t>
      </w:r>
    </w:p>
    <w:p>
      <w:pPr>
        <w:pStyle w:val="Defpara"/>
      </w:pPr>
      <w:r>
        <w:tab/>
        <w:t>(b)</w:t>
      </w:r>
      <w:r>
        <w:tab/>
        <w:t xml:space="preserve">does not include — </w:t>
      </w:r>
    </w:p>
    <w:p>
      <w:pPr>
        <w:pStyle w:val="Defsubpara"/>
      </w:pPr>
      <w:r>
        <w:tab/>
        <w:t>(i)</w:t>
      </w:r>
      <w:r>
        <w:tab/>
        <w:t>a lawyer, accountant, business consultant or other professional who provides professional advice to the corporation or body and who influences the conduct of the corporation or body only because of the provision of that professional advice; or</w:t>
      </w:r>
    </w:p>
    <w:p>
      <w:pPr>
        <w:pStyle w:val="Defsubpara"/>
      </w:pPr>
      <w:r>
        <w:tab/>
        <w:t>(ii)</w:t>
      </w:r>
      <w:r>
        <w:tab/>
        <w:t>an individual who regulates or otherwise influences the conduct of the corporation or body in the exercise of public functions under a written law;</w:t>
      </w:r>
    </w:p>
    <w:p>
      <w:pPr>
        <w:pStyle w:val="Defstart"/>
      </w:pPr>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w:t>
      </w:r>
      <w:r>
        <w:lastRenderedPageBreak/>
        <w:t>individual, corporation, non</w:t>
      </w:r>
      <w:r>
        <w:noBreakHyphen/>
        <w:t>corporate body or construction company becoming an insolvent;</w:t>
      </w:r>
    </w:p>
    <w:p>
      <w:pPr>
        <w:pStyle w:val="Defstart"/>
      </w:pPr>
      <w:r>
        <w:tab/>
      </w:r>
      <w:r>
        <w:rPr>
          <w:rStyle w:val="CharDefText"/>
        </w:rPr>
        <w:t>insolvent</w:t>
      </w:r>
      <w:r>
        <w:t xml:space="preserve"> means — </w:t>
      </w:r>
    </w:p>
    <w:p>
      <w:pPr>
        <w:pStyle w:val="Defpara"/>
      </w:pPr>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p>
    <w:p>
      <w:pPr>
        <w:pStyle w:val="Defpara"/>
      </w:pPr>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p>
    <w:p>
      <w:pPr>
        <w:pStyle w:val="Defpara"/>
      </w:pPr>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p>
    <w:p>
      <w:pPr>
        <w:pStyle w:val="Defstart"/>
      </w:pPr>
      <w:r>
        <w:tab/>
      </w:r>
      <w:r>
        <w:rPr>
          <w:rStyle w:val="CharDefText"/>
        </w:rPr>
        <w:t>non</w:t>
      </w:r>
      <w:r>
        <w:rPr>
          <w:rStyle w:val="CharDefText"/>
        </w:rPr>
        <w:noBreakHyphen/>
        <w:t>corporate body</w:t>
      </w:r>
      <w:r>
        <w:t xml:space="preserve"> means a partnership or unincorporated body;</w:t>
      </w:r>
    </w:p>
    <w:p>
      <w:pPr>
        <w:pStyle w:val="Defstart"/>
      </w:pPr>
      <w:r>
        <w:tab/>
      </w:r>
      <w:r>
        <w:rPr>
          <w:rStyle w:val="CharDefText"/>
        </w:rPr>
        <w:t>officer</w:t>
      </w:r>
      <w:r>
        <w:t> —</w:t>
      </w:r>
    </w:p>
    <w:p>
      <w:pPr>
        <w:pStyle w:val="Defpara"/>
      </w:pPr>
      <w:r>
        <w:tab/>
        <w:t>(a)</w:t>
      </w:r>
      <w:r>
        <w:tab/>
        <w:t xml:space="preserve">of a corporation — </w:t>
      </w:r>
    </w:p>
    <w:p>
      <w:pPr>
        <w:pStyle w:val="Defsubpara"/>
      </w:pPr>
      <w:r>
        <w:tab/>
        <w:t>(i)</w:t>
      </w:r>
      <w:r>
        <w:tab/>
        <w:t>means an officer of the corporation as defined in the Corporations Act section 9; and</w:t>
      </w:r>
    </w:p>
    <w:p>
      <w:pPr>
        <w:pStyle w:val="Defsubpara"/>
      </w:pPr>
      <w:r>
        <w:tab/>
        <w:t>(ii)</w:t>
      </w:r>
      <w:r>
        <w:tab/>
        <w:t>includes an influential person for the corporation; and</w:t>
      </w:r>
    </w:p>
    <w:p>
      <w:pPr>
        <w:pStyle w:val="Defsubpara"/>
      </w:pPr>
      <w:r>
        <w:tab/>
        <w:t>(iii)</w:t>
      </w:r>
      <w:r>
        <w:tab/>
        <w:t>does not include an administrator, receiver or liquidator appointed under the Corporations Act;</w:t>
      </w:r>
    </w:p>
    <w:p>
      <w:pPr>
        <w:pStyle w:val="Defpara"/>
      </w:pPr>
      <w:r>
        <w:tab/>
      </w:r>
      <w:r>
        <w:tab/>
        <w:t>or</w:t>
      </w:r>
    </w:p>
    <w:p>
      <w:pPr>
        <w:pStyle w:val="Defpara"/>
      </w:pPr>
      <w:r>
        <w:tab/>
        <w:t>(b)</w:t>
      </w:r>
      <w:r>
        <w:tab/>
        <w:t>of a non</w:t>
      </w:r>
      <w:r>
        <w:noBreakHyphen/>
        <w:t>corporate body —</w:t>
      </w:r>
    </w:p>
    <w:p>
      <w:pPr>
        <w:pStyle w:val="Defsubpara"/>
      </w:pPr>
      <w:r>
        <w:tab/>
        <w:t>(i)</w:t>
      </w:r>
      <w:r>
        <w:tab/>
        <w:t xml:space="preserve">means an officer of an entity that is neither an individual nor a corporation as defined in the Corporations Act section 9; and </w:t>
      </w:r>
    </w:p>
    <w:p>
      <w:pPr>
        <w:pStyle w:val="Defsubpara"/>
      </w:pPr>
      <w:r>
        <w:tab/>
        <w:t>(ii)</w:t>
      </w:r>
      <w:r>
        <w:tab/>
        <w:t>includes an influential person for the body;</w:t>
      </w:r>
    </w:p>
    <w:p>
      <w:pPr>
        <w:pStyle w:val="Defstart"/>
      </w:pPr>
      <w:r>
        <w:lastRenderedPageBreak/>
        <w:tab/>
      </w:r>
      <w:r>
        <w:rPr>
          <w:rStyle w:val="CharDefText"/>
        </w:rPr>
        <w:t>permanently excluded contractor</w:t>
      </w:r>
      <w:r>
        <w:t xml:space="preserve"> means a person excluded from being registered as a building service contractor under section 63C(2)(b);</w:t>
      </w:r>
    </w:p>
    <w:p>
      <w:pPr>
        <w:pStyle w:val="Defstart"/>
      </w:pPr>
      <w:r>
        <w:tab/>
      </w:r>
      <w:r>
        <w:rPr>
          <w:rStyle w:val="CharDefText"/>
        </w:rPr>
        <w:t>registration</w:t>
      </w:r>
      <w:r>
        <w:t xml:space="preserve"> means registration under Part 3 as a building service contractor;</w:t>
      </w:r>
    </w:p>
    <w:p>
      <w:pPr>
        <w:pStyle w:val="Defstart"/>
      </w:pPr>
      <w:r>
        <w:tab/>
      </w:r>
      <w:r>
        <w:rPr>
          <w:rStyle w:val="CharDefText"/>
        </w:rPr>
        <w:t>temporarily excluded contractor</w:t>
      </w:r>
      <w:r>
        <w:t xml:space="preserve"> means a person excluded from being registered as a building service contractor under section 63C(2)(a).</w:t>
      </w:r>
    </w:p>
    <w:p>
      <w:pPr>
        <w:pStyle w:val="Subsection"/>
      </w:pPr>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p>
    <w:p>
      <w:pPr>
        <w:pStyle w:val="Subsection"/>
      </w:pPr>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p>
    <w:p>
      <w:pPr>
        <w:pStyle w:val="Footnotesection"/>
      </w:pPr>
      <w:bookmarkStart w:id="237" w:name="_Toc75354353"/>
      <w:bookmarkStart w:id="238" w:name="_Toc75534803"/>
      <w:r>
        <w:tab/>
        <w:t>[Section 63A inserted: No. 4 of 2021 s. 133.]</w:t>
      </w:r>
    </w:p>
    <w:p>
      <w:pPr>
        <w:pStyle w:val="Heading5"/>
      </w:pPr>
      <w:bookmarkStart w:id="239" w:name="_Toc131511055"/>
      <w:r>
        <w:rPr>
          <w:rStyle w:val="CharSectno"/>
        </w:rPr>
        <w:t>63B</w:t>
      </w:r>
      <w:r>
        <w:t>.</w:t>
      </w:r>
      <w:r>
        <w:tab/>
        <w:t>Excluded contractors not to be registered</w:t>
      </w:r>
      <w:bookmarkEnd w:id="237"/>
      <w:bookmarkEnd w:id="238"/>
      <w:bookmarkEnd w:id="239"/>
    </w:p>
    <w:p>
      <w:pPr>
        <w:pStyle w:val="Subsection"/>
      </w:pPr>
      <w:r>
        <w:tab/>
        <w:t>(1)</w:t>
      </w:r>
      <w:r>
        <w:tab/>
        <w:t xml:space="preserve">The Board must refuse to register or renew the registration of an excluded contractor as a building service contractor. </w:t>
      </w:r>
    </w:p>
    <w:p>
      <w:pPr>
        <w:pStyle w:val="Subsection"/>
      </w:pPr>
      <w:r>
        <w:tab/>
        <w:t>(2)</w:t>
      </w:r>
      <w:r>
        <w:tab/>
        <w:t xml:space="preserve">The Board must cancel the registration of an excluded contractor as a building service contractor. </w:t>
      </w:r>
    </w:p>
    <w:p>
      <w:pPr>
        <w:pStyle w:val="Footnotesection"/>
      </w:pPr>
      <w:bookmarkStart w:id="240" w:name="_Toc75354354"/>
      <w:bookmarkStart w:id="241" w:name="_Toc75534804"/>
      <w:r>
        <w:tab/>
        <w:t>[Section 63B inserted: No. 4 of 2021 s. 133.]</w:t>
      </w:r>
    </w:p>
    <w:p>
      <w:pPr>
        <w:pStyle w:val="Heading5"/>
      </w:pPr>
      <w:bookmarkStart w:id="242" w:name="_Toc131511056"/>
      <w:r>
        <w:rPr>
          <w:rStyle w:val="CharSectno"/>
        </w:rPr>
        <w:t>63C</w:t>
      </w:r>
      <w:r>
        <w:t>.</w:t>
      </w:r>
      <w:r>
        <w:tab/>
        <w:t>Declaration of excluded contractors</w:t>
      </w:r>
      <w:bookmarkEnd w:id="240"/>
      <w:bookmarkEnd w:id="241"/>
      <w:bookmarkEnd w:id="242"/>
    </w:p>
    <w:p>
      <w:pPr>
        <w:pStyle w:val="Subsection"/>
      </w:pPr>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p>
    <w:p>
      <w:pPr>
        <w:pStyle w:val="Subsection"/>
      </w:pPr>
      <w:r>
        <w:lastRenderedPageBreak/>
        <w:tab/>
        <w:t>(2)</w:t>
      </w:r>
      <w:r>
        <w:tab/>
        <w:t xml:space="preserve">The Board may, in accordance with section 63D or 63E, declare that the person is excluded from being registered as a building service contractor — </w:t>
      </w:r>
    </w:p>
    <w:p>
      <w:pPr>
        <w:pStyle w:val="Indenta"/>
      </w:pPr>
      <w:r>
        <w:tab/>
        <w:t>(a)</w:t>
      </w:r>
      <w:r>
        <w:tab/>
        <w:t>for the period ending 3 years after the date of the last insolvency event (specified by the Board) on which the declaration of the Board is based; or</w:t>
      </w:r>
    </w:p>
    <w:p>
      <w:pPr>
        <w:pStyle w:val="Indenta"/>
      </w:pPr>
      <w:r>
        <w:tab/>
        <w:t>(b)</w:t>
      </w:r>
      <w:r>
        <w:tab/>
        <w:t>on a permanent basis.</w:t>
      </w:r>
    </w:p>
    <w:p>
      <w:pPr>
        <w:pStyle w:val="Subsection"/>
      </w:pPr>
      <w:r>
        <w:tab/>
        <w:t>(3)</w:t>
      </w:r>
      <w:r>
        <w:tab/>
        <w:t>The Board may at any time revoke a declaration under this section.</w:t>
      </w:r>
    </w:p>
    <w:p>
      <w:pPr>
        <w:pStyle w:val="Footnotesection"/>
      </w:pPr>
      <w:bookmarkStart w:id="243" w:name="_Toc75354355"/>
      <w:bookmarkStart w:id="244" w:name="_Toc75534805"/>
      <w:r>
        <w:tab/>
        <w:t>[Section 63C inserted: No. 4 of 2021 s. 133.]</w:t>
      </w:r>
    </w:p>
    <w:p>
      <w:pPr>
        <w:pStyle w:val="Heading5"/>
      </w:pPr>
      <w:bookmarkStart w:id="245" w:name="_Toc131511057"/>
      <w:r>
        <w:rPr>
          <w:rStyle w:val="CharSectno"/>
        </w:rPr>
        <w:t>63D</w:t>
      </w:r>
      <w:r>
        <w:t>.</w:t>
      </w:r>
      <w:r>
        <w:tab/>
        <w:t>When individual or non</w:t>
      </w:r>
      <w:r>
        <w:noBreakHyphen/>
        <w:t>corporate body may be declared excluded contractor</w:t>
      </w:r>
      <w:bookmarkEnd w:id="243"/>
      <w:bookmarkEnd w:id="244"/>
      <w:bookmarkEnd w:id="245"/>
    </w:p>
    <w:p>
      <w:pPr>
        <w:pStyle w:val="Subsection"/>
      </w:pPr>
      <w:r>
        <w:tab/>
        <w:t>(1)</w:t>
      </w:r>
      <w:r>
        <w:tab/>
        <w:t>An individual or non</w:t>
      </w:r>
      <w:r>
        <w:noBreakHyphen/>
        <w:t xml:space="preserve">corporate body may be declared to be a temporarily excluded contractor if — </w:t>
      </w:r>
    </w:p>
    <w:p>
      <w:pPr>
        <w:pStyle w:val="Indenta"/>
      </w:pPr>
      <w:r>
        <w:tab/>
        <w:t>(a)</w:t>
      </w:r>
      <w:r>
        <w:tab/>
        <w:t>the individual or an officer of the non</w:t>
      </w:r>
      <w:r>
        <w:noBreakHyphen/>
        <w:t>corporate body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An individual or non</w:t>
      </w:r>
      <w:r>
        <w:noBreakHyphen/>
        <w:t xml:space="preserve">corporate body may be declared to be a permanently excluded contractor if — </w:t>
      </w:r>
    </w:p>
    <w:p>
      <w:pPr>
        <w:pStyle w:val="Indenta"/>
      </w:pPr>
      <w:r>
        <w:tab/>
        <w:t>(a)</w:t>
      </w:r>
      <w:r>
        <w:tab/>
        <w:t>the individual or an officer of the non</w:t>
      </w:r>
      <w:r>
        <w:noBreakHyphen/>
        <w:t>corporate body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(3)</w:t>
      </w:r>
      <w:r>
        <w:tab/>
        <w:t>The declaration of an individual or non</w:t>
      </w:r>
      <w:r>
        <w:noBreakHyphen/>
        <w:t>corporate body as an excluded contractor is subject to section 63F.</w:t>
      </w:r>
    </w:p>
    <w:p>
      <w:pPr>
        <w:pStyle w:val="Footnotesection"/>
      </w:pPr>
      <w:bookmarkStart w:id="246" w:name="_Toc75354356"/>
      <w:bookmarkStart w:id="247" w:name="_Toc75534806"/>
      <w:r>
        <w:tab/>
        <w:t>[Section 63D inserted: No. 4 of 2021 s. 133.]</w:t>
      </w:r>
    </w:p>
    <w:p>
      <w:pPr>
        <w:pStyle w:val="Heading5"/>
      </w:pPr>
      <w:bookmarkStart w:id="248" w:name="_Toc131511058"/>
      <w:r>
        <w:rPr>
          <w:rStyle w:val="CharSectno"/>
        </w:rPr>
        <w:lastRenderedPageBreak/>
        <w:t>63E</w:t>
      </w:r>
      <w:r>
        <w:t>.</w:t>
      </w:r>
      <w:r>
        <w:tab/>
        <w:t>When corporation may be declared excluded contractor</w:t>
      </w:r>
      <w:bookmarkEnd w:id="246"/>
      <w:bookmarkEnd w:id="247"/>
      <w:bookmarkEnd w:id="248"/>
    </w:p>
    <w:p>
      <w:pPr>
        <w:pStyle w:val="Subsection"/>
      </w:pPr>
      <w:r>
        <w:tab/>
        <w:t>(1)</w:t>
      </w:r>
      <w:r>
        <w:tab/>
        <w:t xml:space="preserve">A corporation may be declared to be a temporarily excluded contractor if — </w:t>
      </w:r>
    </w:p>
    <w:p>
      <w:pPr>
        <w:pStyle w:val="Indenta"/>
      </w:pPr>
      <w:r>
        <w:tab/>
        <w:t>(a)</w:t>
      </w:r>
      <w:r>
        <w:tab/>
        <w:t>the corporation became an insolvent on at least one occasion; and</w:t>
      </w:r>
    </w:p>
    <w:p>
      <w:pPr>
        <w:pStyle w:val="Indenta"/>
      </w:pPr>
      <w:r>
        <w:tab/>
        <w:t>(b)</w:t>
      </w:r>
      <w:r>
        <w:tab/>
        <w:t xml:space="preserve">the period of 3 years has not elapsed since the insolvency event that resulted in the insolvency. </w:t>
      </w:r>
    </w:p>
    <w:p>
      <w:pPr>
        <w:pStyle w:val="Subsection"/>
      </w:pPr>
      <w:r>
        <w:tab/>
        <w:t>(2)</w:t>
      </w:r>
      <w:r>
        <w:tab/>
        <w:t xml:space="preserve">A corporation may also be declared to be a temporarily excluded contractor if an officer of the corporation — </w:t>
      </w:r>
    </w:p>
    <w:p>
      <w:pPr>
        <w:pStyle w:val="Indenta"/>
      </w:pPr>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p>
    <w:p>
      <w:pPr>
        <w:pStyle w:val="Indenta"/>
      </w:pPr>
      <w:r>
        <w:tab/>
        <w:t>(b)</w:t>
      </w:r>
      <w:r>
        <w:tab/>
        <w:t xml:space="preserve">is an individual who could (subject to compliance with section 63F) be declared to be a temporarily excluded contractor. </w:t>
      </w:r>
    </w:p>
    <w:p>
      <w:pPr>
        <w:pStyle w:val="Subsection"/>
      </w:pPr>
      <w:r>
        <w:tab/>
        <w:t>(3)</w:t>
      </w:r>
      <w:r>
        <w:tab/>
        <w:t xml:space="preserve">A corporation may be declared to be a permanently excluded contractor if — </w:t>
      </w:r>
    </w:p>
    <w:p>
      <w:pPr>
        <w:pStyle w:val="Indenta"/>
      </w:pPr>
      <w:r>
        <w:tab/>
        <w:t>(a)</w:t>
      </w:r>
      <w:r>
        <w:tab/>
        <w:t>the corporation became an insolvent on 2 separate occasions; and</w:t>
      </w:r>
    </w:p>
    <w:p>
      <w:pPr>
        <w:pStyle w:val="Indenta"/>
      </w:pPr>
      <w:r>
        <w:tab/>
        <w:t>(b)</w:t>
      </w:r>
      <w:r>
        <w:tab/>
        <w:t>the insolvency event that resulted in the second insolvency occurred within 5 years after the insolvency event that resulted in the first insolvency.</w:t>
      </w:r>
    </w:p>
    <w:p>
      <w:pPr>
        <w:pStyle w:val="Subsection"/>
      </w:pPr>
      <w:r>
        <w:tab/>
        <w:t>(4)</w:t>
      </w:r>
      <w:r>
        <w:tab/>
        <w:t xml:space="preserve">A corporation may also be declared to be a permanently excluded contractor if an officer of the corporation — </w:t>
      </w:r>
    </w:p>
    <w:p>
      <w:pPr>
        <w:pStyle w:val="Indenta"/>
        <w:keepNext/>
      </w:pPr>
      <w:r>
        <w:tab/>
        <w:t>(a)</w:t>
      </w:r>
      <w:r>
        <w:tab/>
        <w:t xml:space="preserve">was an officer of a construction company at the time the company became an insolvent on 2 separate occasions (or within 2 years immediately before each occasion on which the company became an insolvent) and the insolvency event that resulted in the second insolvency </w:t>
      </w:r>
      <w:r>
        <w:lastRenderedPageBreak/>
        <w:t>occurred within 5 years after the insolvency event that resulted in the first insolvency; or</w:t>
      </w:r>
    </w:p>
    <w:p>
      <w:pPr>
        <w:pStyle w:val="Indenta"/>
      </w:pPr>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p>
    <w:p>
      <w:pPr>
        <w:pStyle w:val="Indenta"/>
      </w:pPr>
      <w:r>
        <w:tab/>
        <w:t>(c)</w:t>
      </w:r>
      <w:r>
        <w:tab/>
        <w:t xml:space="preserve">is an individual who could (subject to compliance with section 63F) be declared to be a permanently excluded contractor. </w:t>
      </w:r>
    </w:p>
    <w:p>
      <w:pPr>
        <w:pStyle w:val="Subsection"/>
      </w:pPr>
      <w:r>
        <w:tab/>
        <w:t>(5)</w:t>
      </w:r>
      <w:r>
        <w:tab/>
        <w:t>The Board must not declare a corporation to be a permanently excluded contractor because of insolvency on 2 separate occasions if the corporation satisfies the Board that those insolvencies arose out of the same set of circumstances.</w:t>
      </w:r>
    </w:p>
    <w:p>
      <w:pPr>
        <w:pStyle w:val="Subsection"/>
      </w:pPr>
      <w:r>
        <w:tab/>
        <w:t>(6)</w:t>
      </w:r>
      <w:r>
        <w:tab/>
        <w:t>The declaration of a corporation as an excluded contractor is subject to section 63F.</w:t>
      </w:r>
    </w:p>
    <w:p>
      <w:pPr>
        <w:pStyle w:val="Footnotesection"/>
      </w:pPr>
      <w:bookmarkStart w:id="249" w:name="_Toc75354357"/>
      <w:bookmarkStart w:id="250" w:name="_Toc75534807"/>
      <w:r>
        <w:tab/>
        <w:t>[Section 63E inserted: No. 4 of 2021 s. 133.]</w:t>
      </w:r>
    </w:p>
    <w:p>
      <w:pPr>
        <w:pStyle w:val="Heading5"/>
      </w:pPr>
      <w:bookmarkStart w:id="251" w:name="_Toc131511059"/>
      <w:r>
        <w:rPr>
          <w:rStyle w:val="CharSectno"/>
        </w:rPr>
        <w:t>63F</w:t>
      </w:r>
      <w:r>
        <w:t>.</w:t>
      </w:r>
      <w:r>
        <w:tab/>
        <w:t>Procedure for declaring excluded contractor</w:t>
      </w:r>
      <w:bookmarkEnd w:id="249"/>
      <w:bookmarkEnd w:id="250"/>
      <w:bookmarkEnd w:id="251"/>
    </w:p>
    <w:p>
      <w:pPr>
        <w:pStyle w:val="Subsection"/>
      </w:pPr>
      <w:r>
        <w:tab/>
        <w:t>(1)</w:t>
      </w:r>
      <w:r>
        <w:tab/>
        <w:t xml:space="preserve">The Board must not declare a person to be an excluded contractor unless — </w:t>
      </w:r>
    </w:p>
    <w:p>
      <w:pPr>
        <w:pStyle w:val="Indenta"/>
      </w:pPr>
      <w:r>
        <w:tab/>
        <w:t>(a)</w:t>
      </w:r>
      <w:r>
        <w:tab/>
        <w:t xml:space="preserve">the Board has given the person a written notice of its intention to consider making the declaration (a </w:t>
      </w:r>
      <w:r>
        <w:rPr>
          <w:rStyle w:val="CharDefText"/>
        </w:rPr>
        <w:t>show cause notice</w:t>
      </w:r>
      <w:r>
        <w:t>); and</w:t>
      </w:r>
    </w:p>
    <w:p>
      <w:pPr>
        <w:pStyle w:val="Indenta"/>
      </w:pPr>
      <w:r>
        <w:tab/>
        <w:t>(b)</w:t>
      </w:r>
      <w:r>
        <w:tab/>
        <w:t xml:space="preserve">the show cause notice identifies the insolvency event or events on which the declaration would be based; and </w:t>
      </w:r>
    </w:p>
    <w:p>
      <w:pPr>
        <w:pStyle w:val="Indenta"/>
      </w:pPr>
      <w:r>
        <w:tab/>
        <w:t>(c)</w:t>
      </w:r>
      <w:r>
        <w:tab/>
        <w:t>the Board has given the person the opportunity to make a submission to the Board on the matter within 28 days or any longer period that is specified in the show cause notice.</w:t>
      </w:r>
    </w:p>
    <w:p>
      <w:pPr>
        <w:pStyle w:val="Subsection"/>
        <w:keepNext/>
      </w:pPr>
      <w:r>
        <w:lastRenderedPageBreak/>
        <w:tab/>
        <w:t>(2)</w:t>
      </w:r>
      <w:r>
        <w:tab/>
        <w:t xml:space="preserve">The Board must not declare a person to be an excluded contractor if the person satisfies the Board that — </w:t>
      </w:r>
    </w:p>
    <w:p>
      <w:pPr>
        <w:pStyle w:val="Indenta"/>
      </w:pPr>
      <w:r>
        <w:tab/>
        <w:t>(a)</w:t>
      </w:r>
      <w:r>
        <w:tab/>
        <w:t xml:space="preserve">reasonable steps were taken to avoid the circumstances that resulted in the insolvency or insolvencies concerned; and </w:t>
      </w:r>
    </w:p>
    <w:p>
      <w:pPr>
        <w:pStyle w:val="Indenta"/>
      </w:pPr>
      <w:r>
        <w:tab/>
        <w:t>(b)</w:t>
      </w:r>
      <w:r>
        <w:tab/>
        <w:t xml:space="preserve">sufficient arrangements are in place to ensure that the person’s construction work business will be managed in a competent and proficient manner. </w:t>
      </w:r>
    </w:p>
    <w:p>
      <w:pPr>
        <w:pStyle w:val="Subsection"/>
      </w:pPr>
      <w:r>
        <w:tab/>
        <w:t>(3)</w:t>
      </w:r>
      <w:r>
        <w:tab/>
        <w:t>The Board must not declare a corporation to be an excluded contractor because a particular individual is an officer of the corporation if the corporation satisfies the Board that the individual is no longer an officer of the corporation.</w:t>
      </w:r>
    </w:p>
    <w:p>
      <w:pPr>
        <w:pStyle w:val="Subsection"/>
      </w:pPr>
      <w:r>
        <w:tab/>
        <w:t>(4)</w:t>
      </w:r>
      <w:r>
        <w:tab/>
        <w:t>For the purposes of this section, the reasonable steps taken to avoid the circumstances that resulted in insolvency may include (but are not limited to) the following —</w:t>
      </w:r>
    </w:p>
    <w:p>
      <w:pPr>
        <w:pStyle w:val="Indenta"/>
      </w:pPr>
      <w:r>
        <w:tab/>
        <w:t>(a)</w:t>
      </w:r>
      <w:r>
        <w:tab/>
        <w:t xml:space="preserve">keeping proper accounting records; </w:t>
      </w:r>
    </w:p>
    <w:p>
      <w:pPr>
        <w:pStyle w:val="Indenta"/>
      </w:pPr>
      <w:r>
        <w:tab/>
        <w:t>(b)</w:t>
      </w:r>
      <w:r>
        <w:tab/>
        <w:t xml:space="preserve">obtaining appropriate financial or legal advice before entering into significant business arrangements; </w:t>
      </w:r>
    </w:p>
    <w:p>
      <w:pPr>
        <w:pStyle w:val="Indenta"/>
      </w:pPr>
      <w:r>
        <w:tab/>
        <w:t>(c)</w:t>
      </w:r>
      <w:r>
        <w:tab/>
        <w:t xml:space="preserve">reporting fraud or theft in relation to the business; </w:t>
      </w:r>
    </w:p>
    <w:p>
      <w:pPr>
        <w:pStyle w:val="Indenta"/>
      </w:pPr>
      <w:r>
        <w:tab/>
        <w:t>(d)</w:t>
      </w:r>
      <w:r>
        <w:tab/>
        <w:t xml:space="preserve">putting in place appropriate credit arrangements and taking reasonable steps to recover outstanding money owed; </w:t>
      </w:r>
    </w:p>
    <w:p>
      <w:pPr>
        <w:pStyle w:val="Indenta"/>
      </w:pPr>
      <w:r>
        <w:tab/>
        <w:t>(e)</w:t>
      </w:r>
      <w:r>
        <w:tab/>
        <w:t xml:space="preserve">making adequate provision for Commonwealth and State taxes and employee entitlements; </w:t>
      </w:r>
    </w:p>
    <w:p>
      <w:pPr>
        <w:pStyle w:val="Indenta"/>
      </w:pPr>
      <w:r>
        <w:tab/>
        <w:t>(f)</w:t>
      </w:r>
      <w:r>
        <w:tab/>
        <w:t xml:space="preserve">ensuring there are sufficient assets to meet guarantees. </w:t>
      </w:r>
    </w:p>
    <w:p>
      <w:pPr>
        <w:pStyle w:val="Subsection"/>
      </w:pPr>
      <w:r>
        <w:tab/>
        <w:t>(5)</w:t>
      </w:r>
      <w:r>
        <w:tab/>
        <w:t>Reasonable steps for the purposes of this section do not require a person to contribute additional equity to a business to prevent insolvency.</w:t>
      </w:r>
    </w:p>
    <w:p>
      <w:pPr>
        <w:pStyle w:val="Subsection"/>
      </w:pPr>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p>
    <w:p>
      <w:pPr>
        <w:pStyle w:val="Subsection"/>
      </w:pPr>
      <w:r>
        <w:lastRenderedPageBreak/>
        <w:tab/>
        <w:t>(7)</w:t>
      </w:r>
      <w:r>
        <w:tab/>
        <w:t xml:space="preserve">For the purposes of this section, sufficient arrangements to ensure that a person’s construction work business will be managed in a competent and proficient manner may include (but are not limited to) the following — </w:t>
      </w:r>
    </w:p>
    <w:p>
      <w:pPr>
        <w:pStyle w:val="Indenta"/>
      </w:pPr>
      <w:r>
        <w:tab/>
        <w:t>(a)</w:t>
      </w:r>
      <w:r>
        <w:tab/>
        <w:t xml:space="preserve">the appointment of additional company directors or business managers; </w:t>
      </w:r>
    </w:p>
    <w:p>
      <w:pPr>
        <w:pStyle w:val="Indenta"/>
      </w:pPr>
      <w:r>
        <w:tab/>
        <w:t>(b)</w:t>
      </w:r>
      <w:r>
        <w:tab/>
        <w:t xml:space="preserve">the engagement of financial or legal advisers on an ongoing basis; </w:t>
      </w:r>
    </w:p>
    <w:p>
      <w:pPr>
        <w:pStyle w:val="Indenta"/>
      </w:pPr>
      <w:r>
        <w:tab/>
        <w:t>(c)</w:t>
      </w:r>
      <w:r>
        <w:tab/>
        <w:t xml:space="preserve">the provision of sufficient working capital and equity; </w:t>
      </w:r>
    </w:p>
    <w:p>
      <w:pPr>
        <w:pStyle w:val="Indenta"/>
      </w:pPr>
      <w:r>
        <w:tab/>
        <w:t>(d)</w:t>
      </w:r>
      <w:r>
        <w:tab/>
        <w:t xml:space="preserve">credit management arrangements and other appropriate business plans. </w:t>
      </w:r>
    </w:p>
    <w:p>
      <w:pPr>
        <w:pStyle w:val="Footnotesection"/>
      </w:pPr>
      <w:bookmarkStart w:id="252" w:name="_Toc75354358"/>
      <w:bookmarkStart w:id="253" w:name="_Toc75534808"/>
      <w:r>
        <w:tab/>
        <w:t>[Section 63F inserted: No. 4 of 2021 s. 133.]</w:t>
      </w:r>
    </w:p>
    <w:p>
      <w:pPr>
        <w:pStyle w:val="Heading5"/>
      </w:pPr>
      <w:bookmarkStart w:id="254" w:name="_Toc131511060"/>
      <w:r>
        <w:rPr>
          <w:rStyle w:val="CharSectno"/>
        </w:rPr>
        <w:t>63G</w:t>
      </w:r>
      <w:r>
        <w:t>.</w:t>
      </w:r>
      <w:r>
        <w:tab/>
        <w:t>When declaration of excluded contractor takes effect</w:t>
      </w:r>
      <w:bookmarkEnd w:id="252"/>
      <w:bookmarkEnd w:id="253"/>
      <w:bookmarkEnd w:id="254"/>
    </w:p>
    <w:p>
      <w:pPr>
        <w:pStyle w:val="Subsection"/>
      </w:pPr>
      <w:r>
        <w:tab/>
      </w:r>
      <w:r>
        <w:tab/>
        <w:t xml:space="preserve">The declaration of a person as an excluded contractor does not take effect — </w:t>
      </w:r>
    </w:p>
    <w:p>
      <w:pPr>
        <w:pStyle w:val="Indenta"/>
      </w:pPr>
      <w:r>
        <w:tab/>
        <w:t>(a)</w:t>
      </w:r>
      <w:r>
        <w:tab/>
        <w:t xml:space="preserve">until the expiration of the period of 28 days after written notice of the decision of the Board to make the declaration has been given to the person; or </w:t>
      </w:r>
    </w:p>
    <w:p>
      <w:pPr>
        <w:pStyle w:val="Indenta"/>
      </w:pPr>
      <w:r>
        <w:tab/>
        <w:t>(b)</w:t>
      </w:r>
      <w:r>
        <w:tab/>
        <w:t>if the person duly applies within that period to the State Administrative Tribunal for a review of the decision under Part 6 — unless the application is withdrawn or the decision is confirmed following the review.</w:t>
      </w:r>
    </w:p>
    <w:p>
      <w:pPr>
        <w:pStyle w:val="Footnotesection"/>
      </w:pPr>
      <w:r>
        <w:tab/>
        <w:t>[Section 63G inserted: No. 4 of 2021 s. 133.]</w:t>
      </w:r>
    </w:p>
    <w:p>
      <w:pPr>
        <w:pStyle w:val="Heading2"/>
      </w:pPr>
      <w:bookmarkStart w:id="255" w:name="_Toc125010780"/>
      <w:bookmarkStart w:id="256" w:name="_Toc125703013"/>
      <w:bookmarkStart w:id="257" w:name="_Toc125703363"/>
      <w:bookmarkStart w:id="258" w:name="_Toc131500412"/>
      <w:bookmarkStart w:id="259" w:name="_Toc131500629"/>
      <w:bookmarkStart w:id="260" w:name="_Toc131511061"/>
      <w:r>
        <w:rPr>
          <w:rStyle w:val="CharPartNo"/>
        </w:rPr>
        <w:lastRenderedPageBreak/>
        <w:t>Part 6</w:t>
      </w:r>
      <w:r>
        <w:rPr>
          <w:rStyle w:val="CharDivNo"/>
        </w:rPr>
        <w:t> </w:t>
      </w:r>
      <w:r>
        <w:t>—</w:t>
      </w:r>
      <w:r>
        <w:rPr>
          <w:rStyle w:val="CharDivText"/>
        </w:rPr>
        <w:t> </w:t>
      </w:r>
      <w:r>
        <w:rPr>
          <w:rStyle w:val="CharPartText"/>
        </w:rPr>
        <w:t>Review</w:t>
      </w:r>
      <w:bookmarkEnd w:id="233"/>
      <w:bookmarkEnd w:id="255"/>
      <w:bookmarkEnd w:id="256"/>
      <w:bookmarkEnd w:id="257"/>
      <w:bookmarkEnd w:id="258"/>
      <w:bookmarkEnd w:id="259"/>
      <w:bookmarkEnd w:id="260"/>
    </w:p>
    <w:p>
      <w:pPr>
        <w:pStyle w:val="Heading5"/>
      </w:pPr>
      <w:bookmarkStart w:id="261" w:name="_Toc131511062"/>
      <w:r>
        <w:rPr>
          <w:rStyle w:val="CharSectno"/>
        </w:rPr>
        <w:t>64</w:t>
      </w:r>
      <w:r>
        <w:t>.</w:t>
      </w:r>
      <w:r>
        <w:tab/>
        <w:t>Review by State Administrative Tribunal of certain decisions</w:t>
      </w:r>
      <w:bookmarkEnd w:id="261"/>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(da)</w:t>
      </w:r>
      <w:r>
        <w:tab/>
        <w:t>to declare that a person is excluded from being registered as a building service contractor under section 63C;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Subsection"/>
      </w:pPr>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p>
    <w:p>
      <w:pPr>
        <w:pStyle w:val="Footnotesection"/>
      </w:pPr>
      <w:r>
        <w:tab/>
        <w:t>[Section 64 amended: No. 4 of 2021 s. 134.]</w:t>
      </w:r>
    </w:p>
    <w:p>
      <w:pPr>
        <w:pStyle w:val="Heading2"/>
      </w:pPr>
      <w:bookmarkStart w:id="262" w:name="_Toc124951146"/>
      <w:bookmarkStart w:id="263" w:name="_Toc125010782"/>
      <w:bookmarkStart w:id="264" w:name="_Toc125703015"/>
      <w:bookmarkStart w:id="265" w:name="_Toc125703365"/>
      <w:bookmarkStart w:id="266" w:name="_Toc131500414"/>
      <w:bookmarkStart w:id="267" w:name="_Toc131500631"/>
      <w:bookmarkStart w:id="268" w:name="_Toc131511063"/>
      <w:r>
        <w:rPr>
          <w:rStyle w:val="CharPartNo"/>
        </w:rPr>
        <w:lastRenderedPageBreak/>
        <w:t>Part 7</w:t>
      </w:r>
      <w:r>
        <w:t> — </w:t>
      </w:r>
      <w:r>
        <w:rPr>
          <w:rStyle w:val="CharPartText"/>
        </w:rPr>
        <w:t>Building Services Board</w:t>
      </w:r>
      <w:bookmarkEnd w:id="262"/>
      <w:bookmarkEnd w:id="263"/>
      <w:bookmarkEnd w:id="264"/>
      <w:bookmarkEnd w:id="265"/>
      <w:bookmarkEnd w:id="266"/>
      <w:bookmarkEnd w:id="267"/>
      <w:bookmarkEnd w:id="268"/>
    </w:p>
    <w:p>
      <w:pPr>
        <w:pStyle w:val="Heading3"/>
      </w:pPr>
      <w:bookmarkStart w:id="269" w:name="_Toc124951147"/>
      <w:bookmarkStart w:id="270" w:name="_Toc125010783"/>
      <w:bookmarkStart w:id="271" w:name="_Toc125703016"/>
      <w:bookmarkStart w:id="272" w:name="_Toc125703366"/>
      <w:bookmarkStart w:id="273" w:name="_Toc131500415"/>
      <w:bookmarkStart w:id="274" w:name="_Toc131500632"/>
      <w:bookmarkStart w:id="275" w:name="_Toc131511064"/>
      <w:r>
        <w:rPr>
          <w:rStyle w:val="CharDivNo"/>
        </w:rPr>
        <w:t>Division 1</w:t>
      </w:r>
      <w:r>
        <w:t> — </w:t>
      </w:r>
      <w:r>
        <w:rPr>
          <w:rStyle w:val="CharDivText"/>
        </w:rPr>
        <w:t>Establishment</w:t>
      </w:r>
      <w:bookmarkEnd w:id="269"/>
      <w:bookmarkEnd w:id="270"/>
      <w:bookmarkEnd w:id="271"/>
      <w:bookmarkEnd w:id="272"/>
      <w:bookmarkEnd w:id="273"/>
      <w:bookmarkEnd w:id="274"/>
      <w:bookmarkEnd w:id="275"/>
    </w:p>
    <w:p>
      <w:pPr>
        <w:pStyle w:val="Heading5"/>
      </w:pPr>
      <w:bookmarkStart w:id="276" w:name="_Toc131511065"/>
      <w:r>
        <w:rPr>
          <w:rStyle w:val="CharSectno"/>
        </w:rPr>
        <w:t>65</w:t>
      </w:r>
      <w:r>
        <w:t>.</w:t>
      </w:r>
      <w:r>
        <w:tab/>
        <w:t>Board established</w:t>
      </w:r>
      <w:bookmarkEnd w:id="276"/>
    </w:p>
    <w:p>
      <w:pPr>
        <w:pStyle w:val="Subsection"/>
      </w:pPr>
      <w:r>
        <w:tab/>
      </w:r>
      <w:r>
        <w:tab/>
        <w:t>A body called the Building Services Board is established.</w:t>
      </w:r>
    </w:p>
    <w:p>
      <w:pPr>
        <w:pStyle w:val="Heading5"/>
      </w:pPr>
      <w:bookmarkStart w:id="277" w:name="_Toc131511066"/>
      <w:r>
        <w:rPr>
          <w:rStyle w:val="CharSectno"/>
        </w:rPr>
        <w:t>66</w:t>
      </w:r>
      <w:r>
        <w:t>.</w:t>
      </w:r>
      <w:r>
        <w:tab/>
        <w:t>Status</w:t>
      </w:r>
      <w:bookmarkEnd w:id="277"/>
    </w:p>
    <w:p>
      <w:pPr>
        <w:pStyle w:val="Subsection"/>
      </w:pPr>
      <w:r>
        <w:tab/>
      </w:r>
      <w:r>
        <w:tab/>
        <w:t>The Board is an agent of the State and has the status, immunities and privileges of the State.</w:t>
      </w:r>
    </w:p>
    <w:p>
      <w:pPr>
        <w:pStyle w:val="Heading5"/>
      </w:pPr>
      <w:bookmarkStart w:id="278" w:name="_Toc131511067"/>
      <w:r>
        <w:rPr>
          <w:rStyle w:val="CharSectno"/>
        </w:rPr>
        <w:t>67</w:t>
      </w:r>
      <w:r>
        <w:t>.</w:t>
      </w:r>
      <w:r>
        <w:tab/>
        <w:t>Membership of Board</w:t>
      </w:r>
      <w:bookmarkEnd w:id="278"/>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279" w:name="_Toc131511068"/>
      <w:r>
        <w:rPr>
          <w:rStyle w:val="CharSectno"/>
        </w:rPr>
        <w:t>68</w:t>
      </w:r>
      <w:r>
        <w:t>.</w:t>
      </w:r>
      <w:r>
        <w:tab/>
        <w:t>Remuneration and allowances</w:t>
      </w:r>
      <w:bookmarkEnd w:id="279"/>
    </w:p>
    <w:p>
      <w:pPr>
        <w:pStyle w:val="Subsection"/>
      </w:pPr>
      <w:r>
        <w:tab/>
      </w:r>
      <w:r>
        <w:tab/>
        <w:t xml:space="preserve">A member of the Board, or of a committee, is entitled to be paid such remuneration and allowances (if any) as the Minister, on </w:t>
      </w:r>
      <w:r>
        <w:lastRenderedPageBreak/>
        <w:t>the recommendation of the Public Sector Commissioner, determines from time to time.</w:t>
      </w:r>
    </w:p>
    <w:p>
      <w:pPr>
        <w:pStyle w:val="Heading3"/>
      </w:pPr>
      <w:bookmarkStart w:id="280" w:name="_Toc124951152"/>
      <w:bookmarkStart w:id="281" w:name="_Toc125010788"/>
      <w:bookmarkStart w:id="282" w:name="_Toc125703021"/>
      <w:bookmarkStart w:id="283" w:name="_Toc125703371"/>
      <w:bookmarkStart w:id="284" w:name="_Toc131500420"/>
      <w:bookmarkStart w:id="285" w:name="_Toc131500637"/>
      <w:bookmarkStart w:id="286" w:name="_Toc131511069"/>
      <w:r>
        <w:rPr>
          <w:rStyle w:val="CharDivNo"/>
        </w:rPr>
        <w:t>Division 2</w:t>
      </w:r>
      <w:r>
        <w:t> — </w:t>
      </w:r>
      <w:r>
        <w:rPr>
          <w:rStyle w:val="CharDivText"/>
        </w:rPr>
        <w:t>Functions and powers</w:t>
      </w:r>
      <w:bookmarkEnd w:id="280"/>
      <w:bookmarkEnd w:id="281"/>
      <w:bookmarkEnd w:id="282"/>
      <w:bookmarkEnd w:id="283"/>
      <w:bookmarkEnd w:id="284"/>
      <w:bookmarkEnd w:id="285"/>
      <w:bookmarkEnd w:id="286"/>
    </w:p>
    <w:p>
      <w:pPr>
        <w:pStyle w:val="Heading5"/>
      </w:pPr>
      <w:bookmarkStart w:id="287" w:name="_Toc131511070"/>
      <w:r>
        <w:rPr>
          <w:rStyle w:val="CharSectno"/>
        </w:rPr>
        <w:t>69</w:t>
      </w:r>
      <w:r>
        <w:t>.</w:t>
      </w:r>
      <w:r>
        <w:tab/>
        <w:t>Functions</w:t>
      </w:r>
      <w:bookmarkEnd w:id="287"/>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288" w:name="_Toc131511071"/>
      <w:r>
        <w:rPr>
          <w:rStyle w:val="CharSectno"/>
        </w:rPr>
        <w:t>70</w:t>
      </w:r>
      <w:r>
        <w:t>.</w:t>
      </w:r>
      <w:r>
        <w:tab/>
        <w:t>Powers</w:t>
      </w:r>
      <w:bookmarkEnd w:id="288"/>
    </w:p>
    <w:p>
      <w:pPr>
        <w:pStyle w:val="Subsection"/>
      </w:pPr>
      <w:r>
        <w:tab/>
      </w:r>
      <w:r>
        <w:tab/>
        <w:t>The Board has all the powers it needs to perform its functions.</w:t>
      </w:r>
    </w:p>
    <w:p>
      <w:pPr>
        <w:pStyle w:val="Heading5"/>
      </w:pPr>
      <w:bookmarkStart w:id="289" w:name="_Toc131511072"/>
      <w:r>
        <w:rPr>
          <w:rStyle w:val="CharSectno"/>
        </w:rPr>
        <w:t>71</w:t>
      </w:r>
      <w:r>
        <w:t>.</w:t>
      </w:r>
      <w:r>
        <w:tab/>
        <w:t>Delegation by Board</w:t>
      </w:r>
      <w:bookmarkEnd w:id="289"/>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lastRenderedPageBreak/>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290" w:name="_Toc124951156"/>
      <w:bookmarkStart w:id="291" w:name="_Toc125010792"/>
      <w:bookmarkStart w:id="292" w:name="_Toc125703025"/>
      <w:bookmarkStart w:id="293" w:name="_Toc125703375"/>
      <w:bookmarkStart w:id="294" w:name="_Toc131500424"/>
      <w:bookmarkStart w:id="295" w:name="_Toc131500641"/>
      <w:bookmarkStart w:id="296" w:name="_Toc131511073"/>
      <w:r>
        <w:rPr>
          <w:rStyle w:val="CharDivNo"/>
        </w:rPr>
        <w:t>Division 3</w:t>
      </w:r>
      <w:r>
        <w:t> — </w:t>
      </w:r>
      <w:r>
        <w:rPr>
          <w:rStyle w:val="CharDivText"/>
        </w:rPr>
        <w:t>Staff and services</w:t>
      </w:r>
      <w:bookmarkEnd w:id="290"/>
      <w:bookmarkEnd w:id="291"/>
      <w:bookmarkEnd w:id="292"/>
      <w:bookmarkEnd w:id="293"/>
      <w:bookmarkEnd w:id="294"/>
      <w:bookmarkEnd w:id="295"/>
      <w:bookmarkEnd w:id="296"/>
    </w:p>
    <w:p>
      <w:pPr>
        <w:pStyle w:val="Heading5"/>
      </w:pPr>
      <w:bookmarkStart w:id="297" w:name="_Toc131511074"/>
      <w:r>
        <w:rPr>
          <w:rStyle w:val="CharSectno"/>
        </w:rPr>
        <w:t>72</w:t>
      </w:r>
      <w:r>
        <w:t>.</w:t>
      </w:r>
      <w:r>
        <w:tab/>
        <w:t>Staff and services</w:t>
      </w:r>
      <w:bookmarkEnd w:id="297"/>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298" w:name="_Toc124951158"/>
      <w:bookmarkStart w:id="299" w:name="_Toc125010794"/>
      <w:bookmarkStart w:id="300" w:name="_Toc125703027"/>
      <w:bookmarkStart w:id="301" w:name="_Toc125703377"/>
      <w:bookmarkStart w:id="302" w:name="_Toc131500426"/>
      <w:bookmarkStart w:id="303" w:name="_Toc131500643"/>
      <w:bookmarkStart w:id="304" w:name="_Toc131511075"/>
      <w:r>
        <w:rPr>
          <w:rStyle w:val="CharDivNo"/>
        </w:rPr>
        <w:t>Division 4</w:t>
      </w:r>
      <w:r>
        <w:t> — </w:t>
      </w:r>
      <w:r>
        <w:rPr>
          <w:rStyle w:val="CharDivText"/>
        </w:rPr>
        <w:t>Relationship of Board with Minister</w:t>
      </w:r>
      <w:bookmarkEnd w:id="298"/>
      <w:bookmarkEnd w:id="299"/>
      <w:bookmarkEnd w:id="300"/>
      <w:bookmarkEnd w:id="301"/>
      <w:bookmarkEnd w:id="302"/>
      <w:bookmarkEnd w:id="303"/>
      <w:bookmarkEnd w:id="304"/>
    </w:p>
    <w:p>
      <w:pPr>
        <w:pStyle w:val="Heading5"/>
      </w:pPr>
      <w:bookmarkStart w:id="305" w:name="_Toc131511076"/>
      <w:r>
        <w:rPr>
          <w:rStyle w:val="CharSectno"/>
        </w:rPr>
        <w:t>73</w:t>
      </w:r>
      <w:r>
        <w:t>.</w:t>
      </w:r>
      <w:r>
        <w:tab/>
        <w:t>Directions by Minister</w:t>
      </w:r>
      <w:bookmarkEnd w:id="305"/>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lastRenderedPageBreak/>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306" w:name="_Toc131511077"/>
      <w:r>
        <w:rPr>
          <w:rStyle w:val="CharSectno"/>
        </w:rPr>
        <w:t>74</w:t>
      </w:r>
      <w:r>
        <w:t>.</w:t>
      </w:r>
      <w:r>
        <w:tab/>
        <w:t>Minister to have access to information</w:t>
      </w:r>
      <w:bookmarkEnd w:id="306"/>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lastRenderedPageBreak/>
        <w:tab/>
        <w:t>(b)</w:t>
      </w:r>
      <w:r>
        <w:tab/>
        <w:t>might enable the identity of any such person to be ascertained,</w:t>
      </w:r>
    </w:p>
    <w:p>
      <w:pPr>
        <w:pStyle w:val="Subsection"/>
      </w:pPr>
      <w:r>
        <w:tab/>
      </w:r>
      <w:r>
        <w:tab/>
        <w:t>unless that person has consented to the disclosure.</w:t>
      </w:r>
    </w:p>
    <w:p>
      <w:pPr>
        <w:pStyle w:val="Heading3"/>
      </w:pPr>
      <w:bookmarkStart w:id="307" w:name="_Toc124951161"/>
      <w:bookmarkStart w:id="308" w:name="_Toc125010797"/>
      <w:bookmarkStart w:id="309" w:name="_Toc125703030"/>
      <w:bookmarkStart w:id="310" w:name="_Toc125703380"/>
      <w:bookmarkStart w:id="311" w:name="_Toc131500429"/>
      <w:bookmarkStart w:id="312" w:name="_Toc131500646"/>
      <w:bookmarkStart w:id="313" w:name="_Toc131511078"/>
      <w:r>
        <w:rPr>
          <w:rStyle w:val="CharDivNo"/>
        </w:rPr>
        <w:t>Division 5</w:t>
      </w:r>
      <w:r>
        <w:t> — </w:t>
      </w:r>
      <w:r>
        <w:rPr>
          <w:rStyle w:val="CharDivText"/>
        </w:rPr>
        <w:t>Constitution and proceedings of the Board</w:t>
      </w:r>
      <w:bookmarkEnd w:id="307"/>
      <w:bookmarkEnd w:id="308"/>
      <w:bookmarkEnd w:id="309"/>
      <w:bookmarkEnd w:id="310"/>
      <w:bookmarkEnd w:id="311"/>
      <w:bookmarkEnd w:id="312"/>
      <w:bookmarkEnd w:id="313"/>
    </w:p>
    <w:p>
      <w:pPr>
        <w:pStyle w:val="Heading4"/>
        <w:rPr>
          <w:rStyle w:val="CharSDivText"/>
        </w:rPr>
      </w:pPr>
      <w:bookmarkStart w:id="314" w:name="_Toc124951162"/>
      <w:bookmarkStart w:id="315" w:name="_Toc125010798"/>
      <w:bookmarkStart w:id="316" w:name="_Toc125703031"/>
      <w:bookmarkStart w:id="317" w:name="_Toc125703381"/>
      <w:bookmarkStart w:id="318" w:name="_Toc131500430"/>
      <w:bookmarkStart w:id="319" w:name="_Toc131500647"/>
      <w:bookmarkStart w:id="320" w:name="_Toc131511079"/>
      <w:r>
        <w:t>Subdivision 1 — </w:t>
      </w:r>
      <w:r>
        <w:rPr>
          <w:rStyle w:val="CharSDivText"/>
        </w:rPr>
        <w:t>General provisions</w:t>
      </w:r>
      <w:bookmarkEnd w:id="314"/>
      <w:bookmarkEnd w:id="315"/>
      <w:bookmarkEnd w:id="316"/>
      <w:bookmarkEnd w:id="317"/>
      <w:bookmarkEnd w:id="318"/>
      <w:bookmarkEnd w:id="319"/>
      <w:bookmarkEnd w:id="320"/>
    </w:p>
    <w:p>
      <w:pPr>
        <w:pStyle w:val="Heading5"/>
      </w:pPr>
      <w:bookmarkStart w:id="321" w:name="_Toc131511080"/>
      <w:r>
        <w:rPr>
          <w:rStyle w:val="CharSectno"/>
        </w:rPr>
        <w:t>75</w:t>
      </w:r>
      <w:r>
        <w:t>.</w:t>
      </w:r>
      <w:r>
        <w:tab/>
        <w:t>Term of office</w:t>
      </w:r>
      <w:bookmarkEnd w:id="321"/>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322" w:name="_Toc131511081"/>
      <w:r>
        <w:rPr>
          <w:rStyle w:val="CharSectno"/>
        </w:rPr>
        <w:t>76</w:t>
      </w:r>
      <w:r>
        <w:t>.</w:t>
      </w:r>
      <w:r>
        <w:tab/>
        <w:t>Casual vacancies</w:t>
      </w:r>
      <w:bookmarkEnd w:id="322"/>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lastRenderedPageBreak/>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323" w:name="_Toc131511082"/>
      <w:r>
        <w:rPr>
          <w:rStyle w:val="CharSectno"/>
        </w:rPr>
        <w:t>77</w:t>
      </w:r>
      <w:r>
        <w:t>.</w:t>
      </w:r>
      <w:r>
        <w:tab/>
        <w:t>Deputy chairperson acting as chairperson</w:t>
      </w:r>
      <w:bookmarkEnd w:id="323"/>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324" w:name="_Toc131511083"/>
      <w:r>
        <w:rPr>
          <w:rStyle w:val="CharSectno"/>
        </w:rPr>
        <w:t>78</w:t>
      </w:r>
      <w:r>
        <w:t>.</w:t>
      </w:r>
      <w:r>
        <w:tab/>
        <w:t>Alternate members</w:t>
      </w:r>
      <w:bookmarkEnd w:id="324"/>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lastRenderedPageBreak/>
        <w:tab/>
        <w:t>(4)</w:t>
      </w:r>
      <w:r>
        <w:tab/>
        <w:t>An act or omission of an alternate member is not to be questioned on the ground that the occasion for the appointment or acting had not arisen or had ceased.</w:t>
      </w:r>
    </w:p>
    <w:p>
      <w:pPr>
        <w:pStyle w:val="Heading5"/>
      </w:pPr>
      <w:bookmarkStart w:id="325" w:name="_Toc131511084"/>
      <w:r>
        <w:rPr>
          <w:rStyle w:val="CharSectno"/>
        </w:rPr>
        <w:t>79</w:t>
      </w:r>
      <w:r>
        <w:t>.</w:t>
      </w:r>
      <w:r>
        <w:tab/>
        <w:t>Holding meetings</w:t>
      </w:r>
      <w:bookmarkEnd w:id="325"/>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326" w:name="_Toc131511085"/>
      <w:r>
        <w:rPr>
          <w:rStyle w:val="CharSectno"/>
        </w:rPr>
        <w:t>80</w:t>
      </w:r>
      <w:r>
        <w:t>.</w:t>
      </w:r>
      <w:r>
        <w:tab/>
        <w:t>Quorum</w:t>
      </w:r>
      <w:bookmarkEnd w:id="326"/>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327" w:name="_Toc131511086"/>
      <w:r>
        <w:rPr>
          <w:rStyle w:val="CharSectno"/>
        </w:rPr>
        <w:t>81</w:t>
      </w:r>
      <w:r>
        <w:t>.</w:t>
      </w:r>
      <w:r>
        <w:tab/>
        <w:t>Presiding at meetings</w:t>
      </w:r>
      <w:bookmarkEnd w:id="327"/>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28" w:name="_Toc131511087"/>
      <w:r>
        <w:rPr>
          <w:rStyle w:val="CharSectno"/>
        </w:rPr>
        <w:t>82</w:t>
      </w:r>
      <w:r>
        <w:t>.</w:t>
      </w:r>
      <w:r>
        <w:tab/>
        <w:t>Procedure at meetings</w:t>
      </w:r>
      <w:bookmarkEnd w:id="328"/>
    </w:p>
    <w:p>
      <w:pPr>
        <w:pStyle w:val="Subsection"/>
      </w:pPr>
      <w:r>
        <w:tab/>
      </w:r>
      <w:r>
        <w:tab/>
        <w:t>The Board is to determine its own meeting procedures to the extent that they are not fixed by this Act.</w:t>
      </w:r>
    </w:p>
    <w:p>
      <w:pPr>
        <w:pStyle w:val="Heading5"/>
      </w:pPr>
      <w:bookmarkStart w:id="329" w:name="_Toc131511088"/>
      <w:r>
        <w:rPr>
          <w:rStyle w:val="CharSectno"/>
        </w:rPr>
        <w:t>83</w:t>
      </w:r>
      <w:r>
        <w:t>.</w:t>
      </w:r>
      <w:r>
        <w:tab/>
        <w:t>Voting</w:t>
      </w:r>
      <w:bookmarkEnd w:id="329"/>
    </w:p>
    <w:p>
      <w:pPr>
        <w:pStyle w:val="Subsection"/>
      </w:pPr>
      <w:r>
        <w:tab/>
        <w:t>(1)</w:t>
      </w:r>
      <w:r>
        <w:tab/>
        <w:t>At a meeting of the Board, each member present has a deliberative vote unless section 90 prevents the member from voting.</w:t>
      </w:r>
    </w:p>
    <w:p>
      <w:pPr>
        <w:pStyle w:val="Subsection"/>
      </w:pPr>
      <w:r>
        <w:lastRenderedPageBreak/>
        <w:tab/>
        <w:t>(2)</w:t>
      </w:r>
      <w:r>
        <w:tab/>
        <w:t>A question is resolved according to how a majority of the votes are cast but if there is not a majority the question is resolved according to the casting vote of the person presiding.</w:t>
      </w:r>
    </w:p>
    <w:p>
      <w:pPr>
        <w:pStyle w:val="Heading5"/>
      </w:pPr>
      <w:bookmarkStart w:id="330" w:name="_Toc131511089"/>
      <w:r>
        <w:rPr>
          <w:rStyle w:val="CharSectno"/>
        </w:rPr>
        <w:t>84</w:t>
      </w:r>
      <w:r>
        <w:t>.</w:t>
      </w:r>
      <w:r>
        <w:tab/>
        <w:t>Inviting consultant to participate in meeting</w:t>
      </w:r>
      <w:bookmarkEnd w:id="330"/>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331" w:name="_Toc131511090"/>
      <w:r>
        <w:rPr>
          <w:rStyle w:val="CharSectno"/>
        </w:rPr>
        <w:t>85</w:t>
      </w:r>
      <w:r>
        <w:t>.</w:t>
      </w:r>
      <w:r>
        <w:tab/>
        <w:t>Holding meetings remotely</w:t>
      </w:r>
      <w:bookmarkEnd w:id="33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332" w:name="_Toc131511091"/>
      <w:r>
        <w:rPr>
          <w:rStyle w:val="CharSectno"/>
        </w:rPr>
        <w:t>86</w:t>
      </w:r>
      <w:r>
        <w:t>.</w:t>
      </w:r>
      <w:r>
        <w:tab/>
        <w:t>Resolution without meeting</w:t>
      </w:r>
      <w:bookmarkEnd w:id="332"/>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333" w:name="_Toc131511092"/>
      <w:r>
        <w:rPr>
          <w:rStyle w:val="CharSectno"/>
        </w:rPr>
        <w:t>87</w:t>
      </w:r>
      <w:r>
        <w:t>.</w:t>
      </w:r>
      <w:r>
        <w:tab/>
        <w:t>Minutes</w:t>
      </w:r>
      <w:bookmarkEnd w:id="333"/>
    </w:p>
    <w:p>
      <w:pPr>
        <w:pStyle w:val="Subsection"/>
      </w:pPr>
      <w:r>
        <w:tab/>
      </w:r>
      <w:r>
        <w:tab/>
        <w:t>The Board is to cause accurate minutes to be kept of the proceedings at each of its meetings and each meeting of its committees.</w:t>
      </w:r>
    </w:p>
    <w:p>
      <w:pPr>
        <w:pStyle w:val="Heading5"/>
      </w:pPr>
      <w:bookmarkStart w:id="334" w:name="_Toc131511093"/>
      <w:r>
        <w:rPr>
          <w:rStyle w:val="CharSectno"/>
        </w:rPr>
        <w:t>88</w:t>
      </w:r>
      <w:r>
        <w:t>.</w:t>
      </w:r>
      <w:r>
        <w:tab/>
        <w:t>Committees</w:t>
      </w:r>
      <w:bookmarkEnd w:id="334"/>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lastRenderedPageBreak/>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335" w:name="_Toc124951177"/>
      <w:bookmarkStart w:id="336" w:name="_Toc125010813"/>
      <w:bookmarkStart w:id="337" w:name="_Toc125703046"/>
      <w:bookmarkStart w:id="338" w:name="_Toc125703396"/>
      <w:bookmarkStart w:id="339" w:name="_Toc131500445"/>
      <w:bookmarkStart w:id="340" w:name="_Toc131500662"/>
      <w:bookmarkStart w:id="341" w:name="_Toc131511094"/>
      <w:r>
        <w:t>Subdivision 2 — </w:t>
      </w:r>
      <w:r>
        <w:rPr>
          <w:rStyle w:val="CharSDivText"/>
        </w:rPr>
        <w:t>Disclosure of interests</w:t>
      </w:r>
      <w:bookmarkEnd w:id="335"/>
      <w:bookmarkEnd w:id="336"/>
      <w:bookmarkEnd w:id="337"/>
      <w:bookmarkEnd w:id="338"/>
      <w:bookmarkEnd w:id="339"/>
      <w:bookmarkEnd w:id="340"/>
      <w:bookmarkEnd w:id="341"/>
    </w:p>
    <w:p>
      <w:pPr>
        <w:pStyle w:val="Heading5"/>
      </w:pPr>
      <w:bookmarkStart w:id="342" w:name="_Toc131511095"/>
      <w:r>
        <w:rPr>
          <w:rStyle w:val="CharSectno"/>
        </w:rPr>
        <w:t>89</w:t>
      </w:r>
      <w:r>
        <w:t>.</w:t>
      </w:r>
      <w:r>
        <w:tab/>
        <w:t>Disclosure of interest</w:t>
      </w:r>
      <w:bookmarkEnd w:id="342"/>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343" w:name="_Toc131511096"/>
      <w:r>
        <w:rPr>
          <w:rStyle w:val="CharSectno"/>
        </w:rPr>
        <w:lastRenderedPageBreak/>
        <w:t>90</w:t>
      </w:r>
      <w:r>
        <w:t>.</w:t>
      </w:r>
      <w:r>
        <w:tab/>
        <w:t>Voting by interested Board member</w:t>
      </w:r>
      <w:bookmarkEnd w:id="343"/>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344" w:name="_Toc131511097"/>
      <w:r>
        <w:rPr>
          <w:rStyle w:val="CharSectno"/>
        </w:rPr>
        <w:t>91</w:t>
      </w:r>
      <w:r>
        <w:t>.</w:t>
      </w:r>
      <w:r>
        <w:tab/>
        <w:t>Section 90 may be declared inapplicable</w:t>
      </w:r>
      <w:bookmarkEnd w:id="344"/>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45" w:name="_Toc131511098"/>
      <w:r>
        <w:rPr>
          <w:rStyle w:val="CharSectno"/>
        </w:rPr>
        <w:t>92</w:t>
      </w:r>
      <w:r>
        <w:t>.</w:t>
      </w:r>
      <w:r>
        <w:tab/>
        <w:t>Quorum where section 90 applies</w:t>
      </w:r>
      <w:bookmarkEnd w:id="345"/>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346" w:name="_Toc131511099"/>
      <w:r>
        <w:rPr>
          <w:rStyle w:val="CharSectno"/>
        </w:rPr>
        <w:lastRenderedPageBreak/>
        <w:t>93</w:t>
      </w:r>
      <w:r>
        <w:t>.</w:t>
      </w:r>
      <w:r>
        <w:tab/>
        <w:t>Minister may declare sections 90 and 92 inapplicable</w:t>
      </w:r>
      <w:bookmarkEnd w:id="346"/>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347" w:name="_Toc124951183"/>
      <w:bookmarkStart w:id="348" w:name="_Toc125010819"/>
      <w:bookmarkStart w:id="349" w:name="_Toc125703052"/>
      <w:bookmarkStart w:id="350" w:name="_Toc125703402"/>
      <w:bookmarkStart w:id="351" w:name="_Toc131500451"/>
      <w:bookmarkStart w:id="352" w:name="_Toc131500668"/>
      <w:bookmarkStart w:id="353" w:name="_Toc131511100"/>
      <w:r>
        <w:rPr>
          <w:rStyle w:val="CharDivNo"/>
        </w:rPr>
        <w:t>Division 6</w:t>
      </w:r>
      <w:r>
        <w:t> — </w:t>
      </w:r>
      <w:r>
        <w:rPr>
          <w:rStyle w:val="CharDivText"/>
        </w:rPr>
        <w:t>General</w:t>
      </w:r>
      <w:bookmarkEnd w:id="347"/>
      <w:bookmarkEnd w:id="348"/>
      <w:bookmarkEnd w:id="349"/>
      <w:bookmarkEnd w:id="350"/>
      <w:bookmarkEnd w:id="351"/>
      <w:bookmarkEnd w:id="352"/>
      <w:bookmarkEnd w:id="353"/>
    </w:p>
    <w:p>
      <w:pPr>
        <w:pStyle w:val="Heading5"/>
      </w:pPr>
      <w:bookmarkStart w:id="354" w:name="_Toc131511101"/>
      <w:r>
        <w:rPr>
          <w:rStyle w:val="CharSectno"/>
        </w:rPr>
        <w:t>94</w:t>
      </w:r>
      <w:r>
        <w:t>.</w:t>
      </w:r>
      <w:r>
        <w:tab/>
        <w:t>Information to be provided to Building Commissioner annually</w:t>
      </w:r>
      <w:bookmarkEnd w:id="354"/>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355" w:name="_Toc131511102"/>
      <w:r>
        <w:rPr>
          <w:rStyle w:val="CharSectno"/>
        </w:rPr>
        <w:t>95</w:t>
      </w:r>
      <w:r>
        <w:t>.</w:t>
      </w:r>
      <w:r>
        <w:tab/>
        <w:t>Moneys to be credited to Building Services Account</w:t>
      </w:r>
      <w:bookmarkEnd w:id="355"/>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lastRenderedPageBreak/>
        <w:tab/>
        <w:t>(b)</w:t>
      </w:r>
      <w:r>
        <w:tab/>
        <w:t>any fine imposed under section 57(2)(d), 58(1)(i) or 59(3);</w:t>
      </w:r>
    </w:p>
    <w:p>
      <w:pPr>
        <w:pStyle w:val="Indenta"/>
      </w:pPr>
      <w:r>
        <w:tab/>
        <w:t>(c)</w:t>
      </w:r>
      <w:r>
        <w:tab/>
        <w:t>any costs or expenses ordered to be paid under section 57(3).</w:t>
      </w:r>
    </w:p>
    <w:p>
      <w:pPr>
        <w:pStyle w:val="Heading5"/>
      </w:pPr>
      <w:bookmarkStart w:id="356" w:name="_Toc131511103"/>
      <w:r>
        <w:rPr>
          <w:rStyle w:val="CharSectno"/>
        </w:rPr>
        <w:t>96</w:t>
      </w:r>
      <w:r>
        <w:t>.</w:t>
      </w:r>
      <w:r>
        <w:tab/>
        <w:t>Execution of documents by the Board</w:t>
      </w:r>
      <w:bookmarkEnd w:id="356"/>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357" w:name="_Toc124951187"/>
      <w:bookmarkStart w:id="358" w:name="_Toc125010823"/>
      <w:bookmarkStart w:id="359" w:name="_Toc125703056"/>
      <w:bookmarkStart w:id="360" w:name="_Toc125703406"/>
      <w:bookmarkStart w:id="361" w:name="_Toc131500455"/>
      <w:bookmarkStart w:id="362" w:name="_Toc131500672"/>
      <w:bookmarkStart w:id="363" w:name="_Toc131511104"/>
      <w:r>
        <w:rPr>
          <w:rStyle w:val="CharPartNo"/>
        </w:rPr>
        <w:lastRenderedPageBreak/>
        <w:t>Part 8</w:t>
      </w:r>
      <w:r>
        <w:rPr>
          <w:rStyle w:val="CharDivNo"/>
        </w:rPr>
        <w:t> </w:t>
      </w:r>
      <w:r>
        <w:t>—</w:t>
      </w:r>
      <w:r>
        <w:rPr>
          <w:rStyle w:val="CharDivText"/>
        </w:rPr>
        <w:t> </w:t>
      </w:r>
      <w:r>
        <w:rPr>
          <w:rStyle w:val="CharPartText"/>
        </w:rPr>
        <w:t>General provisions</w:t>
      </w:r>
      <w:bookmarkEnd w:id="357"/>
      <w:bookmarkEnd w:id="358"/>
      <w:bookmarkEnd w:id="359"/>
      <w:bookmarkEnd w:id="360"/>
      <w:bookmarkEnd w:id="361"/>
      <w:bookmarkEnd w:id="362"/>
      <w:bookmarkEnd w:id="363"/>
    </w:p>
    <w:p>
      <w:pPr>
        <w:pStyle w:val="Heading5"/>
      </w:pPr>
      <w:bookmarkStart w:id="364" w:name="_Toc130918374"/>
      <w:bookmarkStart w:id="365" w:name="_Toc131511105"/>
      <w:r>
        <w:rPr>
          <w:rStyle w:val="CharSectno"/>
        </w:rPr>
        <w:t>97</w:t>
      </w:r>
      <w:r>
        <w:t>.</w:t>
      </w:r>
      <w:r>
        <w:tab/>
        <w:t>Liability of officers for offence by body corporate</w:t>
      </w:r>
      <w:bookmarkEnd w:id="364"/>
      <w:bookmarkEnd w:id="365"/>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pPr>
            <w:r>
              <w:t>s. 4(1)</w:t>
            </w:r>
          </w:p>
        </w:tc>
        <w:tc>
          <w:tcPr>
            <w:tcW w:w="2410" w:type="dxa"/>
            <w:noWrap/>
          </w:tcPr>
          <w:p>
            <w:pPr>
              <w:pStyle w:val="TableNAm"/>
            </w:pPr>
            <w:r>
              <w:t>s. 5(2)</w:t>
            </w:r>
          </w:p>
        </w:tc>
      </w:tr>
      <w:tr>
        <w:tc>
          <w:tcPr>
            <w:tcW w:w="2409" w:type="dxa"/>
            <w:noWrap/>
          </w:tcPr>
          <w:p>
            <w:pPr>
              <w:pStyle w:val="TableNAm"/>
            </w:pPr>
            <w:r>
              <w:t>s. 6(1)</w:t>
            </w:r>
          </w:p>
        </w:tc>
        <w:tc>
          <w:tcPr>
            <w:tcW w:w="2410" w:type="dxa"/>
            <w:noWrap/>
          </w:tcPr>
          <w:p>
            <w:pPr>
              <w:pStyle w:val="TableNAm"/>
            </w:pPr>
            <w:r>
              <w:t>s. 7(1) and (5)</w:t>
            </w:r>
          </w:p>
        </w:tc>
      </w:tr>
      <w:tr>
        <w:tc>
          <w:tcPr>
            <w:tcW w:w="2409" w:type="dxa"/>
            <w:noWrap/>
          </w:tcPr>
          <w:p>
            <w:pPr>
              <w:pStyle w:val="TableNAm"/>
            </w:pPr>
            <w:r>
              <w:t>s. 22(2) and (3)</w:t>
            </w:r>
          </w:p>
        </w:tc>
        <w:tc>
          <w:tcPr>
            <w:tcW w:w="2410" w:type="dxa"/>
            <w:noWrap/>
          </w:tcPr>
          <w:p>
            <w:pPr>
              <w:pStyle w:val="TableNAm"/>
            </w:pPr>
            <w:r>
              <w:t>s. 25</w:t>
            </w:r>
          </w:p>
        </w:tc>
      </w:tr>
      <w:tr>
        <w:tc>
          <w:tcPr>
            <w:tcW w:w="2409" w:type="dxa"/>
            <w:noWrap/>
          </w:tcPr>
          <w:p>
            <w:pPr>
              <w:pStyle w:val="TableNAm"/>
            </w:pPr>
            <w:r>
              <w:t>s. 33(1)</w:t>
            </w:r>
          </w:p>
        </w:tc>
        <w:tc>
          <w:tcPr>
            <w:tcW w:w="2410" w:type="dxa"/>
            <w:noWrap/>
          </w:tcPr>
          <w:p>
            <w:pPr>
              <w:pStyle w:val="TableNAm"/>
            </w:pPr>
            <w:r>
              <w:t>s. 34(1) and (3)</w:t>
            </w:r>
          </w:p>
        </w:tc>
      </w:tr>
      <w:tr>
        <w:tc>
          <w:tcPr>
            <w:tcW w:w="2409" w:type="dxa"/>
            <w:noWrap/>
          </w:tcPr>
          <w:p>
            <w:pPr>
              <w:pStyle w:val="TableNAm"/>
            </w:pPr>
            <w:r>
              <w:t>s. 35(1), (2) and (3)</w:t>
            </w:r>
          </w:p>
        </w:tc>
        <w:tc>
          <w:tcPr>
            <w:tcW w:w="2410" w:type="dxa"/>
            <w:noWrap/>
          </w:tcPr>
          <w:p>
            <w:pPr>
              <w:pStyle w:val="TableNAm"/>
            </w:pPr>
            <w:r>
              <w:t>s. 36(1)</w:t>
            </w:r>
          </w:p>
        </w:tc>
      </w:tr>
      <w:tr>
        <w:tc>
          <w:tcPr>
            <w:tcW w:w="2409" w:type="dxa"/>
            <w:noWrap/>
          </w:tcPr>
          <w:p>
            <w:pPr>
              <w:pStyle w:val="TableNAm"/>
            </w:pPr>
            <w:r>
              <w:t>s. 37(1)</w:t>
            </w:r>
          </w:p>
        </w:tc>
        <w:tc>
          <w:tcPr>
            <w:tcW w:w="2410" w:type="dxa"/>
            <w:noWrap/>
          </w:tcPr>
          <w:p>
            <w:pPr>
              <w:pStyle w:val="TableNAm"/>
            </w:pPr>
            <w:r>
              <w:t>s. 99</w:t>
            </w:r>
          </w:p>
        </w:tc>
      </w:tr>
    </w:tbl>
    <w:p>
      <w:pPr>
        <w:pStyle w:val="Footnotesection"/>
      </w:pPr>
      <w:r>
        <w:tab/>
        <w:t>[Section 97 inserted: No. 9 of 2023 s. 38.]</w:t>
      </w:r>
    </w:p>
    <w:p>
      <w:pPr>
        <w:pStyle w:val="Heading5"/>
      </w:pPr>
      <w:bookmarkStart w:id="366" w:name="_Toc131511106"/>
      <w:r>
        <w:rPr>
          <w:rStyle w:val="CharSectno"/>
        </w:rPr>
        <w:t>98</w:t>
      </w:r>
      <w:r>
        <w:t>.</w:t>
      </w:r>
      <w:r>
        <w:tab/>
        <w:t>Protection from liability</w:t>
      </w:r>
      <w:bookmarkEnd w:id="366"/>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367" w:name="_Toc131511107"/>
      <w:r>
        <w:rPr>
          <w:rStyle w:val="CharSectno"/>
        </w:rPr>
        <w:lastRenderedPageBreak/>
        <w:t>99</w:t>
      </w:r>
      <w:r>
        <w:t>.</w:t>
      </w:r>
      <w:r>
        <w:tab/>
        <w:t>False or misleading information</w:t>
      </w:r>
      <w:bookmarkEnd w:id="367"/>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368" w:name="_Toc131511108"/>
      <w:r>
        <w:rPr>
          <w:rStyle w:val="CharSectno"/>
        </w:rPr>
        <w:t>100</w:t>
      </w:r>
      <w:r>
        <w:t>.</w:t>
      </w:r>
      <w:r>
        <w:tab/>
        <w:t>Confidentiality of information</w:t>
      </w:r>
      <w:bookmarkEnd w:id="368"/>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lastRenderedPageBreak/>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369" w:name="_Toc131511109"/>
      <w:r>
        <w:rPr>
          <w:rStyle w:val="CharSectno"/>
        </w:rPr>
        <w:t>101</w:t>
      </w:r>
      <w:r>
        <w:t>.</w:t>
      </w:r>
      <w:r>
        <w:tab/>
        <w:t>When a prosecution can be commenced</w:t>
      </w:r>
      <w:bookmarkEnd w:id="369"/>
    </w:p>
    <w:p>
      <w:pPr>
        <w:pStyle w:val="Subsection"/>
      </w:pPr>
      <w:r>
        <w:tab/>
      </w:r>
      <w:r>
        <w:tab/>
        <w:t>A prosecution for an offence against this Act may be commenced within 3 years after the date on which the offence was allegedly committed, but not later.</w:t>
      </w:r>
    </w:p>
    <w:p>
      <w:pPr>
        <w:pStyle w:val="Heading5"/>
      </w:pPr>
      <w:bookmarkStart w:id="370" w:name="_Toc131511110"/>
      <w:r>
        <w:rPr>
          <w:rStyle w:val="CharSectno"/>
        </w:rPr>
        <w:t>102</w:t>
      </w:r>
      <w:r>
        <w:t>.</w:t>
      </w:r>
      <w:r>
        <w:tab/>
        <w:t>Prosecutions</w:t>
      </w:r>
      <w:bookmarkEnd w:id="370"/>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371" w:name="_Toc131511111"/>
      <w:r>
        <w:rPr>
          <w:rStyle w:val="CharSectno"/>
        </w:rPr>
        <w:t>103</w:t>
      </w:r>
      <w:r>
        <w:t>.</w:t>
      </w:r>
      <w:r>
        <w:tab/>
        <w:t>Evidentiary matters</w:t>
      </w:r>
      <w:bookmarkEnd w:id="371"/>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lastRenderedPageBreak/>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372" w:name="_Toc131511112"/>
      <w:r>
        <w:rPr>
          <w:rStyle w:val="CharSectno"/>
        </w:rPr>
        <w:lastRenderedPageBreak/>
        <w:t>104</w:t>
      </w:r>
      <w:r>
        <w:t>.</w:t>
      </w:r>
      <w:r>
        <w:tab/>
        <w:t>Regulations</w:t>
      </w:r>
      <w:bookmarkEnd w:id="37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373" w:name="_Toc131511113"/>
      <w:r>
        <w:rPr>
          <w:rStyle w:val="CharSectno"/>
        </w:rPr>
        <w:t>105</w:t>
      </w:r>
      <w:r>
        <w:t>.</w:t>
      </w:r>
      <w:r>
        <w:tab/>
        <w:t>Review of Act</w:t>
      </w:r>
      <w:bookmarkEnd w:id="373"/>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lastRenderedPageBreak/>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74" w:name="_Toc124951197"/>
      <w:bookmarkStart w:id="375" w:name="_Toc125010833"/>
      <w:bookmarkStart w:id="376" w:name="_Toc125703066"/>
      <w:bookmarkStart w:id="377" w:name="_Toc125703416"/>
      <w:bookmarkStart w:id="378" w:name="_Toc131500465"/>
      <w:bookmarkStart w:id="379" w:name="_Toc131500682"/>
      <w:bookmarkStart w:id="380" w:name="_Toc131511114"/>
      <w:r>
        <w:rPr>
          <w:rStyle w:val="CharPartNo"/>
        </w:rPr>
        <w:lastRenderedPageBreak/>
        <w:t>Part 9</w:t>
      </w:r>
      <w:r>
        <w:t> — </w:t>
      </w:r>
      <w:r>
        <w:rPr>
          <w:rStyle w:val="CharPartText"/>
        </w:rPr>
        <w:t>Repeal, savings, transitional and other provisions</w:t>
      </w:r>
      <w:bookmarkEnd w:id="374"/>
      <w:bookmarkEnd w:id="375"/>
      <w:bookmarkEnd w:id="376"/>
      <w:bookmarkEnd w:id="377"/>
      <w:bookmarkEnd w:id="378"/>
      <w:bookmarkEnd w:id="379"/>
      <w:bookmarkEnd w:id="380"/>
    </w:p>
    <w:p>
      <w:pPr>
        <w:pStyle w:val="Heading3"/>
      </w:pPr>
      <w:bookmarkStart w:id="381" w:name="_Toc124951198"/>
      <w:bookmarkStart w:id="382" w:name="_Toc125010834"/>
      <w:bookmarkStart w:id="383" w:name="_Toc125703067"/>
      <w:bookmarkStart w:id="384" w:name="_Toc125703417"/>
      <w:bookmarkStart w:id="385" w:name="_Toc131500466"/>
      <w:bookmarkStart w:id="386" w:name="_Toc131500683"/>
      <w:bookmarkStart w:id="387" w:name="_Toc131511115"/>
      <w:r>
        <w:rPr>
          <w:rStyle w:val="CharDivNo"/>
        </w:rPr>
        <w:t>Division 1</w:t>
      </w:r>
      <w:r>
        <w:t> — </w:t>
      </w:r>
      <w:r>
        <w:rPr>
          <w:rStyle w:val="CharDivText"/>
        </w:rPr>
        <w:t>General</w:t>
      </w:r>
      <w:bookmarkEnd w:id="381"/>
      <w:bookmarkEnd w:id="382"/>
      <w:bookmarkEnd w:id="383"/>
      <w:bookmarkEnd w:id="384"/>
      <w:bookmarkEnd w:id="385"/>
      <w:bookmarkEnd w:id="386"/>
      <w:bookmarkEnd w:id="387"/>
    </w:p>
    <w:p>
      <w:pPr>
        <w:pStyle w:val="Heading5"/>
      </w:pPr>
      <w:bookmarkStart w:id="388" w:name="_Toc131511116"/>
      <w:r>
        <w:rPr>
          <w:rStyle w:val="CharSectno"/>
        </w:rPr>
        <w:t>106</w:t>
      </w:r>
      <w:r>
        <w:t>.</w:t>
      </w:r>
      <w:r>
        <w:tab/>
      </w:r>
      <w:r>
        <w:rPr>
          <w:i/>
          <w:iCs/>
        </w:rPr>
        <w:t>Interpretation Act 1984</w:t>
      </w:r>
      <w:r>
        <w:t xml:space="preserve"> not affected</w:t>
      </w:r>
      <w:bookmarkEnd w:id="388"/>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389" w:name="_Toc124951200"/>
      <w:bookmarkStart w:id="390" w:name="_Toc125010836"/>
      <w:bookmarkStart w:id="391" w:name="_Toc125703069"/>
      <w:bookmarkStart w:id="392" w:name="_Toc125703419"/>
      <w:bookmarkStart w:id="393" w:name="_Toc131500468"/>
      <w:bookmarkStart w:id="394" w:name="_Toc131500685"/>
      <w:bookmarkStart w:id="395" w:name="_Toc131511117"/>
      <w:r>
        <w:rPr>
          <w:rStyle w:val="CharDivNo"/>
        </w:rPr>
        <w:t>Division 2</w:t>
      </w:r>
      <w:r>
        <w:t> — </w:t>
      </w:r>
      <w:r>
        <w:rPr>
          <w:rStyle w:val="CharDivText"/>
        </w:rPr>
        <w:t>Repeal</w:t>
      </w:r>
      <w:bookmarkEnd w:id="389"/>
      <w:bookmarkEnd w:id="390"/>
      <w:bookmarkEnd w:id="391"/>
      <w:bookmarkEnd w:id="392"/>
      <w:bookmarkEnd w:id="393"/>
      <w:bookmarkEnd w:id="394"/>
      <w:bookmarkEnd w:id="395"/>
    </w:p>
    <w:p>
      <w:pPr>
        <w:pStyle w:val="Heading5"/>
      </w:pPr>
      <w:bookmarkStart w:id="396" w:name="_Toc131511118"/>
      <w:r>
        <w:rPr>
          <w:rStyle w:val="CharSectno"/>
        </w:rPr>
        <w:t>107</w:t>
      </w:r>
      <w:r>
        <w:t>.</w:t>
      </w:r>
      <w:r>
        <w:tab/>
      </w:r>
      <w:r>
        <w:rPr>
          <w:i/>
          <w:iCs/>
        </w:rPr>
        <w:t xml:space="preserve">Builders’ Registration Act 1939 </w:t>
      </w:r>
      <w:r>
        <w:t>repealed</w:t>
      </w:r>
      <w:bookmarkEnd w:id="396"/>
    </w:p>
    <w:p>
      <w:pPr>
        <w:pStyle w:val="Subsection"/>
      </w:pPr>
      <w:r>
        <w:tab/>
      </w:r>
      <w:r>
        <w:tab/>
        <w:t xml:space="preserve">The </w:t>
      </w:r>
      <w:r>
        <w:rPr>
          <w:i/>
          <w:iCs/>
        </w:rPr>
        <w:t>Builders’ Registration Act 1939</w:t>
      </w:r>
      <w:r>
        <w:t xml:space="preserve"> is repealed.</w:t>
      </w:r>
    </w:p>
    <w:p>
      <w:pPr>
        <w:pStyle w:val="Heading5"/>
      </w:pPr>
      <w:bookmarkStart w:id="397" w:name="_Toc131511119"/>
      <w:r>
        <w:rPr>
          <w:rStyle w:val="CharSectno"/>
        </w:rPr>
        <w:t>108</w:t>
      </w:r>
      <w:r>
        <w:t>.</w:t>
      </w:r>
      <w:r>
        <w:tab/>
      </w:r>
      <w:r>
        <w:rPr>
          <w:i/>
          <w:iCs/>
        </w:rPr>
        <w:t>Painters’ Registration Act 1961</w:t>
      </w:r>
      <w:r>
        <w:t xml:space="preserve"> repealed</w:t>
      </w:r>
      <w:bookmarkEnd w:id="397"/>
    </w:p>
    <w:p>
      <w:pPr>
        <w:pStyle w:val="Subsection"/>
      </w:pPr>
      <w:r>
        <w:tab/>
      </w:r>
      <w:r>
        <w:tab/>
        <w:t xml:space="preserve">The </w:t>
      </w:r>
      <w:r>
        <w:rPr>
          <w:i/>
        </w:rPr>
        <w:t>Painters’ Registration Act 1961</w:t>
      </w:r>
      <w:r>
        <w:t xml:space="preserve"> is repealed.</w:t>
      </w:r>
    </w:p>
    <w:p>
      <w:pPr>
        <w:pStyle w:val="Heading5"/>
      </w:pPr>
      <w:bookmarkStart w:id="398" w:name="_Toc131511120"/>
      <w:r>
        <w:rPr>
          <w:rStyle w:val="CharSectno"/>
        </w:rPr>
        <w:t>109</w:t>
      </w:r>
      <w:r>
        <w:t>.</w:t>
      </w:r>
      <w:r>
        <w:tab/>
      </w:r>
      <w:r>
        <w:rPr>
          <w:i/>
          <w:iCs/>
        </w:rPr>
        <w:t>Builders’ Registration Regulations</w:t>
      </w:r>
      <w:r>
        <w:t xml:space="preserve"> repealed</w:t>
      </w:r>
      <w:bookmarkEnd w:id="398"/>
    </w:p>
    <w:p>
      <w:pPr>
        <w:pStyle w:val="Subsection"/>
      </w:pPr>
      <w:r>
        <w:tab/>
      </w:r>
      <w:r>
        <w:tab/>
        <w:t xml:space="preserve">The </w:t>
      </w:r>
      <w:r>
        <w:rPr>
          <w:i/>
        </w:rPr>
        <w:t>Builders’ Registration Regulations</w:t>
      </w:r>
      <w:r>
        <w:t xml:space="preserve"> are repealed.</w:t>
      </w:r>
    </w:p>
    <w:p>
      <w:pPr>
        <w:pStyle w:val="Heading5"/>
      </w:pPr>
      <w:bookmarkStart w:id="399" w:name="_Toc131511121"/>
      <w:r>
        <w:rPr>
          <w:rStyle w:val="CharSectno"/>
        </w:rPr>
        <w:t>110</w:t>
      </w:r>
      <w:r>
        <w:t>.</w:t>
      </w:r>
      <w:r>
        <w:tab/>
      </w:r>
      <w:r>
        <w:rPr>
          <w:i/>
          <w:iCs/>
        </w:rPr>
        <w:t>Painters’ Registration (Infringement Notices) Regulations 2006</w:t>
      </w:r>
      <w:r>
        <w:t xml:space="preserve"> repealed</w:t>
      </w:r>
      <w:bookmarkEnd w:id="399"/>
    </w:p>
    <w:p>
      <w:pPr>
        <w:pStyle w:val="Subsection"/>
      </w:pPr>
      <w:r>
        <w:tab/>
      </w:r>
      <w:r>
        <w:tab/>
        <w:t xml:space="preserve">The </w:t>
      </w:r>
      <w:r>
        <w:rPr>
          <w:i/>
        </w:rPr>
        <w:t>Painters’ Registration (Infringement Notices) Regulations 2006</w:t>
      </w:r>
      <w:r>
        <w:t xml:space="preserve"> are repealed.</w:t>
      </w:r>
    </w:p>
    <w:p>
      <w:pPr>
        <w:pStyle w:val="Heading5"/>
      </w:pPr>
      <w:bookmarkStart w:id="400" w:name="_Toc131511122"/>
      <w:r>
        <w:rPr>
          <w:rStyle w:val="CharSectno"/>
        </w:rPr>
        <w:t>111</w:t>
      </w:r>
      <w:r>
        <w:t>.</w:t>
      </w:r>
      <w:r>
        <w:tab/>
      </w:r>
      <w:r>
        <w:rPr>
          <w:i/>
          <w:iCs/>
        </w:rPr>
        <w:t>Painters’ Registration Board Rules 1962</w:t>
      </w:r>
      <w:r>
        <w:t xml:space="preserve"> repealed</w:t>
      </w:r>
      <w:bookmarkEnd w:id="400"/>
    </w:p>
    <w:p>
      <w:pPr>
        <w:pStyle w:val="Subsection"/>
      </w:pPr>
      <w:r>
        <w:tab/>
      </w:r>
      <w:r>
        <w:tab/>
        <w:t xml:space="preserve">The </w:t>
      </w:r>
      <w:r>
        <w:rPr>
          <w:i/>
        </w:rPr>
        <w:t>Painters’ Registration Board Rules 1962</w:t>
      </w:r>
      <w:r>
        <w:t xml:space="preserve"> are repealed.</w:t>
      </w:r>
    </w:p>
    <w:p>
      <w:pPr>
        <w:pStyle w:val="Heading5"/>
      </w:pPr>
      <w:bookmarkStart w:id="401" w:name="_Toc131511123"/>
      <w:r>
        <w:rPr>
          <w:rStyle w:val="CharSectno"/>
        </w:rPr>
        <w:t>112</w:t>
      </w:r>
      <w:r>
        <w:t>.</w:t>
      </w:r>
      <w:r>
        <w:tab/>
      </w:r>
      <w:r>
        <w:rPr>
          <w:i/>
        </w:rPr>
        <w:t>Local Government (Building Surveyors) Regulations 2008</w:t>
      </w:r>
      <w:r>
        <w:t xml:space="preserve"> repealed</w:t>
      </w:r>
      <w:bookmarkEnd w:id="401"/>
    </w:p>
    <w:p>
      <w:pPr>
        <w:pStyle w:val="Subsection"/>
      </w:pPr>
      <w:r>
        <w:tab/>
      </w:r>
      <w:r>
        <w:tab/>
        <w:t xml:space="preserve">The </w:t>
      </w:r>
      <w:r>
        <w:rPr>
          <w:i/>
        </w:rPr>
        <w:t>Local Government (Building Surveyors) Regulations 2008</w:t>
      </w:r>
      <w:r>
        <w:t xml:space="preserve"> are repealed.</w:t>
      </w:r>
    </w:p>
    <w:p>
      <w:pPr>
        <w:pStyle w:val="Heading3"/>
      </w:pPr>
      <w:bookmarkStart w:id="402" w:name="_Toc124951207"/>
      <w:bookmarkStart w:id="403" w:name="_Toc125010843"/>
      <w:bookmarkStart w:id="404" w:name="_Toc125703076"/>
      <w:bookmarkStart w:id="405" w:name="_Toc125703426"/>
      <w:bookmarkStart w:id="406" w:name="_Toc131500475"/>
      <w:bookmarkStart w:id="407" w:name="_Toc131500692"/>
      <w:bookmarkStart w:id="408" w:name="_Toc131511124"/>
      <w:r>
        <w:rPr>
          <w:rStyle w:val="CharDivNo"/>
        </w:rPr>
        <w:lastRenderedPageBreak/>
        <w:t>Division 3</w:t>
      </w:r>
      <w:r>
        <w:t> — </w:t>
      </w:r>
      <w:r>
        <w:rPr>
          <w:rStyle w:val="CharDivText"/>
        </w:rPr>
        <w:t>Savings and transitional matters</w:t>
      </w:r>
      <w:bookmarkEnd w:id="402"/>
      <w:bookmarkEnd w:id="403"/>
      <w:bookmarkEnd w:id="404"/>
      <w:bookmarkEnd w:id="405"/>
      <w:bookmarkEnd w:id="406"/>
      <w:bookmarkEnd w:id="407"/>
      <w:bookmarkEnd w:id="408"/>
    </w:p>
    <w:p>
      <w:pPr>
        <w:pStyle w:val="Heading4"/>
      </w:pPr>
      <w:bookmarkStart w:id="409" w:name="_Toc124951208"/>
      <w:bookmarkStart w:id="410" w:name="_Toc125010844"/>
      <w:bookmarkStart w:id="411" w:name="_Toc125703077"/>
      <w:bookmarkStart w:id="412" w:name="_Toc125703427"/>
      <w:bookmarkStart w:id="413" w:name="_Toc131500476"/>
      <w:bookmarkStart w:id="414" w:name="_Toc131500693"/>
      <w:bookmarkStart w:id="415" w:name="_Toc131511125"/>
      <w:r>
        <w:t>Subdivision 1 — Builders</w:t>
      </w:r>
      <w:bookmarkEnd w:id="409"/>
      <w:bookmarkEnd w:id="410"/>
      <w:bookmarkEnd w:id="411"/>
      <w:bookmarkEnd w:id="412"/>
      <w:bookmarkEnd w:id="413"/>
      <w:bookmarkEnd w:id="414"/>
      <w:bookmarkEnd w:id="415"/>
    </w:p>
    <w:p>
      <w:pPr>
        <w:pStyle w:val="Heading5"/>
      </w:pPr>
      <w:bookmarkStart w:id="416" w:name="_Toc131511126"/>
      <w:r>
        <w:rPr>
          <w:rStyle w:val="CharSectno"/>
        </w:rPr>
        <w:t>113</w:t>
      </w:r>
      <w:r>
        <w:t>.</w:t>
      </w:r>
      <w:r>
        <w:tab/>
        <w:t>Terms used</w:t>
      </w:r>
      <w:bookmarkEnd w:id="416"/>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417" w:name="_Toc131511127"/>
      <w:r>
        <w:rPr>
          <w:rStyle w:val="CharSectno"/>
        </w:rPr>
        <w:t>114</w:t>
      </w:r>
      <w:r>
        <w:t>.</w:t>
      </w:r>
      <w:r>
        <w:tab/>
        <w:t>Registration continues</w:t>
      </w:r>
      <w:bookmarkEnd w:id="417"/>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 xml:space="preserve">A body which immediately before commencement day was registered under section 10(2) of the repealed Act is to be taken to be registered under section 18 in a class of building service </w:t>
      </w:r>
      <w:r>
        <w:lastRenderedPageBreak/>
        <w:t>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418" w:name="_Toc131511128"/>
      <w:r>
        <w:rPr>
          <w:rStyle w:val="CharSectno"/>
        </w:rPr>
        <w:t>115</w:t>
      </w:r>
      <w:r>
        <w:t>.</w:t>
      </w:r>
      <w:r>
        <w:tab/>
        <w:t>Existing applications for registration</w:t>
      </w:r>
      <w:bookmarkEnd w:id="418"/>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lastRenderedPageBreak/>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419" w:name="_Toc131511129"/>
      <w:r>
        <w:rPr>
          <w:rStyle w:val="CharSectno"/>
        </w:rPr>
        <w:t>116</w:t>
      </w:r>
      <w:r>
        <w:t>.</w:t>
      </w:r>
      <w:r>
        <w:tab/>
        <w:t>Allegations of cause for disciplinary action made by former Board</w:t>
      </w:r>
      <w:bookmarkEnd w:id="419"/>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420" w:name="_Toc131511130"/>
      <w:r>
        <w:rPr>
          <w:rStyle w:val="CharSectno"/>
        </w:rPr>
        <w:t>117</w:t>
      </w:r>
      <w:r>
        <w:t>.</w:t>
      </w:r>
      <w:r>
        <w:tab/>
        <w:t>Disciplinary action: persons registered under repealed Act</w:t>
      </w:r>
      <w:bookmarkEnd w:id="420"/>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421" w:name="_Toc131511131"/>
      <w:r>
        <w:rPr>
          <w:rStyle w:val="CharSectno"/>
        </w:rPr>
        <w:t>118</w:t>
      </w:r>
      <w:r>
        <w:t>.</w:t>
      </w:r>
      <w:r>
        <w:tab/>
        <w:t>Devolution of assets and liabilities of former board</w:t>
      </w:r>
      <w:bookmarkEnd w:id="421"/>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lastRenderedPageBreak/>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22" w:name="_Toc131511132"/>
      <w:r>
        <w:rPr>
          <w:rStyle w:val="CharSectno"/>
        </w:rPr>
        <w:t>119</w:t>
      </w:r>
      <w:r>
        <w:t>.</w:t>
      </w:r>
      <w:r>
        <w:tab/>
        <w:t>Members of former board</w:t>
      </w:r>
      <w:bookmarkEnd w:id="422"/>
    </w:p>
    <w:p>
      <w:pPr>
        <w:pStyle w:val="Subsection"/>
      </w:pPr>
      <w:r>
        <w:tab/>
      </w:r>
      <w:r>
        <w:tab/>
        <w:t>A member of the former board ceases to be a member on commencement day.</w:t>
      </w:r>
    </w:p>
    <w:p>
      <w:pPr>
        <w:pStyle w:val="Heading5"/>
      </w:pPr>
      <w:bookmarkStart w:id="423" w:name="_Toc131511133"/>
      <w:r>
        <w:rPr>
          <w:rStyle w:val="CharSectno"/>
        </w:rPr>
        <w:t>120</w:t>
      </w:r>
      <w:r>
        <w:t>.</w:t>
      </w:r>
      <w:r>
        <w:tab/>
        <w:t>Staff of former board</w:t>
      </w:r>
      <w:bookmarkEnd w:id="423"/>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lastRenderedPageBreak/>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24" w:name="_Toc131511134"/>
      <w:r>
        <w:rPr>
          <w:rStyle w:val="CharSectno"/>
        </w:rPr>
        <w:t>121</w:t>
      </w:r>
      <w:r>
        <w:t>.</w:t>
      </w:r>
      <w:r>
        <w:tab/>
        <w:t>Reporting in respect of former board</w:t>
      </w:r>
      <w:bookmarkEnd w:id="424"/>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25" w:name="_Toc131511135"/>
      <w:r>
        <w:rPr>
          <w:rStyle w:val="CharSectno"/>
        </w:rPr>
        <w:t>122</w:t>
      </w:r>
      <w:r>
        <w:t>.</w:t>
      </w:r>
      <w:r>
        <w:tab/>
        <w:t>Completion of things commenced</w:t>
      </w:r>
      <w:bookmarkEnd w:id="425"/>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26" w:name="_Toc131511136"/>
      <w:r>
        <w:rPr>
          <w:rStyle w:val="CharSectno"/>
        </w:rPr>
        <w:lastRenderedPageBreak/>
        <w:t>123</w:t>
      </w:r>
      <w:r>
        <w:t>.</w:t>
      </w:r>
      <w:r>
        <w:tab/>
        <w:t>Continuing effect of things done</w:t>
      </w:r>
      <w:bookmarkEnd w:id="426"/>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427" w:name="_Toc131511137"/>
      <w:r>
        <w:rPr>
          <w:rStyle w:val="CharSectno"/>
        </w:rPr>
        <w:t>124</w:t>
      </w:r>
      <w:r>
        <w:t>.</w:t>
      </w:r>
      <w:r>
        <w:tab/>
        <w:t>Agreements and instruments generally</w:t>
      </w:r>
      <w:bookmarkEnd w:id="427"/>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28" w:name="_Toc124951221"/>
      <w:bookmarkStart w:id="429" w:name="_Toc125010857"/>
      <w:bookmarkStart w:id="430" w:name="_Toc125703090"/>
      <w:bookmarkStart w:id="431" w:name="_Toc125703440"/>
      <w:bookmarkStart w:id="432" w:name="_Toc131500489"/>
      <w:bookmarkStart w:id="433" w:name="_Toc131500706"/>
      <w:bookmarkStart w:id="434" w:name="_Toc131511138"/>
      <w:r>
        <w:lastRenderedPageBreak/>
        <w:t>Subdivision 2 — Painters</w:t>
      </w:r>
      <w:bookmarkEnd w:id="428"/>
      <w:bookmarkEnd w:id="429"/>
      <w:bookmarkEnd w:id="430"/>
      <w:bookmarkEnd w:id="431"/>
      <w:bookmarkEnd w:id="432"/>
      <w:bookmarkEnd w:id="433"/>
      <w:bookmarkEnd w:id="434"/>
    </w:p>
    <w:p>
      <w:pPr>
        <w:pStyle w:val="Heading5"/>
      </w:pPr>
      <w:bookmarkStart w:id="435" w:name="_Toc131511139"/>
      <w:r>
        <w:rPr>
          <w:rStyle w:val="CharSectno"/>
        </w:rPr>
        <w:t>125</w:t>
      </w:r>
      <w:r>
        <w:t>.</w:t>
      </w:r>
      <w:r>
        <w:tab/>
        <w:t>Terms used</w:t>
      </w:r>
      <w:bookmarkEnd w:id="435"/>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36" w:name="_Toc131511140"/>
      <w:r>
        <w:rPr>
          <w:rStyle w:val="CharSectno"/>
        </w:rPr>
        <w:t>126</w:t>
      </w:r>
      <w:r>
        <w:t>.</w:t>
      </w:r>
      <w:r>
        <w:tab/>
        <w:t>Painting commenced before commencement day</w:t>
      </w:r>
      <w:bookmarkEnd w:id="436"/>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437" w:name="_Toc131511141"/>
      <w:r>
        <w:rPr>
          <w:rStyle w:val="CharSectno"/>
        </w:rPr>
        <w:t>127</w:t>
      </w:r>
      <w:r>
        <w:t>.</w:t>
      </w:r>
      <w:r>
        <w:tab/>
        <w:t>Registration continues</w:t>
      </w:r>
      <w:bookmarkEnd w:id="437"/>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lastRenderedPageBreak/>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438" w:name="_Toc131511142"/>
      <w:r>
        <w:rPr>
          <w:rStyle w:val="CharSectno"/>
        </w:rPr>
        <w:t>128</w:t>
      </w:r>
      <w:r>
        <w:t>.</w:t>
      </w:r>
      <w:r>
        <w:tab/>
        <w:t>Existing applications for registration</w:t>
      </w:r>
      <w:bookmarkEnd w:id="438"/>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lastRenderedPageBreak/>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439" w:name="_Toc131511143"/>
      <w:r>
        <w:rPr>
          <w:rStyle w:val="CharSectno"/>
        </w:rPr>
        <w:t>129</w:t>
      </w:r>
      <w:r>
        <w:t>.</w:t>
      </w:r>
      <w:r>
        <w:tab/>
        <w:t>Allegations of cause for disciplinary action made by former board</w:t>
      </w:r>
      <w:bookmarkEnd w:id="439"/>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440" w:name="_Toc131511144"/>
      <w:r>
        <w:rPr>
          <w:rStyle w:val="CharSectno"/>
        </w:rPr>
        <w:t>130</w:t>
      </w:r>
      <w:r>
        <w:t>.</w:t>
      </w:r>
      <w:r>
        <w:tab/>
        <w:t>Disciplinary action: persons registered under repealed Act</w:t>
      </w:r>
      <w:bookmarkEnd w:id="440"/>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441" w:name="_Toc131511145"/>
      <w:r>
        <w:rPr>
          <w:rStyle w:val="CharSectno"/>
        </w:rPr>
        <w:t>131</w:t>
      </w:r>
      <w:r>
        <w:t>.</w:t>
      </w:r>
      <w:r>
        <w:tab/>
        <w:t>Devolution of assets and liabilities of former board</w:t>
      </w:r>
      <w:bookmarkEnd w:id="441"/>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 xml:space="preserve">any proceeding or remedy that immediately before that day might have been brought or continued by or available against or to the former board may be brought </w:t>
      </w:r>
      <w:r>
        <w:lastRenderedPageBreak/>
        <w:t>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42" w:name="_Toc131511146"/>
      <w:r>
        <w:rPr>
          <w:rStyle w:val="CharSectno"/>
        </w:rPr>
        <w:t>132</w:t>
      </w:r>
      <w:r>
        <w:t>.</w:t>
      </w:r>
      <w:r>
        <w:tab/>
        <w:t>Members of former board</w:t>
      </w:r>
      <w:bookmarkEnd w:id="442"/>
    </w:p>
    <w:p>
      <w:pPr>
        <w:pStyle w:val="Subsection"/>
      </w:pPr>
      <w:r>
        <w:tab/>
      </w:r>
      <w:r>
        <w:tab/>
        <w:t>A member of the former board ceases to be a member on commencement day.</w:t>
      </w:r>
    </w:p>
    <w:p>
      <w:pPr>
        <w:pStyle w:val="Heading5"/>
      </w:pPr>
      <w:bookmarkStart w:id="443" w:name="_Toc131511147"/>
      <w:r>
        <w:rPr>
          <w:rStyle w:val="CharSectno"/>
        </w:rPr>
        <w:t>133</w:t>
      </w:r>
      <w:r>
        <w:t>.</w:t>
      </w:r>
      <w:r>
        <w:tab/>
        <w:t>Staff of former board</w:t>
      </w:r>
      <w:bookmarkEnd w:id="443"/>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lastRenderedPageBreak/>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44" w:name="_Toc131511148"/>
      <w:r>
        <w:rPr>
          <w:rStyle w:val="CharSectno"/>
        </w:rPr>
        <w:t>134</w:t>
      </w:r>
      <w:r>
        <w:t>.</w:t>
      </w:r>
      <w:r>
        <w:tab/>
        <w:t>Reporting in respect of former board</w:t>
      </w:r>
      <w:bookmarkEnd w:id="444"/>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45" w:name="_Toc131511149"/>
      <w:r>
        <w:rPr>
          <w:rStyle w:val="CharSectno"/>
        </w:rPr>
        <w:t>135</w:t>
      </w:r>
      <w:r>
        <w:t>.</w:t>
      </w:r>
      <w:r>
        <w:tab/>
        <w:t>Completion of things commenced</w:t>
      </w:r>
      <w:bookmarkEnd w:id="445"/>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46" w:name="_Toc131511150"/>
      <w:r>
        <w:rPr>
          <w:rStyle w:val="CharSectno"/>
        </w:rPr>
        <w:t>136</w:t>
      </w:r>
      <w:r>
        <w:t>.</w:t>
      </w:r>
      <w:r>
        <w:tab/>
        <w:t>Continuing effect of things done</w:t>
      </w:r>
      <w:bookmarkEnd w:id="446"/>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lastRenderedPageBreak/>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447" w:name="_Toc131511151"/>
      <w:r>
        <w:rPr>
          <w:rStyle w:val="CharSectno"/>
        </w:rPr>
        <w:t>137</w:t>
      </w:r>
      <w:r>
        <w:t>.</w:t>
      </w:r>
      <w:r>
        <w:tab/>
        <w:t>Agreements and instruments generally</w:t>
      </w:r>
      <w:bookmarkEnd w:id="447"/>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48" w:name="_Toc124951235"/>
      <w:bookmarkStart w:id="449" w:name="_Toc125010871"/>
      <w:bookmarkStart w:id="450" w:name="_Toc125703104"/>
      <w:bookmarkStart w:id="451" w:name="_Toc125703454"/>
      <w:bookmarkStart w:id="452" w:name="_Toc131500503"/>
      <w:bookmarkStart w:id="453" w:name="_Toc131500720"/>
      <w:bookmarkStart w:id="454" w:name="_Toc131511152"/>
      <w:r>
        <w:t>Subdivision 3 — Building Surveyors</w:t>
      </w:r>
      <w:bookmarkEnd w:id="448"/>
      <w:bookmarkEnd w:id="449"/>
      <w:bookmarkEnd w:id="450"/>
      <w:bookmarkEnd w:id="451"/>
      <w:bookmarkEnd w:id="452"/>
      <w:bookmarkEnd w:id="453"/>
      <w:bookmarkEnd w:id="454"/>
    </w:p>
    <w:p>
      <w:pPr>
        <w:pStyle w:val="Heading5"/>
      </w:pPr>
      <w:bookmarkStart w:id="455" w:name="_Toc131511153"/>
      <w:r>
        <w:rPr>
          <w:rStyle w:val="CharSectno"/>
        </w:rPr>
        <w:t>138</w:t>
      </w:r>
      <w:r>
        <w:t>.</w:t>
      </w:r>
      <w:r>
        <w:tab/>
        <w:t>Terms used</w:t>
      </w:r>
      <w:bookmarkEnd w:id="455"/>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456" w:name="_Toc131511154"/>
      <w:r>
        <w:rPr>
          <w:rStyle w:val="CharSectno"/>
        </w:rPr>
        <w:lastRenderedPageBreak/>
        <w:t>139</w:t>
      </w:r>
      <w:r>
        <w:t>.</w:t>
      </w:r>
      <w:r>
        <w:tab/>
        <w:t>Registration of certificate holders</w:t>
      </w:r>
      <w:bookmarkEnd w:id="456"/>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457" w:name="_Toc131511155"/>
      <w:r>
        <w:rPr>
          <w:rStyle w:val="CharSectno"/>
        </w:rPr>
        <w:t>140</w:t>
      </w:r>
      <w:r>
        <w:t>.</w:t>
      </w:r>
      <w:r>
        <w:tab/>
        <w:t>Existing applications for certificate</w:t>
      </w:r>
      <w:bookmarkEnd w:id="457"/>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458" w:name="_Toc131511156"/>
      <w:r>
        <w:rPr>
          <w:rStyle w:val="CharSectno"/>
        </w:rPr>
        <w:t>141</w:t>
      </w:r>
      <w:r>
        <w:t>.</w:t>
      </w:r>
      <w:r>
        <w:tab/>
        <w:t>Members of former committee</w:t>
      </w:r>
      <w:bookmarkEnd w:id="458"/>
    </w:p>
    <w:p>
      <w:pPr>
        <w:pStyle w:val="Subsection"/>
      </w:pPr>
      <w:r>
        <w:tab/>
      </w:r>
      <w:r>
        <w:tab/>
        <w:t>A member of the former committee ceases to be a member on commencement day.</w:t>
      </w:r>
    </w:p>
    <w:p>
      <w:pPr>
        <w:pStyle w:val="Heading5"/>
      </w:pPr>
      <w:bookmarkStart w:id="459" w:name="_Toc131511157"/>
      <w:r>
        <w:rPr>
          <w:rStyle w:val="CharSectno"/>
        </w:rPr>
        <w:t>142</w:t>
      </w:r>
      <w:r>
        <w:t>.</w:t>
      </w:r>
      <w:r>
        <w:tab/>
        <w:t>Records of former committee</w:t>
      </w:r>
      <w:bookmarkEnd w:id="459"/>
    </w:p>
    <w:p>
      <w:pPr>
        <w:pStyle w:val="Subsection"/>
      </w:pPr>
      <w:r>
        <w:tab/>
      </w:r>
      <w:r>
        <w:tab/>
        <w:t>On and after commencement day all records and data of the former committee pass to the Building Commissioner.</w:t>
      </w:r>
    </w:p>
    <w:p>
      <w:pPr>
        <w:pStyle w:val="Heading5"/>
      </w:pPr>
      <w:bookmarkStart w:id="460" w:name="_Toc131511158"/>
      <w:r>
        <w:rPr>
          <w:rStyle w:val="CharSectno"/>
        </w:rPr>
        <w:lastRenderedPageBreak/>
        <w:t>143</w:t>
      </w:r>
      <w:r>
        <w:t>.</w:t>
      </w:r>
      <w:r>
        <w:tab/>
        <w:t>Agreements and instruments generally</w:t>
      </w:r>
      <w:bookmarkEnd w:id="460"/>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461" w:name="_Toc124951242"/>
      <w:bookmarkStart w:id="462" w:name="_Toc125010878"/>
      <w:bookmarkStart w:id="463" w:name="_Toc125703111"/>
      <w:bookmarkStart w:id="464" w:name="_Toc125703461"/>
      <w:bookmarkStart w:id="465" w:name="_Toc131500510"/>
      <w:bookmarkStart w:id="466" w:name="_Toc131500727"/>
      <w:bookmarkStart w:id="467" w:name="_Toc131511159"/>
      <w:r>
        <w:t>Subdivision 4 — General provisions</w:t>
      </w:r>
      <w:bookmarkEnd w:id="461"/>
      <w:bookmarkEnd w:id="462"/>
      <w:bookmarkEnd w:id="463"/>
      <w:bookmarkEnd w:id="464"/>
      <w:bookmarkEnd w:id="465"/>
      <w:bookmarkEnd w:id="466"/>
      <w:bookmarkEnd w:id="467"/>
    </w:p>
    <w:p>
      <w:pPr>
        <w:pStyle w:val="Heading5"/>
      </w:pPr>
      <w:bookmarkStart w:id="468" w:name="_Toc131511160"/>
      <w:r>
        <w:rPr>
          <w:rStyle w:val="CharSectno"/>
        </w:rPr>
        <w:t>144</w:t>
      </w:r>
      <w:r>
        <w:t>.</w:t>
      </w:r>
      <w:r>
        <w:tab/>
        <w:t>Registration of documents</w:t>
      </w:r>
      <w:bookmarkEnd w:id="46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lastRenderedPageBreak/>
        <w:tab/>
        <w:t>(3)</w:t>
      </w:r>
      <w:r>
        <w:tab/>
        <w:t>The relevant officials are to take notice of this Part and are to record and register in the appropriate manner the documents necessary to show the effect of this Part.</w:t>
      </w:r>
    </w:p>
    <w:p>
      <w:pPr>
        <w:pStyle w:val="Heading5"/>
      </w:pPr>
      <w:bookmarkStart w:id="469" w:name="_Toc131511161"/>
      <w:r>
        <w:rPr>
          <w:rStyle w:val="CharSectno"/>
        </w:rPr>
        <w:t>145</w:t>
      </w:r>
      <w:r>
        <w:t>.</w:t>
      </w:r>
      <w:r>
        <w:tab/>
        <w:t>Exemption from State tax</w:t>
      </w:r>
      <w:bookmarkEnd w:id="469"/>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470" w:name="_Toc131511162"/>
      <w:r>
        <w:rPr>
          <w:rStyle w:val="CharSectno"/>
        </w:rPr>
        <w:t>146</w:t>
      </w:r>
      <w:r>
        <w:t>.</w:t>
      </w:r>
      <w:r>
        <w:tab/>
        <w:t>Transitional regulations</w:t>
      </w:r>
      <w:bookmarkEnd w:id="470"/>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w:t>
      </w:r>
      <w:r>
        <w:lastRenderedPageBreak/>
        <w:t xml:space="preserve">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471" w:name="_Toc124951246"/>
      <w:bookmarkStart w:id="472" w:name="_Toc125010882"/>
      <w:bookmarkStart w:id="473" w:name="_Toc125703115"/>
      <w:bookmarkStart w:id="474" w:name="_Toc125703465"/>
      <w:bookmarkStart w:id="475" w:name="_Toc131500514"/>
      <w:bookmarkStart w:id="476" w:name="_Toc131500731"/>
      <w:bookmarkStart w:id="477" w:name="_Toc131511163"/>
      <w:r>
        <w:rPr>
          <w:rStyle w:val="CharPartNo"/>
        </w:rPr>
        <w:lastRenderedPageBreak/>
        <w:t>Part 10</w:t>
      </w:r>
      <w:r>
        <w:t> — </w:t>
      </w:r>
      <w:r>
        <w:rPr>
          <w:rStyle w:val="CharPartText"/>
        </w:rPr>
        <w:t>Consequential amendments</w:t>
      </w:r>
      <w:bookmarkEnd w:id="471"/>
      <w:bookmarkEnd w:id="472"/>
      <w:bookmarkEnd w:id="473"/>
      <w:bookmarkEnd w:id="474"/>
      <w:bookmarkEnd w:id="475"/>
      <w:bookmarkEnd w:id="476"/>
      <w:bookmarkEnd w:id="477"/>
    </w:p>
    <w:p>
      <w:pPr>
        <w:pStyle w:val="Heading3"/>
      </w:pPr>
      <w:bookmarkStart w:id="478" w:name="_Toc124951247"/>
      <w:bookmarkStart w:id="479" w:name="_Toc125010883"/>
      <w:bookmarkStart w:id="480" w:name="_Toc125703116"/>
      <w:bookmarkStart w:id="481" w:name="_Toc125703466"/>
      <w:bookmarkStart w:id="482" w:name="_Toc131500515"/>
      <w:bookmarkStart w:id="483" w:name="_Toc131500732"/>
      <w:bookmarkStart w:id="484" w:name="_Toc131511164"/>
      <w:r>
        <w:rPr>
          <w:rStyle w:val="CharDivNo"/>
        </w:rPr>
        <w:t>Division 1</w:t>
      </w:r>
      <w:r>
        <w:t> — </w:t>
      </w:r>
      <w:r>
        <w:rPr>
          <w:rStyle w:val="CharDivText"/>
          <w:i/>
          <w:iCs/>
        </w:rPr>
        <w:t>Home Building Contracts Act 1991</w:t>
      </w:r>
      <w:r>
        <w:rPr>
          <w:rStyle w:val="CharDivText"/>
        </w:rPr>
        <w:t xml:space="preserve"> amended</w:t>
      </w:r>
      <w:bookmarkEnd w:id="478"/>
      <w:bookmarkEnd w:id="479"/>
      <w:bookmarkEnd w:id="480"/>
      <w:bookmarkEnd w:id="481"/>
      <w:bookmarkEnd w:id="482"/>
      <w:bookmarkEnd w:id="483"/>
      <w:bookmarkEnd w:id="484"/>
    </w:p>
    <w:p>
      <w:pPr>
        <w:pStyle w:val="Heading5"/>
      </w:pPr>
      <w:bookmarkStart w:id="485" w:name="_Toc131511165"/>
      <w:r>
        <w:rPr>
          <w:rStyle w:val="CharSectno"/>
        </w:rPr>
        <w:t>147</w:t>
      </w:r>
      <w:r>
        <w:t>.</w:t>
      </w:r>
      <w:r>
        <w:tab/>
      </w:r>
      <w:r>
        <w:rPr>
          <w:i/>
          <w:iCs/>
        </w:rPr>
        <w:t>Home Building Contracts Act 1991</w:t>
      </w:r>
      <w:r>
        <w:t xml:space="preserve"> amended</w:t>
      </w:r>
      <w:bookmarkEnd w:id="485"/>
    </w:p>
    <w:p>
      <w:pPr>
        <w:pStyle w:val="Subsection"/>
      </w:pPr>
      <w:r>
        <w:tab/>
      </w:r>
      <w:r>
        <w:tab/>
        <w:t xml:space="preserve">This Division amends the </w:t>
      </w:r>
      <w:r>
        <w:rPr>
          <w:i/>
          <w:iCs/>
        </w:rPr>
        <w:t>Home Building Contracts Act 1991</w:t>
      </w:r>
      <w:r>
        <w:t>.</w:t>
      </w:r>
    </w:p>
    <w:p>
      <w:pPr>
        <w:pStyle w:val="Heading5"/>
      </w:pPr>
      <w:bookmarkStart w:id="486" w:name="_Toc131511166"/>
      <w:r>
        <w:rPr>
          <w:rStyle w:val="CharSectno"/>
        </w:rPr>
        <w:t>148</w:t>
      </w:r>
      <w:r>
        <w:t>.</w:t>
      </w:r>
      <w:r>
        <w:tab/>
        <w:t>Section 3 amended</w:t>
      </w:r>
      <w:bookmarkEnd w:id="486"/>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487" w:name="_Toc131511167"/>
      <w:r>
        <w:rPr>
          <w:rStyle w:val="CharSectno"/>
        </w:rPr>
        <w:t>149</w:t>
      </w:r>
      <w:r>
        <w:t>.</w:t>
      </w:r>
      <w:r>
        <w:tab/>
        <w:t>Section 25A amended</w:t>
      </w:r>
      <w:bookmarkEnd w:id="487"/>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lastRenderedPageBreak/>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lastRenderedPageBreak/>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488" w:name="_Toc131511168"/>
      <w:r>
        <w:rPr>
          <w:rStyle w:val="CharSectno"/>
        </w:rPr>
        <w:t>150</w:t>
      </w:r>
      <w:r>
        <w:t>.</w:t>
      </w:r>
      <w:r>
        <w:tab/>
        <w:t>Section 25B amended</w:t>
      </w:r>
      <w:bookmarkEnd w:id="488"/>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 xml:space="preserve">has given to the Building Commissioner a statutory declaration verifying that he </w:t>
      </w:r>
      <w:r>
        <w:lastRenderedPageBreak/>
        <w:t>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489" w:name="_Toc131511169"/>
      <w:r>
        <w:rPr>
          <w:rStyle w:val="CharSectno"/>
        </w:rPr>
        <w:t>151</w:t>
      </w:r>
      <w:r>
        <w:t>.</w:t>
      </w:r>
      <w:r>
        <w:tab/>
        <w:t>Section 25F amended</w:t>
      </w:r>
      <w:bookmarkEnd w:id="489"/>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490" w:name="_Toc131511170"/>
      <w:r>
        <w:rPr>
          <w:rStyle w:val="CharSectno"/>
        </w:rPr>
        <w:t>152</w:t>
      </w:r>
      <w:r>
        <w:t>.</w:t>
      </w:r>
      <w:r>
        <w:tab/>
        <w:t>Section 25FA amended</w:t>
      </w:r>
      <w:bookmarkEnd w:id="490"/>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lastRenderedPageBreak/>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491" w:name="_Toc131511171"/>
      <w:r>
        <w:rPr>
          <w:rStyle w:val="CharSectno"/>
        </w:rPr>
        <w:t>153</w:t>
      </w:r>
      <w:r>
        <w:t>.</w:t>
      </w:r>
      <w:r>
        <w:tab/>
        <w:t>Section 25G amended</w:t>
      </w:r>
      <w:bookmarkEnd w:id="491"/>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492" w:name="_Toc131511172"/>
      <w:r>
        <w:rPr>
          <w:rStyle w:val="CharSectno"/>
        </w:rPr>
        <w:t>154</w:t>
      </w:r>
      <w:r>
        <w:t>.</w:t>
      </w:r>
      <w:r>
        <w:tab/>
        <w:t>Section 31B amended</w:t>
      </w:r>
      <w:bookmarkEnd w:id="492"/>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493" w:name="_Toc124951256"/>
      <w:bookmarkStart w:id="494" w:name="_Toc125010892"/>
      <w:bookmarkStart w:id="495" w:name="_Toc125703125"/>
      <w:bookmarkStart w:id="496" w:name="_Toc125703475"/>
      <w:bookmarkStart w:id="497" w:name="_Toc131500524"/>
      <w:bookmarkStart w:id="498" w:name="_Toc131500741"/>
      <w:bookmarkStart w:id="499" w:name="_Toc131511173"/>
      <w:r>
        <w:rPr>
          <w:rStyle w:val="CharDivNo"/>
        </w:rPr>
        <w:lastRenderedPageBreak/>
        <w:t>Division 2</w:t>
      </w:r>
      <w:r>
        <w:t> — </w:t>
      </w:r>
      <w:r>
        <w:rPr>
          <w:rStyle w:val="CharDivText"/>
        </w:rPr>
        <w:t>Other Acts amended</w:t>
      </w:r>
      <w:bookmarkEnd w:id="493"/>
      <w:bookmarkEnd w:id="494"/>
      <w:bookmarkEnd w:id="495"/>
      <w:bookmarkEnd w:id="496"/>
      <w:bookmarkEnd w:id="497"/>
      <w:bookmarkEnd w:id="498"/>
      <w:bookmarkEnd w:id="499"/>
    </w:p>
    <w:p>
      <w:pPr>
        <w:pStyle w:val="Heading5"/>
      </w:pPr>
      <w:bookmarkStart w:id="500" w:name="_Toc131511174"/>
      <w:r>
        <w:rPr>
          <w:rStyle w:val="CharSectno"/>
        </w:rPr>
        <w:t>155</w:t>
      </w:r>
      <w:r>
        <w:t>.</w:t>
      </w:r>
      <w:r>
        <w:tab/>
      </w:r>
      <w:r>
        <w:rPr>
          <w:i/>
          <w:iCs/>
        </w:rPr>
        <w:t>Constitution Acts Amendment Act 1899</w:t>
      </w:r>
      <w:r>
        <w:t xml:space="preserve"> amended</w:t>
      </w:r>
      <w:bookmarkEnd w:id="500"/>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501" w:name="_Toc131511175"/>
      <w:r>
        <w:rPr>
          <w:rStyle w:val="CharSectno"/>
        </w:rPr>
        <w:t>156</w:t>
      </w:r>
      <w:r>
        <w:t>.</w:t>
      </w:r>
      <w:r>
        <w:tab/>
      </w:r>
      <w:r>
        <w:rPr>
          <w:i/>
          <w:iCs/>
        </w:rPr>
        <w:t>Local Government (Miscellaneous Provisions) Act 1960</w:t>
      </w:r>
      <w:r>
        <w:t xml:space="preserve"> amended</w:t>
      </w:r>
      <w:bookmarkEnd w:id="501"/>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502" w:name="_Toc131511176"/>
      <w:r>
        <w:t>374AAA.</w:t>
      </w:r>
      <w:r>
        <w:tab/>
        <w:t>Local governments not to issue building licences in certain circumstances</w:t>
      </w:r>
      <w:bookmarkEnd w:id="502"/>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w:t>
      </w:r>
      <w:r>
        <w:lastRenderedPageBreak/>
        <w:t>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503" w:name="_Toc131511177"/>
      <w:r>
        <w:rPr>
          <w:rStyle w:val="CharSectno"/>
        </w:rPr>
        <w:t>157</w:t>
      </w:r>
      <w:r>
        <w:t>.</w:t>
      </w:r>
      <w:r>
        <w:tab/>
      </w:r>
      <w:r>
        <w:rPr>
          <w:i/>
          <w:iCs/>
        </w:rPr>
        <w:t>Sentencing Act 1995</w:t>
      </w:r>
      <w:r>
        <w:t xml:space="preserve"> amended</w:t>
      </w:r>
      <w:bookmarkEnd w:id="503"/>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504" w:name="_Toc131511178"/>
      <w:r>
        <w:rPr>
          <w:rStyle w:val="CharSectno"/>
        </w:rPr>
        <w:lastRenderedPageBreak/>
        <w:t>158</w:t>
      </w:r>
      <w:r>
        <w:t>.</w:t>
      </w:r>
      <w:r>
        <w:tab/>
      </w:r>
      <w:r>
        <w:rPr>
          <w:i/>
          <w:iCs/>
        </w:rPr>
        <w:t>State Administrative Tribunal Act 2004</w:t>
      </w:r>
      <w:r>
        <w:t xml:space="preserve"> amended</w:t>
      </w:r>
      <w:bookmarkEnd w:id="504"/>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505" w:name="_Toc131511179"/>
      <w:r>
        <w:rPr>
          <w:rStyle w:val="CharSectno"/>
        </w:rPr>
        <w:t>159</w:t>
      </w:r>
      <w:r>
        <w:t>.</w:t>
      </w:r>
      <w:r>
        <w:tab/>
      </w:r>
      <w:r>
        <w:rPr>
          <w:i/>
          <w:iCs/>
        </w:rPr>
        <w:t>Travel Agents Act 1985</w:t>
      </w:r>
      <w:r>
        <w:t xml:space="preserve"> amended</w:t>
      </w:r>
      <w:bookmarkEnd w:id="505"/>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docGrid w:linePitch="78"/>
        </w:sectPr>
      </w:pPr>
    </w:p>
    <w:p>
      <w:pPr>
        <w:pStyle w:val="nHeading2"/>
      </w:pPr>
      <w:bookmarkStart w:id="506" w:name="_Toc124951263"/>
      <w:bookmarkStart w:id="507" w:name="_Toc125010899"/>
      <w:bookmarkStart w:id="508" w:name="_Toc125703132"/>
      <w:bookmarkStart w:id="509" w:name="_Toc125703482"/>
      <w:bookmarkStart w:id="510" w:name="_Toc131500531"/>
      <w:bookmarkStart w:id="511" w:name="_Toc131500748"/>
      <w:bookmarkStart w:id="512" w:name="_Toc131511180"/>
      <w:r>
        <w:lastRenderedPageBreak/>
        <w:t>Notes</w:t>
      </w:r>
      <w:bookmarkEnd w:id="506"/>
      <w:bookmarkEnd w:id="507"/>
      <w:bookmarkEnd w:id="508"/>
      <w:bookmarkEnd w:id="509"/>
      <w:bookmarkEnd w:id="510"/>
      <w:bookmarkEnd w:id="511"/>
      <w:bookmarkEnd w:id="512"/>
    </w:p>
    <w:p>
      <w:pPr>
        <w:pStyle w:val="nStatement"/>
      </w:pPr>
      <w:r>
        <w:t xml:space="preserve">This is a compilation of the </w:t>
      </w:r>
      <w:r>
        <w:rPr>
          <w:i/>
          <w:noProof/>
        </w:rPr>
        <w:t>Building Services (Registration) Act 2011</w:t>
      </w:r>
      <w:r>
        <w:t xml:space="preserve"> and includes amendments made by other written laws. For provisions that have come into operation see the compilation table. </w:t>
      </w:r>
    </w:p>
    <w:p>
      <w:pPr>
        <w:pStyle w:val="nHeading3"/>
      </w:pPr>
      <w:bookmarkStart w:id="513" w:name="_Toc131511181"/>
      <w:r>
        <w:t>Compilation table</w:t>
      </w:r>
      <w:bookmarkEnd w:id="513"/>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CellMar>
            <w:left w:w="57" w:type="dxa"/>
            <w:right w:w="57" w:type="dxa"/>
          </w:tblCellMar>
        </w:tblPrEx>
        <w:tc>
          <w:tcPr>
            <w:tcW w:w="2268" w:type="dxa"/>
            <w:tcBorders>
              <w:top w:val="nil"/>
              <w:bottom w:val="nil"/>
            </w:tcBorders>
          </w:tcPr>
          <w:p>
            <w:pPr>
              <w:pStyle w:val="nTable"/>
              <w:spacing w:after="40"/>
              <w:rPr>
                <w:i/>
                <w:snapToGrid w:val="0"/>
              </w:rPr>
            </w:pPr>
            <w:r>
              <w:rPr>
                <w:i/>
              </w:rPr>
              <w:t>Building and Construction Industry (Security of Payment) Act 2021</w:t>
            </w:r>
            <w:r>
              <w:t xml:space="preserve"> Pt. 7 Div. 2</w:t>
            </w:r>
          </w:p>
        </w:tc>
        <w:tc>
          <w:tcPr>
            <w:tcW w:w="1134" w:type="dxa"/>
            <w:tcBorders>
              <w:top w:val="nil"/>
              <w:bottom w:val="nil"/>
            </w:tcBorders>
          </w:tcPr>
          <w:p>
            <w:pPr>
              <w:pStyle w:val="nTable"/>
              <w:spacing w:after="40"/>
            </w:pPr>
            <w:r>
              <w:t>4 of 2021</w:t>
            </w:r>
          </w:p>
        </w:tc>
        <w:tc>
          <w:tcPr>
            <w:tcW w:w="1134" w:type="dxa"/>
            <w:tcBorders>
              <w:top w:val="nil"/>
              <w:bottom w:val="nil"/>
            </w:tcBorders>
          </w:tcPr>
          <w:p>
            <w:pPr>
              <w:pStyle w:val="nTable"/>
              <w:spacing w:after="40"/>
            </w:pPr>
            <w:r>
              <w:t>25 Jun 2021</w:t>
            </w:r>
          </w:p>
        </w:tc>
        <w:tc>
          <w:tcPr>
            <w:tcW w:w="2552" w:type="dxa"/>
            <w:tcBorders>
              <w:top w:val="nil"/>
              <w:bottom w:val="nil"/>
            </w:tcBorders>
          </w:tcPr>
          <w:p>
            <w:pPr>
              <w:pStyle w:val="nTable"/>
              <w:spacing w:after="40"/>
              <w:rPr>
                <w:snapToGrid w:val="0"/>
              </w:rPr>
            </w:pPr>
            <w:r>
              <w:t>1 Feb 2023 (see s. 2(c) and SL 2022/78 cl. 2(2)(b)(iv))</w:t>
            </w:r>
          </w:p>
        </w:tc>
      </w:tr>
      <w:tr>
        <w:tblPrEx>
          <w:tblCellMar>
            <w:left w:w="57" w:type="dxa"/>
            <w:right w:w="57" w:type="dxa"/>
          </w:tblCellMar>
        </w:tblPrEx>
        <w:tc>
          <w:tcPr>
            <w:tcW w:w="2268" w:type="dxa"/>
            <w:tcBorders>
              <w:top w:val="nil"/>
              <w:bottom w:val="single" w:sz="2" w:space="0" w:color="auto"/>
            </w:tcBorders>
          </w:tcPr>
          <w:p>
            <w:pPr>
              <w:pStyle w:val="nTable"/>
              <w:spacing w:after="40"/>
              <w:rPr>
                <w:i/>
              </w:rPr>
            </w:pPr>
            <w:r>
              <w:rPr>
                <w:i/>
              </w:rPr>
              <w:t>Directors’ Liability Reform Act 2023</w:t>
            </w:r>
            <w:r>
              <w:t xml:space="preserve"> Pt. 3 Div. 13</w:t>
            </w:r>
          </w:p>
        </w:tc>
        <w:tc>
          <w:tcPr>
            <w:tcW w:w="1134" w:type="dxa"/>
            <w:tcBorders>
              <w:top w:val="nil"/>
              <w:bottom w:val="single" w:sz="2" w:space="0" w:color="auto"/>
            </w:tcBorders>
          </w:tcPr>
          <w:p>
            <w:pPr>
              <w:pStyle w:val="nTable"/>
              <w:spacing w:after="40"/>
            </w:pPr>
            <w:r>
              <w:t>9 of 2023</w:t>
            </w:r>
          </w:p>
        </w:tc>
        <w:tc>
          <w:tcPr>
            <w:tcW w:w="1134" w:type="dxa"/>
            <w:tcBorders>
              <w:top w:val="nil"/>
              <w:bottom w:val="single" w:sz="2" w:space="0" w:color="auto"/>
            </w:tcBorders>
          </w:tcPr>
          <w:p>
            <w:pPr>
              <w:pStyle w:val="nTable"/>
              <w:spacing w:after="40"/>
            </w:pPr>
            <w:r>
              <w:t>4 Apr 2023</w:t>
            </w:r>
          </w:p>
        </w:tc>
        <w:tc>
          <w:tcPr>
            <w:tcW w:w="2552" w:type="dxa"/>
            <w:tcBorders>
              <w:top w:val="nil"/>
              <w:bottom w:val="single" w:sz="2" w:space="0" w:color="auto"/>
            </w:tcBorders>
          </w:tcPr>
          <w:p>
            <w:pPr>
              <w:pStyle w:val="nTable"/>
              <w:spacing w:after="40"/>
            </w:pPr>
            <w:r>
              <w:t>5 Apr 2023 (see s. 2(j))</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515" w:name="_Toc125703134"/>
      <w:bookmarkStart w:id="516" w:name="_Toc125703484"/>
      <w:bookmarkStart w:id="517" w:name="_Toc131500533"/>
      <w:bookmarkStart w:id="518" w:name="_Toc131500750"/>
      <w:bookmarkStart w:id="519" w:name="_Toc131511182"/>
      <w:r>
        <w:rPr>
          <w:sz w:val="28"/>
        </w:rPr>
        <w:lastRenderedPageBreak/>
        <w:t>Defined terms</w:t>
      </w:r>
      <w:bookmarkEnd w:id="515"/>
      <w:bookmarkEnd w:id="516"/>
      <w:bookmarkEnd w:id="517"/>
      <w:bookmarkEnd w:id="518"/>
      <w:bookmarkEnd w:id="5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construction company</w:t>
      </w:r>
      <w:r>
        <w:tab/>
        <w:t>63A(1)</w:t>
      </w:r>
    </w:p>
    <w:p>
      <w:pPr>
        <w:pStyle w:val="DefinedTerms"/>
      </w:pPr>
      <w:r>
        <w:t>construction work</w:t>
      </w:r>
      <w:r>
        <w:tab/>
        <w:t>63A(1)</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director</w:t>
      </w:r>
      <w:r>
        <w:tab/>
        <w:t>32A(1)</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excluded contractor</w:t>
      </w:r>
      <w:r>
        <w:tab/>
        <w:t>63A(1)</w:t>
      </w:r>
    </w:p>
    <w:p>
      <w:pPr>
        <w:pStyle w:val="DefinedTerms"/>
      </w:pPr>
      <w:r>
        <w:t>expiry day</w:t>
      </w:r>
      <w:r>
        <w:tab/>
        <w:t>12(1) and (2)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influential person</w:t>
      </w:r>
      <w:r>
        <w:tab/>
        <w:t>63A(1)</w:t>
      </w:r>
    </w:p>
    <w:p>
      <w:pPr>
        <w:pStyle w:val="DefinedTerms"/>
      </w:pPr>
      <w:r>
        <w:t>information</w:t>
      </w:r>
      <w:r>
        <w:tab/>
        <w:t>74(1)</w:t>
      </w:r>
    </w:p>
    <w:p>
      <w:pPr>
        <w:pStyle w:val="DefinedTerms"/>
      </w:pPr>
      <w:r>
        <w:t>insolvency event</w:t>
      </w:r>
      <w:r>
        <w:tab/>
        <w:t>63A(1)</w:t>
      </w:r>
    </w:p>
    <w:p>
      <w:pPr>
        <w:pStyle w:val="DefinedTerms"/>
      </w:pPr>
      <w:r>
        <w:t>insolvent</w:t>
      </w:r>
      <w:r>
        <w:tab/>
        <w:t>3, 63A(1)</w:t>
      </w:r>
    </w:p>
    <w:p>
      <w:pPr>
        <w:pStyle w:val="DefinedTerms"/>
      </w:pPr>
      <w:r>
        <w:t>jurisdiction</w:t>
      </w:r>
      <w:r>
        <w:tab/>
        <w:t>3</w:t>
      </w:r>
    </w:p>
    <w:p>
      <w:pPr>
        <w:pStyle w:val="DefinedTerms"/>
      </w:pPr>
      <w:r>
        <w:t>nominated supervisor</w:t>
      </w:r>
      <w:r>
        <w:tab/>
        <w:t>3, 21(2)</w:t>
      </w:r>
    </w:p>
    <w:p>
      <w:pPr>
        <w:pStyle w:val="DefinedTerms"/>
      </w:pPr>
      <w:r>
        <w:t>non-corporate body</w:t>
      </w:r>
      <w:r>
        <w:tab/>
        <w:t>63A(1)</w:t>
      </w:r>
    </w:p>
    <w:p>
      <w:pPr>
        <w:pStyle w:val="DefinedTerms"/>
      </w:pPr>
      <w:r>
        <w:t>occupation group</w:t>
      </w:r>
      <w:r>
        <w:tab/>
        <w:t>67(1)</w:t>
      </w:r>
    </w:p>
    <w:p>
      <w:pPr>
        <w:pStyle w:val="DefinedTerms"/>
      </w:pPr>
      <w:r>
        <w:t>officer</w:t>
      </w:r>
      <w:r>
        <w:tab/>
        <w:t>3, 63A(1)</w:t>
      </w:r>
    </w:p>
    <w:p>
      <w:pPr>
        <w:pStyle w:val="DefinedTerms"/>
      </w:pPr>
      <w:r>
        <w:lastRenderedPageBreak/>
        <w:t>owner</w:t>
      </w:r>
      <w:r>
        <w:tab/>
        <w:t>38, 39(1)</w:t>
      </w:r>
    </w:p>
    <w:p>
      <w:pPr>
        <w:pStyle w:val="DefinedTerms"/>
      </w:pPr>
      <w:r>
        <w:t>owner-builder</w:t>
      </w:r>
      <w:r>
        <w:tab/>
        <w:t>38</w:t>
      </w:r>
    </w:p>
    <w:p>
      <w:pPr>
        <w:pStyle w:val="DefinedTerms"/>
      </w:pPr>
      <w:r>
        <w:t>owner-builder approval</w:t>
      </w:r>
      <w:r>
        <w:tab/>
        <w:t>38, 40(1)</w:t>
      </w:r>
    </w:p>
    <w:p>
      <w:pPr>
        <w:pStyle w:val="DefinedTerms"/>
      </w:pPr>
      <w:r>
        <w:t>owner-builder work</w:t>
      </w:r>
      <w:r>
        <w:tab/>
        <w:t>38</w:t>
      </w:r>
    </w:p>
    <w:p>
      <w:pPr>
        <w:pStyle w:val="DefinedTerms"/>
      </w:pPr>
      <w:r>
        <w:t>permanently excluded contractor</w:t>
      </w:r>
      <w:r>
        <w:tab/>
        <w:t>63A(1)</w:t>
      </w:r>
    </w:p>
    <w:p>
      <w:pPr>
        <w:pStyle w:val="DefinedTerms"/>
      </w:pPr>
      <w:r>
        <w:t>prescribed building service</w:t>
      </w:r>
      <w:r>
        <w:tab/>
        <w:t>3</w:t>
      </w:r>
    </w:p>
    <w:p>
      <w:pPr>
        <w:pStyle w:val="DefinedTerms"/>
      </w:pPr>
      <w:r>
        <w:t>public authority</w:t>
      </w:r>
      <w:r>
        <w:tab/>
        <w:t>3</w:t>
      </w:r>
    </w:p>
    <w:p>
      <w:pPr>
        <w:pStyle w:val="DefinedTerms"/>
      </w:pPr>
      <w:r>
        <w:t>register</w:t>
      </w:r>
      <w:r>
        <w:tab/>
        <w:t>3</w:t>
      </w:r>
    </w:p>
    <w:p>
      <w:pPr>
        <w:pStyle w:val="DefinedTerms"/>
      </w:pPr>
      <w:r>
        <w:t>registered building service provider</w:t>
      </w:r>
      <w:r>
        <w:tab/>
        <w:t>3</w:t>
      </w:r>
    </w:p>
    <w:p>
      <w:pPr>
        <w:pStyle w:val="DefinedTerms"/>
      </w:pPr>
      <w:r>
        <w:t>registration</w:t>
      </w:r>
      <w:r>
        <w:tab/>
        <w:t>3, 63A(1)</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show cause notice</w:t>
      </w:r>
      <w:r>
        <w:tab/>
        <w:t>63F(1)</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temporarily excluded contractor</w:t>
      </w:r>
      <w:r>
        <w:tab/>
        <w:t>63A(1)</w:t>
      </w:r>
    </w:p>
    <w:p>
      <w:pPr>
        <w:pStyle w:val="DefinedTerms"/>
      </w:pPr>
      <w:r>
        <w:t>transitional matter</w:t>
      </w:r>
      <w:r>
        <w:tab/>
        <w:t>146(2)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0" w:name="DefinedTerms"/>
    <w:bookmarkEnd w:id="52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1" w:name="Coversheet"/>
    <w:bookmarkEnd w:id="5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38"/>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 w:name="WAFER_202301181558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38_GUID" w:val="e1b47d24-9d32-4bee-9681-94d9debbb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23961</Words>
  <Characters>121007</Characters>
  <Application>Microsoft Office Word</Application>
  <DocSecurity>0</DocSecurity>
  <Lines>3361</Lines>
  <Paragraphs>1959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143009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2011 - 00-h0-00</dc:title>
  <dc:subject/>
  <dc:creator/>
  <cp:keywords/>
  <dc:description/>
  <cp:lastModifiedBy>Master Repository Process</cp:lastModifiedBy>
  <cp:revision>4</cp:revision>
  <cp:lastPrinted>2011-06-17T01:24:00Z</cp:lastPrinted>
  <dcterms:created xsi:type="dcterms:W3CDTF">2023-04-05T02:41:00Z</dcterms:created>
  <dcterms:modified xsi:type="dcterms:W3CDTF">2023-04-05T02:41:00Z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AsAtDate">
    <vt:lpwstr>05 Apr 2023</vt:lpwstr>
  </property>
  <property fmtid="{D5CDD505-2E9C-101B-9397-08002B2CF9AE}" pid="5" name="Suffix">
    <vt:lpwstr>00-h0-00</vt:lpwstr>
  </property>
  <property fmtid="{D5CDD505-2E9C-101B-9397-08002B2CF9AE}" pid="6" name="CommencementDate">
    <vt:lpwstr>20230405</vt:lpwstr>
  </property>
</Properties>
</file>