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(Aerial Advertising) Act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Major Events (Aerial Advertising)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_Toc131585665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_Toc131585666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_Toc131585667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Event order</w:t>
      </w:r>
    </w:p>
    <w:p>
      <w:pPr>
        <w:pStyle w:val="TOC8"/>
        <w:rPr>
          <w:rFonts w:asciiTheme="minorHAnsi" w:eastAsiaTheme="minorEastAsia" w:hAnsiTheme="minorHAnsi" w:cstheme="minorBidi"/>
          <w:szCs w:val="22"/>
        </w:rPr>
      </w:pPr>
      <w:r>
        <w:t>4.</w:t>
      </w:r>
      <w:r>
        <w:tab/>
        <w:t>Application for event order or variation of an event order</w:t>
      </w:r>
      <w:r>
        <w:tab/>
      </w:r>
      <w:r>
        <w:fldChar w:fldCharType="begin"/>
      </w:r>
      <w:r>
        <w:instrText xml:space="preserve"> PAGEREF _Toc131585669 \h </w:instrText>
      </w:r>
      <w:r>
        <w:fldChar w:fldCharType="separate"/>
      </w:r>
      <w:r>
        <w:t>4</w:t>
      </w:r>
      <w:r>
        <w:fldChar w:fldCharType="end"/>
      </w:r>
    </w:p>
    <w:p>
      <w:pPr>
        <w:pStyle w:val="TOC8"/>
        <w:rPr>
          <w:rFonts w:asciiTheme="minorHAnsi" w:eastAsiaTheme="minorEastAsia" w:hAnsiTheme="minorHAnsi" w:cstheme="minorBidi"/>
          <w:szCs w:val="22"/>
        </w:rPr>
      </w:pPr>
      <w:r>
        <w:t>5.</w:t>
      </w:r>
      <w:r>
        <w:tab/>
        <w:t>Event orders</w:t>
      </w:r>
      <w:r>
        <w:tab/>
      </w:r>
      <w:r>
        <w:fldChar w:fldCharType="begin"/>
      </w:r>
      <w:r>
        <w:instrText xml:space="preserve"> PAGEREF _Toc131585670 \h </w:instrText>
      </w:r>
      <w:r>
        <w:fldChar w:fldCharType="separate"/>
      </w:r>
      <w:r>
        <w:t>4</w:t>
      </w:r>
      <w:r>
        <w:fldChar w:fldCharType="end"/>
      </w:r>
    </w:p>
    <w:p>
      <w:pPr>
        <w:pStyle w:val="TOC8"/>
        <w:rPr>
          <w:rFonts w:asciiTheme="minorHAnsi" w:eastAsiaTheme="minorEastAsia" w:hAnsiTheme="minorHAnsi" w:cstheme="minorBidi"/>
          <w:szCs w:val="22"/>
        </w:rPr>
      </w:pPr>
      <w:r>
        <w:t>6.</w:t>
      </w:r>
      <w:r>
        <w:tab/>
        <w:t>Notice of decision to be given</w:t>
      </w:r>
      <w:r>
        <w:tab/>
      </w:r>
      <w:r>
        <w:fldChar w:fldCharType="begin"/>
      </w:r>
      <w:r>
        <w:instrText xml:space="preserve"> PAGEREF _Toc131585671 \h </w:instrText>
      </w:r>
      <w:r>
        <w:fldChar w:fldCharType="separate"/>
      </w:r>
      <w:r>
        <w:t>5</w:t>
      </w:r>
      <w:r>
        <w:fldChar w:fldCharType="end"/>
      </w:r>
    </w:p>
    <w:p>
      <w:pPr>
        <w:pStyle w:val="TOC8"/>
        <w:rPr>
          <w:rFonts w:asciiTheme="minorHAnsi" w:eastAsiaTheme="minorEastAsia" w:hAnsiTheme="minorHAnsi" w:cstheme="minorBidi"/>
          <w:szCs w:val="22"/>
        </w:rPr>
      </w:pPr>
      <w:r>
        <w:t>7.</w:t>
      </w:r>
      <w:r>
        <w:tab/>
        <w:t>Review</w:t>
      </w:r>
      <w:r>
        <w:tab/>
      </w:r>
      <w:r>
        <w:fldChar w:fldCharType="begin"/>
      </w:r>
      <w:r>
        <w:instrText xml:space="preserve"> PAGEREF _Toc131585672 \h </w:instrText>
      </w:r>
      <w:r>
        <w:fldChar w:fldCharType="separate"/>
      </w:r>
      <w:r>
        <w:t>5</w:t>
      </w:r>
      <w:r>
        <w:fldChar w:fldCharType="end"/>
      </w:r>
    </w:p>
    <w:p>
      <w:pPr>
        <w:pStyle w:val="TOC8"/>
        <w:rPr>
          <w:rFonts w:asciiTheme="minorHAnsi" w:eastAsiaTheme="minorEastAsia" w:hAnsiTheme="minorHAnsi" w:cstheme="minorBidi"/>
          <w:szCs w:val="22"/>
        </w:rPr>
      </w:pPr>
      <w:r>
        <w:t>8.</w:t>
      </w:r>
      <w:r>
        <w:tab/>
        <w:t>Variation order</w:t>
      </w:r>
      <w:r>
        <w:tab/>
      </w:r>
      <w:r>
        <w:fldChar w:fldCharType="begin"/>
      </w:r>
      <w:r>
        <w:instrText xml:space="preserve"> PAGEREF _Toc131585673 \h </w:instrText>
      </w:r>
      <w:r>
        <w:fldChar w:fldCharType="separate"/>
      </w:r>
      <w:r>
        <w:t>6</w:t>
      </w:r>
      <w:r>
        <w:fldChar w:fldCharType="end"/>
      </w:r>
    </w:p>
    <w:p>
      <w:pPr>
        <w:pStyle w:val="TOC8"/>
        <w:rPr>
          <w:rFonts w:asciiTheme="minorHAnsi" w:eastAsiaTheme="minorEastAsia" w:hAnsiTheme="minorHAnsi" w:cstheme="minorBidi"/>
          <w:szCs w:val="22"/>
        </w:rPr>
      </w:pPr>
      <w:r>
        <w:t>9.</w:t>
      </w:r>
      <w:r>
        <w:tab/>
        <w:t>When order takes effect</w:t>
      </w:r>
      <w:r>
        <w:tab/>
      </w:r>
      <w:r>
        <w:fldChar w:fldCharType="begin"/>
      </w:r>
      <w:r>
        <w:instrText xml:space="preserve"> PAGEREF _Toc131585674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 for application for an event order</w:t>
      </w:r>
      <w:r>
        <w:tab/>
      </w:r>
      <w:r>
        <w:fldChar w:fldCharType="begin"/>
      </w:r>
      <w:r>
        <w:instrText xml:space="preserve"> PAGEREF _Toc131585675 \h </w:instrText>
      </w:r>
      <w:r>
        <w:fldChar w:fldCharType="separate"/>
      </w:r>
      <w:r>
        <w:t>6</w:t>
      </w:r>
      <w:r>
        <w:fldChar w:fldCharType="end"/>
      </w:r>
    </w:p>
    <w:p>
      <w:pPr>
        <w:pStyle w:val="TOC8"/>
        <w:rPr>
          <w:rFonts w:asciiTheme="minorHAnsi" w:eastAsiaTheme="minorEastAsia" w:hAnsiTheme="minorHAnsi" w:cstheme="minorBidi"/>
          <w:szCs w:val="22"/>
        </w:rPr>
      </w:pPr>
      <w:r>
        <w:t>11.</w:t>
      </w:r>
      <w:r>
        <w:tab/>
        <w:t>Offence to display unauthorised aerial advertising</w:t>
      </w:r>
      <w:r>
        <w:tab/>
      </w:r>
      <w:r>
        <w:fldChar w:fldCharType="begin"/>
      </w:r>
      <w:r>
        <w:instrText xml:space="preserve"> PAGEREF _Toc131585676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Civil remedies</w:t>
      </w:r>
    </w:p>
    <w:p>
      <w:pPr>
        <w:pStyle w:val="TOC8"/>
        <w:rPr>
          <w:rFonts w:asciiTheme="minorHAnsi" w:eastAsiaTheme="minorEastAsia" w:hAnsiTheme="minorHAnsi" w:cstheme="minorBidi"/>
          <w:szCs w:val="22"/>
        </w:rPr>
      </w:pPr>
      <w:r>
        <w:t>12.</w:t>
      </w:r>
      <w:r>
        <w:tab/>
        <w:t>Injunctions to restrain conduct</w:t>
      </w:r>
      <w:r>
        <w:tab/>
      </w:r>
      <w:r>
        <w:fldChar w:fldCharType="begin"/>
      </w:r>
      <w:r>
        <w:instrText xml:space="preserve"> PAGEREF _Toc131585678 \h </w:instrText>
      </w:r>
      <w:r>
        <w:fldChar w:fldCharType="separate"/>
      </w:r>
      <w:r>
        <w:t>8</w:t>
      </w:r>
      <w:r>
        <w:fldChar w:fldCharType="end"/>
      </w:r>
    </w:p>
    <w:p>
      <w:pPr>
        <w:pStyle w:val="TOC8"/>
        <w:rPr>
          <w:rFonts w:asciiTheme="minorHAnsi" w:eastAsiaTheme="minorEastAsia" w:hAnsiTheme="minorHAnsi" w:cstheme="minorBidi"/>
          <w:szCs w:val="22"/>
        </w:rPr>
      </w:pPr>
      <w:r>
        <w:t>13.</w:t>
      </w:r>
      <w:r>
        <w:tab/>
        <w:t>Power to rescind or vary injunctions</w:t>
      </w:r>
      <w:r>
        <w:tab/>
      </w:r>
      <w:r>
        <w:fldChar w:fldCharType="begin"/>
      </w:r>
      <w:r>
        <w:instrText xml:space="preserve"> PAGEREF _Toc131585679 \h </w:instrText>
      </w:r>
      <w:r>
        <w:fldChar w:fldCharType="separate"/>
      </w:r>
      <w:r>
        <w:t>9</w:t>
      </w:r>
      <w:r>
        <w:fldChar w:fldCharType="end"/>
      </w:r>
    </w:p>
    <w:p>
      <w:pPr>
        <w:pStyle w:val="TOC8"/>
        <w:rPr>
          <w:rFonts w:asciiTheme="minorHAnsi" w:eastAsiaTheme="minorEastAsia" w:hAnsiTheme="minorHAnsi" w:cstheme="minorBidi"/>
          <w:szCs w:val="22"/>
        </w:rPr>
      </w:pPr>
      <w:r>
        <w:t>14.</w:t>
      </w:r>
      <w:r>
        <w:tab/>
        <w:t>Action for damages</w:t>
      </w:r>
      <w:r>
        <w:tab/>
      </w:r>
      <w:r>
        <w:fldChar w:fldCharType="begin"/>
      </w:r>
      <w:r>
        <w:instrText xml:space="preserve"> PAGEREF _Toc131585680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15.</w:t>
      </w:r>
      <w:r>
        <w:tab/>
        <w:t>Bringing proceedings</w:t>
      </w:r>
      <w:r>
        <w:tab/>
      </w:r>
      <w:r>
        <w:fldChar w:fldCharType="begin"/>
      </w:r>
      <w:r>
        <w:instrText xml:space="preserve"> PAGEREF _Toc131585682 \h </w:instrText>
      </w:r>
      <w:r>
        <w:fldChar w:fldCharType="separate"/>
      </w:r>
      <w:r>
        <w:t>11</w:t>
      </w:r>
      <w:r>
        <w:fldChar w:fldCharType="end"/>
      </w:r>
    </w:p>
    <w:p>
      <w:pPr>
        <w:pStyle w:val="TOC8"/>
        <w:rPr>
          <w:rFonts w:asciiTheme="minorHAnsi" w:eastAsiaTheme="minorEastAsia" w:hAnsiTheme="minorHAnsi" w:cstheme="minorBidi"/>
          <w:szCs w:val="22"/>
        </w:rPr>
      </w:pPr>
      <w:r>
        <w:t>16.</w:t>
      </w:r>
      <w:r>
        <w:tab/>
        <w:t>Liability of officers for offence by body corporate</w:t>
      </w:r>
      <w:r>
        <w:tab/>
      </w:r>
      <w:r>
        <w:fldChar w:fldCharType="begin"/>
      </w:r>
      <w:r>
        <w:instrText xml:space="preserve"> PAGEREF _Toc131585683 \h </w:instrText>
      </w:r>
      <w:r>
        <w:fldChar w:fldCharType="separate"/>
      </w:r>
      <w:r>
        <w:t>11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_Toc131585684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_Toc131585686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3" w:name="BillCited"/>
      <w:bookmarkEnd w:id="3"/>
      <w:r>
        <w:rPr>
          <w:snapToGrid w:val="0"/>
        </w:rPr>
        <w:t>An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pStyle w:val="Heading2"/>
      </w:pPr>
      <w:bookmarkStart w:id="4" w:name="_Toc377565089"/>
      <w:bookmarkStart w:id="5" w:name="_Toc421107059"/>
      <w:bookmarkStart w:id="6" w:name="_Toc421107082"/>
      <w:bookmarkStart w:id="7" w:name="_Toc131518905"/>
      <w:bookmarkStart w:id="8" w:name="_Toc131518946"/>
      <w:bookmarkStart w:id="9" w:name="_Toc13158566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377565090"/>
      <w:bookmarkStart w:id="11" w:name="_Toc131585665"/>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12" w:name="_Toc377565091"/>
      <w:bookmarkStart w:id="13" w:name="_Toc131585666"/>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377565092"/>
      <w:bookmarkStart w:id="15" w:name="_Toc131585667"/>
      <w:r>
        <w:rPr>
          <w:rStyle w:val="CharSectno"/>
        </w:rPr>
        <w:t>3</w:t>
      </w:r>
      <w:r>
        <w:rPr>
          <w:snapToGrid w:val="0"/>
        </w:rPr>
        <w:t>.</w:t>
      </w:r>
      <w:r>
        <w:rPr>
          <w:snapToGrid w:val="0"/>
        </w:rPr>
        <w:tab/>
        <w:t>Terms used</w:t>
      </w:r>
      <w:bookmarkEnd w:id="14"/>
      <w:bookmarkEnd w:id="15"/>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tab/>
        <w:t>(ii)</w:t>
      </w:r>
      <w:r>
        <w:tab/>
        <w:t>a banner or sign attached to a hang glider, parachute, paraglider or similar device;</w:t>
      </w:r>
    </w:p>
    <w:p>
      <w:pPr>
        <w:pStyle w:val="Defpara"/>
      </w:pPr>
      <w:r>
        <w:tab/>
      </w:r>
      <w:r>
        <w:tab/>
        <w:t>or</w:t>
      </w:r>
    </w:p>
    <w:p>
      <w:pPr>
        <w:pStyle w:val="Defpara"/>
      </w:pPr>
      <w:r>
        <w:lastRenderedPageBreak/>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Footnotesection"/>
      </w:pPr>
      <w:r>
        <w:tab/>
        <w:t>[Section 3 amended: No. 9 of 2023 s. 99.]</w:t>
      </w:r>
    </w:p>
    <w:p>
      <w:pPr>
        <w:pStyle w:val="Heading2"/>
      </w:pPr>
      <w:bookmarkStart w:id="16" w:name="_Toc377565093"/>
      <w:bookmarkStart w:id="17" w:name="_Toc421107063"/>
      <w:bookmarkStart w:id="18" w:name="_Toc421107086"/>
      <w:bookmarkStart w:id="19" w:name="_Toc131518909"/>
      <w:bookmarkStart w:id="20" w:name="_Toc131518950"/>
      <w:bookmarkStart w:id="21" w:name="_Toc131585668"/>
      <w:r>
        <w:rPr>
          <w:rStyle w:val="CharPartNo"/>
        </w:rPr>
        <w:lastRenderedPageBreak/>
        <w:t>Part 2</w:t>
      </w:r>
      <w:r>
        <w:rPr>
          <w:rStyle w:val="CharDivNo"/>
        </w:rPr>
        <w:t> </w:t>
      </w:r>
      <w:r>
        <w:t>—</w:t>
      </w:r>
      <w:r>
        <w:rPr>
          <w:rStyle w:val="CharDivText"/>
        </w:rPr>
        <w:t> </w:t>
      </w:r>
      <w:r>
        <w:rPr>
          <w:rStyle w:val="CharPartText"/>
        </w:rPr>
        <w:t>Event order</w:t>
      </w:r>
      <w:bookmarkEnd w:id="16"/>
      <w:bookmarkEnd w:id="17"/>
      <w:bookmarkEnd w:id="18"/>
      <w:bookmarkEnd w:id="19"/>
      <w:bookmarkEnd w:id="20"/>
      <w:bookmarkEnd w:id="21"/>
    </w:p>
    <w:p>
      <w:pPr>
        <w:pStyle w:val="Heading5"/>
      </w:pPr>
      <w:bookmarkStart w:id="22" w:name="_Toc377565094"/>
      <w:bookmarkStart w:id="23" w:name="_Toc131585669"/>
      <w:r>
        <w:rPr>
          <w:rStyle w:val="CharSectno"/>
        </w:rPr>
        <w:t>4</w:t>
      </w:r>
      <w:r>
        <w:t>.</w:t>
      </w:r>
      <w:r>
        <w:tab/>
        <w:t>Application for event order or variation of an event order</w:t>
      </w:r>
      <w:bookmarkEnd w:id="22"/>
      <w:bookmarkEnd w:id="23"/>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24" w:name="_Toc377565095"/>
      <w:bookmarkStart w:id="25" w:name="_Toc131585670"/>
      <w:r>
        <w:rPr>
          <w:rStyle w:val="CharSectno"/>
        </w:rPr>
        <w:t>5</w:t>
      </w:r>
      <w:r>
        <w:t>.</w:t>
      </w:r>
      <w:r>
        <w:tab/>
        <w:t>Event orders</w:t>
      </w:r>
      <w:bookmarkEnd w:id="24"/>
      <w:bookmarkEnd w:id="25"/>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lastRenderedPageBreak/>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26" w:name="_Toc377565096"/>
      <w:bookmarkStart w:id="27" w:name="_Toc131585671"/>
      <w:r>
        <w:rPr>
          <w:rStyle w:val="CharSectno"/>
        </w:rPr>
        <w:t>6</w:t>
      </w:r>
      <w:r>
        <w:t>.</w:t>
      </w:r>
      <w:r>
        <w:tab/>
        <w:t>Notice of decision to be given</w:t>
      </w:r>
      <w:bookmarkEnd w:id="26"/>
      <w:bookmarkEnd w:id="27"/>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28" w:name="_Toc377565097"/>
      <w:bookmarkStart w:id="29" w:name="_Toc131585672"/>
      <w:r>
        <w:rPr>
          <w:rStyle w:val="CharSectno"/>
        </w:rPr>
        <w:t>7</w:t>
      </w:r>
      <w:r>
        <w:t>.</w:t>
      </w:r>
      <w:r>
        <w:tab/>
        <w:t>Review</w:t>
      </w:r>
      <w:bookmarkEnd w:id="28"/>
      <w:bookmarkEnd w:id="29"/>
    </w:p>
    <w:p>
      <w:pPr>
        <w:pStyle w:val="Subsection"/>
      </w:pPr>
      <w:r>
        <w:tab/>
      </w:r>
      <w:r>
        <w:tab/>
        <w:t>A person who is aggrieved by a decision referred to in section 6 may apply to the State Administrative Tribunal for a review of the decision.</w:t>
      </w:r>
    </w:p>
    <w:p>
      <w:pPr>
        <w:pStyle w:val="Heading5"/>
      </w:pPr>
      <w:bookmarkStart w:id="30" w:name="_Toc377565098"/>
      <w:bookmarkStart w:id="31" w:name="_Toc131585673"/>
      <w:r>
        <w:rPr>
          <w:rStyle w:val="CharSectno"/>
        </w:rPr>
        <w:lastRenderedPageBreak/>
        <w:t>8</w:t>
      </w:r>
      <w:r>
        <w:t>.</w:t>
      </w:r>
      <w:r>
        <w:tab/>
        <w:t>Variation order</w:t>
      </w:r>
      <w:bookmarkEnd w:id="30"/>
      <w:bookmarkEnd w:id="31"/>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32" w:name="_Toc377565099"/>
      <w:bookmarkStart w:id="33" w:name="_Toc131585674"/>
      <w:r>
        <w:rPr>
          <w:rStyle w:val="CharSectno"/>
        </w:rPr>
        <w:t>9</w:t>
      </w:r>
      <w:r>
        <w:t>.</w:t>
      </w:r>
      <w:r>
        <w:tab/>
        <w:t>When order takes effect</w:t>
      </w:r>
      <w:bookmarkEnd w:id="32"/>
      <w:bookmarkEnd w:id="33"/>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34" w:name="_Toc377565100"/>
      <w:bookmarkStart w:id="35" w:name="_Toc131585675"/>
      <w:r>
        <w:rPr>
          <w:rStyle w:val="CharSectno"/>
        </w:rPr>
        <w:t>10</w:t>
      </w:r>
      <w:r>
        <w:t>.</w:t>
      </w:r>
      <w:r>
        <w:tab/>
        <w:t>Refund of fee for application for an event order</w:t>
      </w:r>
      <w:bookmarkEnd w:id="34"/>
      <w:bookmarkEnd w:id="35"/>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lastRenderedPageBreak/>
        <w:tab/>
        <w:t>(2)</w:t>
      </w:r>
      <w:r>
        <w:tab/>
        <w:t>Subsection (1) applies in relation to an application for an event order made on or after 1 July 2011.</w:t>
      </w:r>
    </w:p>
    <w:p>
      <w:pPr>
        <w:pStyle w:val="Heading5"/>
      </w:pPr>
      <w:bookmarkStart w:id="36" w:name="_Toc377565101"/>
      <w:bookmarkStart w:id="37" w:name="_Toc131585676"/>
      <w:r>
        <w:rPr>
          <w:rStyle w:val="CharSectno"/>
        </w:rPr>
        <w:t>11</w:t>
      </w:r>
      <w:r>
        <w:t>.</w:t>
      </w:r>
      <w:r>
        <w:tab/>
        <w:t>Offence to display unauthorised aerial advertising</w:t>
      </w:r>
      <w:bookmarkEnd w:id="36"/>
      <w:bookmarkEnd w:id="37"/>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Proceedings for a contravention of subsection (1) are to be dealt with by a court constituted by a magistrate.</w:t>
      </w:r>
    </w:p>
    <w:p>
      <w:pPr>
        <w:pStyle w:val="Heading2"/>
      </w:pPr>
      <w:bookmarkStart w:id="38" w:name="_Toc377565102"/>
      <w:bookmarkStart w:id="39" w:name="_Toc421107072"/>
      <w:bookmarkStart w:id="40" w:name="_Toc421107095"/>
      <w:bookmarkStart w:id="41" w:name="_Toc131518918"/>
      <w:bookmarkStart w:id="42" w:name="_Toc131518959"/>
      <w:bookmarkStart w:id="43" w:name="_Toc131585677"/>
      <w:r>
        <w:rPr>
          <w:rStyle w:val="CharPartNo"/>
        </w:rPr>
        <w:lastRenderedPageBreak/>
        <w:t>Part 3</w:t>
      </w:r>
      <w:r>
        <w:rPr>
          <w:rStyle w:val="CharDivNo"/>
        </w:rPr>
        <w:t> </w:t>
      </w:r>
      <w:r>
        <w:t>—</w:t>
      </w:r>
      <w:r>
        <w:rPr>
          <w:rStyle w:val="CharDivText"/>
        </w:rPr>
        <w:t> </w:t>
      </w:r>
      <w:r>
        <w:rPr>
          <w:rStyle w:val="CharPartText"/>
        </w:rPr>
        <w:t>Civil remedies</w:t>
      </w:r>
      <w:bookmarkEnd w:id="38"/>
      <w:bookmarkEnd w:id="39"/>
      <w:bookmarkEnd w:id="40"/>
      <w:bookmarkEnd w:id="41"/>
      <w:bookmarkEnd w:id="42"/>
      <w:bookmarkEnd w:id="43"/>
    </w:p>
    <w:p>
      <w:pPr>
        <w:pStyle w:val="Heading5"/>
      </w:pPr>
      <w:bookmarkStart w:id="44" w:name="_Toc377565103"/>
      <w:bookmarkStart w:id="45" w:name="_Toc131585678"/>
      <w:r>
        <w:rPr>
          <w:rStyle w:val="CharSectno"/>
        </w:rPr>
        <w:t>12</w:t>
      </w:r>
      <w:r>
        <w:t>.</w:t>
      </w:r>
      <w:r>
        <w:tab/>
        <w:t>Injunctions to restrain conduct</w:t>
      </w:r>
      <w:bookmarkEnd w:id="44"/>
      <w:bookmarkEnd w:id="45"/>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lastRenderedPageBreak/>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46" w:name="_Toc377565104"/>
      <w:bookmarkStart w:id="47" w:name="_Toc131585679"/>
      <w:r>
        <w:rPr>
          <w:rStyle w:val="CharSectno"/>
        </w:rPr>
        <w:t>13</w:t>
      </w:r>
      <w:r>
        <w:t>.</w:t>
      </w:r>
      <w:r>
        <w:tab/>
        <w:t>Power to rescind or vary injunctions</w:t>
      </w:r>
      <w:bookmarkEnd w:id="46"/>
      <w:bookmarkEnd w:id="47"/>
    </w:p>
    <w:p>
      <w:pPr>
        <w:pStyle w:val="Subsection"/>
      </w:pPr>
      <w:r>
        <w:tab/>
      </w:r>
      <w:r>
        <w:tab/>
        <w:t>The Supreme Court may rescind or vary an injunction granted under section 12(2).</w:t>
      </w:r>
    </w:p>
    <w:p>
      <w:pPr>
        <w:pStyle w:val="Heading5"/>
      </w:pPr>
      <w:bookmarkStart w:id="48" w:name="_Toc377565105"/>
      <w:bookmarkStart w:id="49" w:name="_Toc131585680"/>
      <w:r>
        <w:rPr>
          <w:rStyle w:val="CharSectno"/>
        </w:rPr>
        <w:t>14</w:t>
      </w:r>
      <w:r>
        <w:t>.</w:t>
      </w:r>
      <w:r>
        <w:tab/>
        <w:t>Action for damages</w:t>
      </w:r>
      <w:bookmarkEnd w:id="48"/>
      <w:bookmarkEnd w:id="49"/>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lastRenderedPageBreak/>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50" w:name="_Toc377565106"/>
      <w:bookmarkStart w:id="51" w:name="_Toc421107076"/>
      <w:bookmarkStart w:id="52" w:name="_Toc421107099"/>
      <w:bookmarkStart w:id="53" w:name="_Toc131518922"/>
      <w:bookmarkStart w:id="54" w:name="_Toc131518963"/>
      <w:bookmarkStart w:id="55" w:name="_Toc131585681"/>
      <w:r>
        <w:rPr>
          <w:rStyle w:val="CharPartNo"/>
        </w:rPr>
        <w:lastRenderedPageBreak/>
        <w:t>Part 4</w:t>
      </w:r>
      <w:r>
        <w:rPr>
          <w:rStyle w:val="CharDivNo"/>
        </w:rPr>
        <w:t> </w:t>
      </w:r>
      <w:r>
        <w:t>—</w:t>
      </w:r>
      <w:r>
        <w:rPr>
          <w:rStyle w:val="CharDivText"/>
        </w:rPr>
        <w:t> </w:t>
      </w:r>
      <w:r>
        <w:rPr>
          <w:rStyle w:val="CharPartText"/>
        </w:rPr>
        <w:t>Miscellaneous</w:t>
      </w:r>
      <w:bookmarkEnd w:id="50"/>
      <w:bookmarkEnd w:id="51"/>
      <w:bookmarkEnd w:id="52"/>
      <w:bookmarkEnd w:id="53"/>
      <w:bookmarkEnd w:id="54"/>
      <w:bookmarkEnd w:id="55"/>
    </w:p>
    <w:p>
      <w:pPr>
        <w:pStyle w:val="Heading5"/>
      </w:pPr>
      <w:bookmarkStart w:id="56" w:name="_Toc377565107"/>
      <w:bookmarkStart w:id="57" w:name="_Toc131585682"/>
      <w:r>
        <w:rPr>
          <w:rStyle w:val="CharSectno"/>
        </w:rPr>
        <w:t>15</w:t>
      </w:r>
      <w:r>
        <w:t>.</w:t>
      </w:r>
      <w:r>
        <w:tab/>
        <w:t>Bringing proceedings</w:t>
      </w:r>
      <w:bookmarkEnd w:id="56"/>
      <w:bookmarkEnd w:id="57"/>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58" w:name="_Toc130918477"/>
      <w:bookmarkStart w:id="59" w:name="_Toc131585683"/>
      <w:bookmarkStart w:id="60" w:name="_Toc377565108"/>
      <w:r>
        <w:rPr>
          <w:rStyle w:val="CharSectno"/>
        </w:rPr>
        <w:t>16</w:t>
      </w:r>
      <w:r>
        <w:t>.</w:t>
      </w:r>
      <w:r>
        <w:tab/>
        <w:t>Liability of officers for offence by body corporate</w:t>
      </w:r>
      <w:bookmarkEnd w:id="58"/>
      <w:bookmarkEnd w:id="59"/>
    </w:p>
    <w:p>
      <w:pPr>
        <w:pStyle w:val="Subsection"/>
      </w:pPr>
      <w:r>
        <w:tab/>
      </w:r>
      <w:r>
        <w:tab/>
      </w:r>
      <w:r>
        <w:rPr>
          <w:i/>
        </w:rPr>
        <w:t>The Criminal Code</w:t>
      </w:r>
      <w:r>
        <w:t xml:space="preserve"> section 39 (which provides for the criminal liability of officers of a body corporate) applies to an offence under section 11(1) of this Act.</w:t>
      </w:r>
    </w:p>
    <w:p>
      <w:pPr>
        <w:pStyle w:val="Footnotesection"/>
      </w:pPr>
      <w:r>
        <w:tab/>
        <w:t>[Section 16 inserted: No. 9 of 2023 s. 100.]</w:t>
      </w:r>
    </w:p>
    <w:p>
      <w:pPr>
        <w:pStyle w:val="Heading5"/>
      </w:pPr>
      <w:bookmarkStart w:id="61" w:name="_Toc377565109"/>
      <w:bookmarkStart w:id="62" w:name="_Toc131585684"/>
      <w:bookmarkEnd w:id="60"/>
      <w:r>
        <w:rPr>
          <w:rStyle w:val="CharSectno"/>
        </w:rPr>
        <w:t>17</w:t>
      </w:r>
      <w:r>
        <w:t>.</w:t>
      </w:r>
      <w:r>
        <w:tab/>
        <w:t>Regulations</w:t>
      </w:r>
      <w:bookmarkEnd w:id="61"/>
      <w:bookmarkEnd w:id="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nHeading2"/>
      </w:pPr>
      <w:bookmarkStart w:id="63" w:name="_Toc131518967"/>
      <w:bookmarkStart w:id="64" w:name="_Toc131585685"/>
      <w:bookmarkStart w:id="65" w:name="_Toc131518928"/>
      <w:r>
        <w:lastRenderedPageBreak/>
        <w:t>Notes</w:t>
      </w:r>
      <w:bookmarkEnd w:id="63"/>
      <w:bookmarkEnd w:id="64"/>
    </w:p>
    <w:p>
      <w:pPr>
        <w:pStyle w:val="nStatement"/>
      </w:pPr>
      <w:r>
        <w:t xml:space="preserve">This is a compilation of the </w:t>
      </w:r>
      <w:r>
        <w:rPr>
          <w:i/>
          <w:noProof/>
        </w:rPr>
        <w:t>Major Events (Aerial Advertising) Act 2009</w:t>
      </w:r>
      <w:r>
        <w:t xml:space="preserve"> and includes amendments made by other written laws. For provisions that have come into operation see the compilation table.</w:t>
      </w:r>
    </w:p>
    <w:p>
      <w:pPr>
        <w:pStyle w:val="nHeading3"/>
      </w:pPr>
      <w:bookmarkStart w:id="66" w:name="_Toc131585686"/>
      <w:r>
        <w:t>Compilation table</w:t>
      </w:r>
      <w:bookmarkEnd w:id="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Major Events (Aerial Advertising) Act 2009</w:t>
            </w:r>
          </w:p>
        </w:tc>
        <w:tc>
          <w:tcPr>
            <w:tcW w:w="1134" w:type="dxa"/>
            <w:tcBorders>
              <w:bottom w:val="nil"/>
            </w:tcBorders>
          </w:tcPr>
          <w:p>
            <w:pPr>
              <w:pStyle w:val="nTable"/>
              <w:spacing w:after="40"/>
            </w:pPr>
            <w:r>
              <w:t>20 of 2009</w:t>
            </w:r>
          </w:p>
        </w:tc>
        <w:tc>
          <w:tcPr>
            <w:tcW w:w="1134" w:type="dxa"/>
            <w:tcBorders>
              <w:bottom w:val="nil"/>
            </w:tcBorders>
          </w:tcPr>
          <w:p>
            <w:pPr>
              <w:pStyle w:val="nTable"/>
              <w:spacing w:after="40"/>
            </w:pPr>
            <w:r>
              <w:t>21 Sep 2009</w:t>
            </w:r>
          </w:p>
        </w:tc>
        <w:tc>
          <w:tcPr>
            <w:tcW w:w="2552" w:type="dxa"/>
            <w:tcBorders>
              <w:bottom w:val="nil"/>
            </w:tcBorders>
          </w:tcPr>
          <w:p>
            <w:pPr>
              <w:pStyle w:val="nTable"/>
              <w:spacing w:after="40"/>
            </w:pPr>
            <w:r>
              <w:t>s. 1 and 2: 21 Sep 2009 (see s. 2(a))</w:t>
            </w:r>
            <w:r>
              <w:br/>
              <w:t xml:space="preserve">Act other than s. 1 and 2: 18 Jan 2010 (see s. 2(b) and </w:t>
            </w:r>
            <w:r>
              <w:rPr>
                <w:i/>
                <w:iCs/>
              </w:rPr>
              <w:t>Gazette</w:t>
            </w:r>
            <w:r>
              <w:t xml:space="preserve"> 15 Jan 2010 p. 67)</w:t>
            </w:r>
          </w:p>
        </w:tc>
      </w:tr>
      <w:tr>
        <w:tc>
          <w:tcPr>
            <w:tcW w:w="2268" w:type="dxa"/>
            <w:tcBorders>
              <w:top w:val="nil"/>
            </w:tcBorders>
          </w:tcPr>
          <w:p>
            <w:pPr>
              <w:pStyle w:val="nTable"/>
              <w:spacing w:after="40"/>
            </w:pPr>
            <w:r>
              <w:rPr>
                <w:i/>
              </w:rPr>
              <w:t>Directors’ Liability Reform Act 2023</w:t>
            </w:r>
            <w:r>
              <w:t xml:space="preserve"> Pt. 3 Div. 38</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8" w:name="_Toc131585687"/>
      <w:bookmarkEnd w:id="65"/>
      <w:r>
        <w:rPr>
          <w:sz w:val="28"/>
        </w:rPr>
        <w:lastRenderedPageBreak/>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advertising</w:t>
      </w:r>
      <w:r>
        <w:tab/>
        <w:t>3</w:t>
      </w:r>
    </w:p>
    <w:p>
      <w:pPr>
        <w:pStyle w:val="DefinedTerms"/>
      </w:pPr>
      <w:r>
        <w:t>aerial advertising</w:t>
      </w:r>
      <w:r>
        <w:tab/>
        <w:t>3</w:t>
      </w:r>
    </w:p>
    <w:p>
      <w:pPr>
        <w:pStyle w:val="DefinedTerms"/>
      </w:pPr>
      <w:r>
        <w:t>aircraft</w:t>
      </w:r>
      <w:r>
        <w:tab/>
        <w:t>3</w:t>
      </w:r>
    </w:p>
    <w:p>
      <w:pPr>
        <w:pStyle w:val="DefinedTerms"/>
      </w:pPr>
      <w:r>
        <w:t>CEO</w:t>
      </w:r>
      <w:r>
        <w:tab/>
        <w:t>3</w:t>
      </w:r>
    </w:p>
    <w:p>
      <w:pPr>
        <w:pStyle w:val="DefinedTerms"/>
      </w:pPr>
      <w:r>
        <w:t>event order</w:t>
      </w:r>
      <w:r>
        <w:tab/>
        <w:t>3</w:t>
      </w:r>
    </w:p>
    <w:p>
      <w:pPr>
        <w:pStyle w:val="DefinedTerms"/>
      </w:pPr>
      <w:r>
        <w:t>event organiser</w:t>
      </w:r>
      <w:r>
        <w:tab/>
        <w:t>3</w:t>
      </w:r>
    </w:p>
    <w:p>
      <w:pPr>
        <w:pStyle w:val="DefinedTerms"/>
      </w:pPr>
      <w:r>
        <w:t>specified event</w:t>
      </w:r>
      <w:r>
        <w:tab/>
        <w:t>3</w:t>
      </w:r>
    </w:p>
    <w:p>
      <w:pPr>
        <w:pStyle w:val="DefinedTerms"/>
      </w:pPr>
      <w:r>
        <w:t>specified time</w:t>
      </w:r>
      <w:r>
        <w:tab/>
        <w:t>3</w:t>
      </w:r>
    </w:p>
    <w:p>
      <w:pPr>
        <w:pStyle w:val="DefinedTerms"/>
      </w:pPr>
      <w:r>
        <w:t>specified venue</w:t>
      </w:r>
      <w:r>
        <w:tab/>
        <w:t>3</w:t>
      </w:r>
    </w:p>
    <w:p>
      <w:pPr>
        <w:pStyle w:val="DefinedTerms"/>
      </w:pPr>
      <w:r>
        <w:t>variation order</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9" w:name="DefinedTerms"/>
    <w:bookmarkEnd w:id="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6160726"/>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character" w:customStyle="1" w:styleId="Heading5Char">
    <w:name w:val="Heading 5 Char"/>
    <w:basedOn w:val="DefaultParagraphFont"/>
    <w:link w:val="Heading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2584</Words>
  <Characters>12021</Characters>
  <Application>Microsoft Office Word</Application>
  <DocSecurity>0</DocSecurity>
  <Lines>375</Lines>
  <Paragraphs>247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2009 - 00-c0-00</dc:title>
  <dc:subject/>
  <dc:creator/>
  <cp:keywords/>
  <dc:description/>
  <cp:lastModifiedBy>Master Repository Process</cp:lastModifiedBy>
  <cp:revision>4</cp:revision>
  <cp:lastPrinted>2009-09-11T03:53:00Z</cp:lastPrinted>
  <dcterms:created xsi:type="dcterms:W3CDTF">2023-04-05T04:05:00Z</dcterms:created>
  <dcterms:modified xsi:type="dcterms:W3CDTF">2023-04-05T04:05:00Z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DocumentType">
    <vt:lpwstr>Act</vt:lpwstr>
  </property>
  <property fmtid="{D5CDD505-2E9C-101B-9397-08002B2CF9AE}" pid="4" name="OwlsUID">
    <vt:i4>146719</vt:i4>
  </property>
  <property fmtid="{D5CDD505-2E9C-101B-9397-08002B2CF9AE}" pid="5" name="AsAtDate">
    <vt:lpwstr>05 Apr 2023</vt:lpwstr>
  </property>
  <property fmtid="{D5CDD505-2E9C-101B-9397-08002B2CF9AE}" pid="6" name="Suffix">
    <vt:lpwstr>00-c0-00</vt:lpwstr>
  </property>
  <property fmtid="{D5CDD505-2E9C-101B-9397-08002B2CF9AE}" pid="7" name="CommencementDate">
    <vt:lpwstr>20230405</vt:lpwstr>
  </property>
</Properties>
</file>