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_Toc131515873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_Toc131515874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_Toc131515875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_Toc131515876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_Toc131515877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_Toc131515878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_Toc131515879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_Toc131515881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_Toc131515882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_Toc131515883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_Toc131515884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_Toc131515885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_Toc131515886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_Toc131515887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_Toc131515888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_Toc131515889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_Toc131515890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_Toc131515891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_Toc131515892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_Toc131515893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_Toc131515894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_Toc131515895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_Toc131515896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_Toc131515898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_Toc131515899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_Toc131515900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_Toc131515901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_Toc131515902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_Toc131515903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_Toc131515904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_Toc131515905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_Toc131515906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_Toc131515907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_Toc131515908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_Toc131515909 \h </w:instrText>
      </w:r>
      <w:r>
        <w:fldChar w:fldCharType="separate"/>
      </w:r>
      <w:r>
        <w:t>28</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_Toc131515910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_Toc131515911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_Toc131515912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_Toc131515913 \h </w:instrText>
      </w:r>
      <w:r>
        <w:fldChar w:fldCharType="separate"/>
      </w:r>
      <w:r>
        <w:t>31</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_Toc131515914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_Toc131515915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_Toc131515916 \h </w:instrText>
      </w:r>
      <w:r>
        <w:fldChar w:fldCharType="separate"/>
      </w:r>
      <w:r>
        <w:t>33</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_Toc131515917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_Toc131515919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_Toc131515920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_Toc131515921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_Toc131515922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_Toc131515923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_Toc131515924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_Toc131515925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_Toc131515926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_Toc131515927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51.</w:t>
      </w:r>
      <w:r>
        <w:tab/>
        <w:t>Offences to be dealt with by magistrate</w:t>
      </w:r>
      <w:r>
        <w:tab/>
      </w:r>
      <w:r>
        <w:fldChar w:fldCharType="begin"/>
      </w:r>
      <w:r>
        <w:instrText xml:space="preserve"> PAGEREF _Toc131515928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_Toc131515929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_Toc131515930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_Toc131515931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_Toc131515932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_Toc131515933 \h </w:instrText>
      </w:r>
      <w:r>
        <w:fldChar w:fldCharType="separate"/>
      </w:r>
      <w:r>
        <w:t>45</w:t>
      </w:r>
      <w:r>
        <w:fldChar w:fldCharType="end"/>
      </w:r>
    </w:p>
    <w:p>
      <w:pPr>
        <w:pStyle w:val="TOC8"/>
        <w:rPr>
          <w:rFonts w:asciiTheme="minorHAnsi" w:eastAsiaTheme="minorEastAsia" w:hAnsiTheme="minorHAnsi" w:cstheme="minorBidi"/>
          <w:szCs w:val="22"/>
        </w:rPr>
      </w:pPr>
      <w:r>
        <w:t>56A.</w:t>
      </w:r>
      <w:r>
        <w:tab/>
        <w:t>Liability of officers for offence by body corporate</w:t>
      </w:r>
      <w:r>
        <w:tab/>
      </w:r>
      <w:r>
        <w:fldChar w:fldCharType="begin"/>
      </w:r>
      <w:r>
        <w:instrText xml:space="preserve"> PAGEREF _Toc131515934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_Toc131515935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_Toc131515937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_Toc131515938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_Toc131515940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_Toc131515941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89602078"/>
      <w:bookmarkStart w:id="4" w:name="_Toc489602192"/>
      <w:bookmarkStart w:id="5" w:name="_Toc489602607"/>
      <w:bookmarkStart w:id="6" w:name="_Toc490129614"/>
      <w:bookmarkStart w:id="7" w:name="_Toc491788227"/>
      <w:bookmarkStart w:id="8" w:name="_Toc493601317"/>
      <w:bookmarkStart w:id="9" w:name="_Toc493601386"/>
      <w:bookmarkStart w:id="10" w:name="_Toc493601455"/>
      <w:bookmarkStart w:id="11" w:name="_Toc493603072"/>
      <w:bookmarkStart w:id="12" w:name="_Toc493603195"/>
      <w:bookmarkStart w:id="13" w:name="_Toc512325195"/>
      <w:bookmarkStart w:id="14" w:name="_Toc531182085"/>
      <w:bookmarkStart w:id="15" w:name="_Toc131513240"/>
      <w:bookmarkStart w:id="16" w:name="_Toc131513397"/>
      <w:bookmarkStart w:id="17" w:name="_Toc13151587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131515873"/>
      <w:r>
        <w:rPr>
          <w:rStyle w:val="CharSectno"/>
        </w:rPr>
        <w:t>1</w:t>
      </w:r>
      <w:r>
        <w:rPr>
          <w:snapToGrid w:val="0"/>
        </w:rPr>
        <w:t>.</w:t>
      </w:r>
      <w:r>
        <w:rPr>
          <w:snapToGrid w:val="0"/>
        </w:rPr>
        <w:tab/>
        <w:t>Short title</w:t>
      </w:r>
      <w:bookmarkEnd w:id="18"/>
      <w:r>
        <w:rPr>
          <w:snapToGrid w:val="0"/>
        </w:rPr>
        <w:t xml:space="preserve"> </w:t>
      </w:r>
    </w:p>
    <w:p>
      <w:pPr>
        <w:pStyle w:val="Subsection"/>
        <w:tabs>
          <w:tab w:val="left" w:pos="4820"/>
        </w:tabs>
        <w:rPr>
          <w:snapToGrid w:val="0"/>
        </w:rPr>
      </w:pPr>
      <w:r>
        <w:rPr>
          <w:snapToGrid w:val="0"/>
        </w:rPr>
        <w:tab/>
      </w:r>
      <w:r>
        <w:rPr>
          <w:snapToGrid w:val="0"/>
        </w:rPr>
        <w:tab/>
        <w:t xml:space="preserve">This Act may be cited as the </w:t>
      </w:r>
      <w:r>
        <w:rPr>
          <w:i/>
          <w:snapToGrid w:val="0"/>
        </w:rPr>
        <w:t>Radiation Safety Act 1975</w:t>
      </w:r>
      <w:r>
        <w:rPr>
          <w:snapToGrid w:val="0"/>
        </w:rPr>
        <w:t>.</w:t>
      </w:r>
    </w:p>
    <w:p>
      <w:pPr>
        <w:pStyle w:val="Heading5"/>
        <w:rPr>
          <w:snapToGrid w:val="0"/>
        </w:rPr>
      </w:pPr>
      <w:bookmarkStart w:id="19" w:name="_Toc131515874"/>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20" w:name="_Toc131515875"/>
      <w:r>
        <w:rPr>
          <w:rStyle w:val="CharSectno"/>
        </w:rPr>
        <w:t>4</w:t>
      </w:r>
      <w:r>
        <w:rPr>
          <w:snapToGrid w:val="0"/>
        </w:rPr>
        <w:t>.</w:t>
      </w:r>
      <w:r>
        <w:rPr>
          <w:snapToGrid w:val="0"/>
        </w:rPr>
        <w:tab/>
        <w:t>Terms used</w:t>
      </w:r>
      <w:bookmarkEnd w:id="20"/>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lastRenderedPageBreak/>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No. 63 of 1981 s. 4; No. 28 of 1984 s. 96 and 97; No. 21 of 2006 Sch. 3 cl. 5(2)</w:t>
      </w:r>
      <w:r>
        <w:noBreakHyphen/>
        <w:t>(4); No. 35 of 2010 s. 143; No. 17 of 2014 s. 33; No. 19 of 2016 s. 102.]</w:t>
      </w:r>
    </w:p>
    <w:p>
      <w:pPr>
        <w:pStyle w:val="Ednotesection"/>
      </w:pPr>
      <w:r>
        <w:t>[</w:t>
      </w:r>
      <w:r>
        <w:rPr>
          <w:b/>
          <w:bCs/>
        </w:rPr>
        <w:t>5.</w:t>
      </w:r>
      <w:r>
        <w:tab/>
        <w:t>Deleted: No. 21 of 2006 Sch. 3 cl. 5(5).]</w:t>
      </w:r>
    </w:p>
    <w:p>
      <w:pPr>
        <w:pStyle w:val="Heading5"/>
        <w:spacing w:before="200"/>
        <w:rPr>
          <w:snapToGrid w:val="0"/>
        </w:rPr>
      </w:pPr>
      <w:bookmarkStart w:id="21" w:name="_Toc131515876"/>
      <w:r>
        <w:rPr>
          <w:rStyle w:val="CharSectno"/>
        </w:rPr>
        <w:t>6</w:t>
      </w:r>
      <w:r>
        <w:rPr>
          <w:snapToGrid w:val="0"/>
        </w:rPr>
        <w:t>.</w:t>
      </w:r>
      <w:r>
        <w:rPr>
          <w:snapToGrid w:val="0"/>
        </w:rPr>
        <w:tab/>
        <w:t>Application of this Act, and exemptions</w:t>
      </w:r>
      <w:bookmarkEnd w:id="21"/>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lastRenderedPageBreak/>
        <w:tab/>
        <w:t>(4)</w:t>
      </w:r>
      <w:r>
        <w:rPr>
          <w:snapToGrid w:val="0"/>
        </w:rPr>
        <w:tab/>
        <w:t>An exemption may be limited to the provisions therein specified, or as to fees or other moneys that would otherwise be payable.</w:t>
      </w:r>
    </w:p>
    <w:p>
      <w:pPr>
        <w:pStyle w:val="Heading5"/>
        <w:rPr>
          <w:snapToGrid w:val="0"/>
        </w:rPr>
      </w:pPr>
      <w:bookmarkStart w:id="22" w:name="_Toc131515877"/>
      <w:r>
        <w:rPr>
          <w:rStyle w:val="CharSectno"/>
        </w:rPr>
        <w:t>7</w:t>
      </w:r>
      <w:r>
        <w:rPr>
          <w:snapToGrid w:val="0"/>
        </w:rPr>
        <w:t>.</w:t>
      </w:r>
      <w:r>
        <w:rPr>
          <w:snapToGrid w:val="0"/>
        </w:rPr>
        <w:tab/>
        <w:t>Crown bound</w:t>
      </w:r>
      <w:bookmarkEnd w:id="22"/>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No. 63 of 1981 s. 4; No. 28 of 1984 s. 97; No. 19 of 2016 s. 102.] </w:t>
      </w:r>
    </w:p>
    <w:p>
      <w:pPr>
        <w:pStyle w:val="Heading5"/>
        <w:rPr>
          <w:snapToGrid w:val="0"/>
        </w:rPr>
      </w:pPr>
      <w:bookmarkStart w:id="23" w:name="_Toc131515878"/>
      <w:r>
        <w:rPr>
          <w:rStyle w:val="CharSectno"/>
        </w:rPr>
        <w:t>8</w:t>
      </w:r>
      <w:r>
        <w:rPr>
          <w:snapToGrid w:val="0"/>
        </w:rPr>
        <w:t>.</w:t>
      </w:r>
      <w:r>
        <w:rPr>
          <w:snapToGrid w:val="0"/>
        </w:rPr>
        <w:tab/>
        <w:t>Prohibition</w:t>
      </w:r>
      <w:bookmarkEnd w:id="2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4" w:name="_Toc131515879"/>
      <w:r>
        <w:rPr>
          <w:rStyle w:val="CharSectno"/>
        </w:rPr>
        <w:lastRenderedPageBreak/>
        <w:t>9</w:t>
      </w:r>
      <w:r>
        <w:rPr>
          <w:snapToGrid w:val="0"/>
        </w:rPr>
        <w:t>.</w:t>
      </w:r>
      <w:r>
        <w:rPr>
          <w:snapToGrid w:val="0"/>
        </w:rPr>
        <w:tab/>
        <w:t>Civil remedies</w:t>
      </w:r>
      <w:bookmarkEnd w:id="24"/>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25" w:name="_Toc489602086"/>
      <w:bookmarkStart w:id="26" w:name="_Toc489602200"/>
      <w:bookmarkStart w:id="27" w:name="_Toc489602615"/>
      <w:bookmarkStart w:id="28" w:name="_Toc490129622"/>
      <w:bookmarkStart w:id="29" w:name="_Toc491788235"/>
      <w:bookmarkStart w:id="30" w:name="_Toc493601325"/>
      <w:bookmarkStart w:id="31" w:name="_Toc493601394"/>
      <w:bookmarkStart w:id="32" w:name="_Toc493601463"/>
      <w:bookmarkStart w:id="33" w:name="_Toc493603080"/>
      <w:bookmarkStart w:id="34" w:name="_Toc493603203"/>
      <w:bookmarkStart w:id="35" w:name="_Toc512325203"/>
      <w:bookmarkStart w:id="36" w:name="_Toc531182093"/>
      <w:bookmarkStart w:id="37" w:name="_Toc131513248"/>
      <w:bookmarkStart w:id="38" w:name="_Toc131513405"/>
      <w:bookmarkStart w:id="39" w:name="_Toc131515880"/>
      <w:r>
        <w:rPr>
          <w:rStyle w:val="CharPartNo"/>
        </w:rPr>
        <w:lastRenderedPageBreak/>
        <w:t>Part II</w:t>
      </w:r>
      <w:r>
        <w:rPr>
          <w:rStyle w:val="CharDivNo"/>
        </w:rPr>
        <w:t> </w:t>
      </w:r>
      <w:r>
        <w:t>—</w:t>
      </w:r>
      <w:r>
        <w:rPr>
          <w:rStyle w:val="CharDivText"/>
        </w:rPr>
        <w:t> </w:t>
      </w:r>
      <w:r>
        <w:rPr>
          <w:rStyle w:val="CharPartText"/>
        </w:rPr>
        <w:t>Administrative provisions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31515881"/>
      <w:r>
        <w:rPr>
          <w:rStyle w:val="CharSectno"/>
        </w:rPr>
        <w:t>10</w:t>
      </w:r>
      <w:r>
        <w:rPr>
          <w:snapToGrid w:val="0"/>
        </w:rPr>
        <w:t>.</w:t>
      </w:r>
      <w:r>
        <w:rPr>
          <w:snapToGrid w:val="0"/>
        </w:rPr>
        <w:tab/>
        <w:t>Duty of Minister and administrative arrangements</w:t>
      </w:r>
      <w:bookmarkEnd w:id="4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41" w:name="_Toc131515882"/>
      <w:r>
        <w:rPr>
          <w:rStyle w:val="CharSectno"/>
        </w:rPr>
        <w:t>11</w:t>
      </w:r>
      <w:r>
        <w:rPr>
          <w:snapToGrid w:val="0"/>
        </w:rPr>
        <w:t>.</w:t>
      </w:r>
      <w:r>
        <w:rPr>
          <w:snapToGrid w:val="0"/>
        </w:rPr>
        <w:tab/>
        <w:t>Further functions of the Council</w:t>
      </w:r>
      <w:bookmarkEnd w:id="41"/>
      <w:r>
        <w:rPr>
          <w:snapToGrid w:val="0"/>
        </w:rPr>
        <w:t xml:space="preserve"> </w:t>
      </w:r>
    </w:p>
    <w:p>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42" w:name="_Toc131515883"/>
      <w:r>
        <w:rPr>
          <w:rStyle w:val="CharSectno"/>
        </w:rPr>
        <w:t>12</w:t>
      </w:r>
      <w:r>
        <w:rPr>
          <w:snapToGrid w:val="0"/>
        </w:rPr>
        <w:t>.</w:t>
      </w:r>
      <w:r>
        <w:rPr>
          <w:snapToGrid w:val="0"/>
        </w:rPr>
        <w:tab/>
        <w:t>Reviews</w:t>
      </w:r>
      <w:bookmarkEnd w:id="42"/>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lastRenderedPageBreak/>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No. 55 of 2004 s. 994.]</w:t>
      </w:r>
    </w:p>
    <w:p>
      <w:pPr>
        <w:pStyle w:val="Heading5"/>
        <w:rPr>
          <w:snapToGrid w:val="0"/>
        </w:rPr>
      </w:pPr>
      <w:bookmarkStart w:id="43" w:name="_Toc131515884"/>
      <w:r>
        <w:rPr>
          <w:rStyle w:val="CharSectno"/>
        </w:rPr>
        <w:t>13</w:t>
      </w:r>
      <w:r>
        <w:rPr>
          <w:snapToGrid w:val="0"/>
        </w:rPr>
        <w:t>.</w:t>
      </w:r>
      <w:r>
        <w:rPr>
          <w:snapToGrid w:val="0"/>
        </w:rPr>
        <w:tab/>
        <w:t>Radiological Council</w:t>
      </w:r>
      <w:bookmarkEnd w:id="43"/>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lastRenderedPageBreak/>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No. 63 of 1981 s. 4; No. 28 of 1984 s. 97; No. 21 of 2006 Sch. 3 cl. 5(6); No. 35 of 2010 s. 144; No. 19 of 2016 s. 102.] </w:t>
      </w:r>
    </w:p>
    <w:p>
      <w:pPr>
        <w:pStyle w:val="Heading5"/>
        <w:rPr>
          <w:snapToGrid w:val="0"/>
        </w:rPr>
      </w:pPr>
      <w:bookmarkStart w:id="44" w:name="_Toc131515885"/>
      <w:r>
        <w:rPr>
          <w:rStyle w:val="CharSectno"/>
        </w:rPr>
        <w:t>14</w:t>
      </w:r>
      <w:r>
        <w:rPr>
          <w:snapToGrid w:val="0"/>
        </w:rPr>
        <w:t>.</w:t>
      </w:r>
      <w:r>
        <w:rPr>
          <w:snapToGrid w:val="0"/>
        </w:rPr>
        <w:tab/>
        <w:t>Tenure of office</w:t>
      </w:r>
      <w:bookmarkEnd w:id="4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w:t>
      </w:r>
      <w:r>
        <w:rPr>
          <w:snapToGrid w:val="0"/>
        </w:rPr>
        <w:lastRenderedPageBreak/>
        <w:t>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No. 24 of 1990 s. 123; No. 32 of 1994 s. 3(1); No. 18 of 2009 s. 73.]</w:t>
      </w:r>
    </w:p>
    <w:p>
      <w:pPr>
        <w:pStyle w:val="Heading5"/>
        <w:rPr>
          <w:snapToGrid w:val="0"/>
        </w:rPr>
      </w:pPr>
      <w:bookmarkStart w:id="45" w:name="_Toc131515886"/>
      <w:r>
        <w:rPr>
          <w:rStyle w:val="CharSectno"/>
        </w:rPr>
        <w:t>15</w:t>
      </w:r>
      <w:r>
        <w:rPr>
          <w:snapToGrid w:val="0"/>
        </w:rPr>
        <w:t>.</w:t>
      </w:r>
      <w:r>
        <w:rPr>
          <w:snapToGrid w:val="0"/>
        </w:rPr>
        <w:tab/>
        <w:t>Deputies and casual vacancies</w:t>
      </w:r>
      <w:bookmarkEnd w:id="4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lastRenderedPageBreak/>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46" w:name="_Toc131515887"/>
      <w:r>
        <w:rPr>
          <w:rStyle w:val="CharSectno"/>
        </w:rPr>
        <w:t>16</w:t>
      </w:r>
      <w:r>
        <w:rPr>
          <w:snapToGrid w:val="0"/>
        </w:rPr>
        <w:t>.</w:t>
      </w:r>
      <w:r>
        <w:rPr>
          <w:snapToGrid w:val="0"/>
        </w:rPr>
        <w:tab/>
        <w:t>Proceedings</w:t>
      </w:r>
      <w:bookmarkEnd w:id="46"/>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lastRenderedPageBreak/>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No. 28 of 1984 s. 97; No. 19 of 2016 s. 102.] </w:t>
      </w:r>
    </w:p>
    <w:p>
      <w:pPr>
        <w:pStyle w:val="Heading5"/>
        <w:rPr>
          <w:snapToGrid w:val="0"/>
        </w:rPr>
      </w:pPr>
      <w:bookmarkStart w:id="47" w:name="_Toc131515888"/>
      <w:r>
        <w:rPr>
          <w:rStyle w:val="CharSectno"/>
        </w:rPr>
        <w:t>17</w:t>
      </w:r>
      <w:r>
        <w:rPr>
          <w:snapToGrid w:val="0"/>
        </w:rPr>
        <w:t>.</w:t>
      </w:r>
      <w:r>
        <w:rPr>
          <w:snapToGrid w:val="0"/>
        </w:rPr>
        <w:tab/>
        <w:t>Co</w:t>
      </w:r>
      <w:r>
        <w:rPr>
          <w:snapToGrid w:val="0"/>
        </w:rPr>
        <w:noBreakHyphen/>
        <w:t>option and consultants</w:t>
      </w:r>
      <w:bookmarkEnd w:id="47"/>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48" w:name="_Toc131515889"/>
      <w:r>
        <w:rPr>
          <w:rStyle w:val="CharSectno"/>
        </w:rPr>
        <w:lastRenderedPageBreak/>
        <w:t>18</w:t>
      </w:r>
      <w:r>
        <w:rPr>
          <w:snapToGrid w:val="0"/>
        </w:rPr>
        <w:t>.</w:t>
      </w:r>
      <w:r>
        <w:rPr>
          <w:snapToGrid w:val="0"/>
        </w:rPr>
        <w:tab/>
        <w:t>Delegation</w:t>
      </w:r>
      <w:bookmarkEnd w:id="48"/>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49" w:name="_Toc131515890"/>
      <w:r>
        <w:rPr>
          <w:rStyle w:val="CharSectno"/>
        </w:rPr>
        <w:t>19</w:t>
      </w:r>
      <w:r>
        <w:rPr>
          <w:snapToGrid w:val="0"/>
        </w:rPr>
        <w:t>.</w:t>
      </w:r>
      <w:r>
        <w:rPr>
          <w:snapToGrid w:val="0"/>
        </w:rPr>
        <w:tab/>
        <w:t>Committees</w:t>
      </w:r>
      <w:bookmarkEnd w:id="4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50" w:name="_Toc131515891"/>
      <w:r>
        <w:rPr>
          <w:rStyle w:val="CharSectno"/>
        </w:rPr>
        <w:lastRenderedPageBreak/>
        <w:t>20</w:t>
      </w:r>
      <w:r>
        <w:rPr>
          <w:snapToGrid w:val="0"/>
        </w:rPr>
        <w:t>.</w:t>
      </w:r>
      <w:r>
        <w:rPr>
          <w:snapToGrid w:val="0"/>
        </w:rPr>
        <w:tab/>
        <w:t>Restriction on remuneration</w:t>
      </w:r>
      <w:bookmarkEnd w:id="5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No. 32 of 1994 s. 3(1) and 4; No. 39 of 2010 s. 89.] </w:t>
      </w:r>
    </w:p>
    <w:p>
      <w:pPr>
        <w:pStyle w:val="Heading5"/>
        <w:rPr>
          <w:snapToGrid w:val="0"/>
        </w:rPr>
      </w:pPr>
      <w:bookmarkStart w:id="51" w:name="_Toc131515892"/>
      <w:r>
        <w:rPr>
          <w:rStyle w:val="CharSectno"/>
        </w:rPr>
        <w:t>21</w:t>
      </w:r>
      <w:r>
        <w:rPr>
          <w:snapToGrid w:val="0"/>
        </w:rPr>
        <w:t>.</w:t>
      </w:r>
      <w:r>
        <w:rPr>
          <w:snapToGrid w:val="0"/>
        </w:rPr>
        <w:tab/>
        <w:t>Transfer of property</w:t>
      </w:r>
      <w:bookmarkEnd w:id="51"/>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vertAlign w:val="superscript"/>
        </w:rPr>
        <w:t> 1</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 xml:space="preserve">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w:t>
      </w:r>
      <w:r>
        <w:rPr>
          <w:snapToGrid w:val="0"/>
        </w:rPr>
        <w:lastRenderedPageBreak/>
        <w:t>been made, given or entered into by, to or with the Council in lieu of the Radiological Advisory Council.</w:t>
      </w:r>
    </w:p>
    <w:p>
      <w:pPr>
        <w:pStyle w:val="Heading5"/>
        <w:spacing w:before="180"/>
        <w:rPr>
          <w:snapToGrid w:val="0"/>
        </w:rPr>
      </w:pPr>
      <w:bookmarkStart w:id="52" w:name="_Toc131515893"/>
      <w:r>
        <w:rPr>
          <w:rStyle w:val="CharSectno"/>
        </w:rPr>
        <w:t>22</w:t>
      </w:r>
      <w:r>
        <w:rPr>
          <w:snapToGrid w:val="0"/>
        </w:rPr>
        <w:t>.</w:t>
      </w:r>
      <w:r>
        <w:rPr>
          <w:snapToGrid w:val="0"/>
        </w:rPr>
        <w:tab/>
        <w:t>Annual report of Council etc.</w:t>
      </w:r>
      <w:bookmarkEnd w:id="52"/>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53" w:name="_Toc131515894"/>
      <w:r>
        <w:rPr>
          <w:rStyle w:val="CharSectno"/>
        </w:rPr>
        <w:t>23</w:t>
      </w:r>
      <w:r>
        <w:rPr>
          <w:snapToGrid w:val="0"/>
        </w:rPr>
        <w:t>.</w:t>
      </w:r>
      <w:r>
        <w:rPr>
          <w:snapToGrid w:val="0"/>
        </w:rPr>
        <w:tab/>
        <w:t>Disputes with governmental bodies</w:t>
      </w:r>
      <w:bookmarkEnd w:id="53"/>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Gazette 28 Oct 2003 p. 4527.]</w:t>
      </w:r>
    </w:p>
    <w:p>
      <w:pPr>
        <w:pStyle w:val="Heading5"/>
        <w:spacing w:before="180"/>
        <w:rPr>
          <w:snapToGrid w:val="0"/>
        </w:rPr>
      </w:pPr>
      <w:bookmarkStart w:id="54" w:name="_Toc131515895"/>
      <w:r>
        <w:rPr>
          <w:rStyle w:val="CharSectno"/>
        </w:rPr>
        <w:t>24</w:t>
      </w:r>
      <w:r>
        <w:rPr>
          <w:snapToGrid w:val="0"/>
        </w:rPr>
        <w:t>.</w:t>
      </w:r>
      <w:r>
        <w:rPr>
          <w:snapToGrid w:val="0"/>
        </w:rPr>
        <w:tab/>
        <w:t>Actions, claims and demands</w:t>
      </w:r>
      <w:bookmarkEnd w:id="5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lastRenderedPageBreak/>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Gazette 28 Oct 2003 p. 4527.]</w:t>
      </w:r>
    </w:p>
    <w:p>
      <w:pPr>
        <w:pStyle w:val="Heading5"/>
      </w:pPr>
      <w:bookmarkStart w:id="55" w:name="_Toc131515896"/>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55"/>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No. 21 of 2006 Sch. 3 cl. 5(7); amended: No. 35 of 2010 s. 145.]</w:t>
      </w:r>
    </w:p>
    <w:p>
      <w:pPr>
        <w:pStyle w:val="Heading2"/>
      </w:pPr>
      <w:bookmarkStart w:id="56" w:name="_Toc489602103"/>
      <w:bookmarkStart w:id="57" w:name="_Toc489602217"/>
      <w:bookmarkStart w:id="58" w:name="_Toc489602632"/>
      <w:bookmarkStart w:id="59" w:name="_Toc490129639"/>
      <w:bookmarkStart w:id="60" w:name="_Toc491788252"/>
      <w:bookmarkStart w:id="61" w:name="_Toc493601342"/>
      <w:bookmarkStart w:id="62" w:name="_Toc493601411"/>
      <w:bookmarkStart w:id="63" w:name="_Toc493601480"/>
      <w:bookmarkStart w:id="64" w:name="_Toc493603097"/>
      <w:bookmarkStart w:id="65" w:name="_Toc493603220"/>
      <w:bookmarkStart w:id="66" w:name="_Toc512325220"/>
      <w:bookmarkStart w:id="67" w:name="_Toc531182110"/>
      <w:bookmarkStart w:id="68" w:name="_Toc131513265"/>
      <w:bookmarkStart w:id="69" w:name="_Toc131513422"/>
      <w:bookmarkStart w:id="70" w:name="_Toc131515897"/>
      <w:r>
        <w:rPr>
          <w:rStyle w:val="CharPartNo"/>
        </w:rPr>
        <w:lastRenderedPageBreak/>
        <w:t>Part III</w:t>
      </w:r>
      <w:r>
        <w:rPr>
          <w:rStyle w:val="CharDivNo"/>
        </w:rPr>
        <w:t> </w:t>
      </w:r>
      <w:r>
        <w:t>—</w:t>
      </w:r>
      <w:r>
        <w:rPr>
          <w:rStyle w:val="CharDivText"/>
        </w:rPr>
        <w:t> </w:t>
      </w:r>
      <w:r>
        <w:rPr>
          <w:rStyle w:val="CharPartText"/>
        </w:rPr>
        <w:t>Licensing and registration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131515898"/>
      <w:r>
        <w:rPr>
          <w:rStyle w:val="CharSectno"/>
        </w:rPr>
        <w:t>25</w:t>
      </w:r>
      <w:r>
        <w:rPr>
          <w:snapToGrid w:val="0"/>
        </w:rPr>
        <w:t>.</w:t>
      </w:r>
      <w:r>
        <w:rPr>
          <w:snapToGrid w:val="0"/>
        </w:rPr>
        <w:tab/>
        <w:t>Matters requiring a licence</w:t>
      </w:r>
      <w:bookmarkEnd w:id="71"/>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72" w:name="_Toc131515899"/>
      <w:r>
        <w:rPr>
          <w:rStyle w:val="CharSectno"/>
        </w:rPr>
        <w:t>26</w:t>
      </w:r>
      <w:r>
        <w:rPr>
          <w:snapToGrid w:val="0"/>
        </w:rPr>
        <w:t>.</w:t>
      </w:r>
      <w:r>
        <w:rPr>
          <w:snapToGrid w:val="0"/>
        </w:rPr>
        <w:tab/>
        <w:t>Licensing of persons</w:t>
      </w:r>
      <w:bookmarkEnd w:id="72"/>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lastRenderedPageBreak/>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acting in accordance with the relevant provision, if any, of a code or guidelines approved under the </w:t>
      </w:r>
      <w:r>
        <w:rPr>
          <w:i/>
        </w:rPr>
        <w:t>Health Practitioner Regulation National Law (Western Australia)</w:t>
      </w:r>
      <w:r>
        <w:t xml:space="preserve"> section 39 to hold a licence under this Act for the purpose of requesting the holder of a licence to undertake any diagnosis or therapy.</w:t>
      </w:r>
    </w:p>
    <w:p>
      <w:pPr>
        <w:pStyle w:val="Subsection"/>
      </w:pPr>
      <w:r>
        <w:tab/>
        <w:t>(2B)</w:t>
      </w:r>
      <w:r>
        <w:tab/>
        <w:t xml:space="preserve">In subsection (2a) — </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w:t>
      </w:r>
      <w:r>
        <w:lastRenderedPageBreak/>
        <w:t>the nursing profession whose registration under that Law is endorsed as nurse practitioner.</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No. 9 of 2003 s. 52; No. 50 of 2006 Sch. 3 cl. 19; No. 35 of 2010 s. 146; No. 4 of 2018 s. 118.]</w:t>
      </w:r>
    </w:p>
    <w:p>
      <w:pPr>
        <w:pStyle w:val="Heading5"/>
        <w:spacing w:before="200"/>
        <w:rPr>
          <w:snapToGrid w:val="0"/>
        </w:rPr>
      </w:pPr>
      <w:bookmarkStart w:id="73" w:name="_Toc131515900"/>
      <w:r>
        <w:rPr>
          <w:rStyle w:val="CharSectno"/>
        </w:rPr>
        <w:t>27</w:t>
      </w:r>
      <w:r>
        <w:rPr>
          <w:snapToGrid w:val="0"/>
        </w:rPr>
        <w:t>.</w:t>
      </w:r>
      <w:r>
        <w:rPr>
          <w:snapToGrid w:val="0"/>
        </w:rPr>
        <w:tab/>
        <w:t>Use of radioactive substances or radiation on persons</w:t>
      </w:r>
      <w:bookmarkEnd w:id="73"/>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lastRenderedPageBreak/>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No. 21 of 2006 Sch. 3 cl. 5(8); No. 35 of 2010 s. 147.]</w:t>
      </w:r>
    </w:p>
    <w:p>
      <w:pPr>
        <w:pStyle w:val="Heading5"/>
        <w:rPr>
          <w:snapToGrid w:val="0"/>
        </w:rPr>
      </w:pPr>
      <w:bookmarkStart w:id="74" w:name="_Toc131515901"/>
      <w:r>
        <w:rPr>
          <w:rStyle w:val="CharSectno"/>
        </w:rPr>
        <w:lastRenderedPageBreak/>
        <w:t>28</w:t>
      </w:r>
      <w:r>
        <w:rPr>
          <w:snapToGrid w:val="0"/>
        </w:rPr>
        <w:t>.</w:t>
      </w:r>
      <w:r>
        <w:rPr>
          <w:snapToGrid w:val="0"/>
        </w:rPr>
        <w:tab/>
        <w:t>Registration</w:t>
      </w:r>
      <w:bookmarkEnd w:id="7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lastRenderedPageBreak/>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75" w:name="_Toc131515902"/>
      <w:r>
        <w:rPr>
          <w:rStyle w:val="CharSectno"/>
        </w:rPr>
        <w:t>29</w:t>
      </w:r>
      <w:r>
        <w:rPr>
          <w:snapToGrid w:val="0"/>
        </w:rPr>
        <w:t>.</w:t>
      </w:r>
      <w:r>
        <w:rPr>
          <w:snapToGrid w:val="0"/>
        </w:rPr>
        <w:tab/>
        <w:t>Sales and purchases</w:t>
      </w:r>
      <w:bookmarkEnd w:id="7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lastRenderedPageBreak/>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76" w:name="_Toc131515903"/>
      <w:r>
        <w:rPr>
          <w:rStyle w:val="CharSectno"/>
        </w:rPr>
        <w:t>30</w:t>
      </w:r>
      <w:r>
        <w:rPr>
          <w:snapToGrid w:val="0"/>
        </w:rPr>
        <w:t>.</w:t>
      </w:r>
      <w:r>
        <w:rPr>
          <w:snapToGrid w:val="0"/>
        </w:rPr>
        <w:tab/>
        <w:t>Registration of defective premises, apparatus or products prohibited</w:t>
      </w:r>
      <w:bookmarkEnd w:id="76"/>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77" w:name="_Toc131515904"/>
      <w:r>
        <w:rPr>
          <w:rStyle w:val="CharSectno"/>
        </w:rPr>
        <w:t>31</w:t>
      </w:r>
      <w:r>
        <w:rPr>
          <w:snapToGrid w:val="0"/>
        </w:rPr>
        <w:t>.</w:t>
      </w:r>
      <w:r>
        <w:rPr>
          <w:snapToGrid w:val="0"/>
        </w:rPr>
        <w:tab/>
        <w:t>Review of potentially dangerous articles</w:t>
      </w:r>
      <w:bookmarkEnd w:id="77"/>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78" w:name="_Toc131515905"/>
      <w:r>
        <w:rPr>
          <w:rStyle w:val="CharSectno"/>
        </w:rPr>
        <w:t>32</w:t>
      </w:r>
      <w:r>
        <w:rPr>
          <w:snapToGrid w:val="0"/>
        </w:rPr>
        <w:t>.</w:t>
      </w:r>
      <w:r>
        <w:rPr>
          <w:snapToGrid w:val="0"/>
        </w:rPr>
        <w:tab/>
        <w:t>Refusal of licence, exemption or registration</w:t>
      </w:r>
      <w:bookmarkEnd w:id="78"/>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 xml:space="preserve">the Council is satisfied that the proposed licensee or person to be exempted, or the person in whose name the </w:t>
      </w:r>
      <w:r>
        <w:rPr>
          <w:snapToGrid w:val="0"/>
        </w:rPr>
        <w:lastRenderedPageBreak/>
        <w:t>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lastRenderedPageBreak/>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No. 20 of 1979 s. 2.] </w:t>
      </w:r>
    </w:p>
    <w:p>
      <w:pPr>
        <w:pStyle w:val="Heading5"/>
        <w:rPr>
          <w:snapToGrid w:val="0"/>
        </w:rPr>
      </w:pPr>
      <w:bookmarkStart w:id="79" w:name="_Toc131515906"/>
      <w:r>
        <w:rPr>
          <w:rStyle w:val="CharSectno"/>
        </w:rPr>
        <w:t>33</w:t>
      </w:r>
      <w:r>
        <w:rPr>
          <w:snapToGrid w:val="0"/>
        </w:rPr>
        <w:t>.</w:t>
      </w:r>
      <w:r>
        <w:rPr>
          <w:snapToGrid w:val="0"/>
        </w:rPr>
        <w:tab/>
        <w:t>Licences and registration</w:t>
      </w:r>
      <w:bookmarkEnd w:id="7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lastRenderedPageBreak/>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80" w:name="_Toc131515907"/>
      <w:r>
        <w:rPr>
          <w:rStyle w:val="CharSectno"/>
        </w:rPr>
        <w:t>34</w:t>
      </w:r>
      <w:r>
        <w:rPr>
          <w:snapToGrid w:val="0"/>
        </w:rPr>
        <w:t>.</w:t>
      </w:r>
      <w:r>
        <w:rPr>
          <w:snapToGrid w:val="0"/>
        </w:rPr>
        <w:tab/>
        <w:t>Disposal permits</w:t>
      </w:r>
      <w:bookmarkEnd w:id="80"/>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81" w:name="_Toc131515908"/>
      <w:r>
        <w:rPr>
          <w:rStyle w:val="CharSectno"/>
        </w:rPr>
        <w:t>35</w:t>
      </w:r>
      <w:r>
        <w:rPr>
          <w:snapToGrid w:val="0"/>
        </w:rPr>
        <w:t>.</w:t>
      </w:r>
      <w:r>
        <w:rPr>
          <w:snapToGrid w:val="0"/>
        </w:rPr>
        <w:tab/>
        <w:t>Temporary permits</w:t>
      </w:r>
      <w:bookmarkEnd w:id="81"/>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82" w:name="_Toc131515909"/>
      <w:r>
        <w:rPr>
          <w:rStyle w:val="CharSectno"/>
        </w:rPr>
        <w:lastRenderedPageBreak/>
        <w:t>36</w:t>
      </w:r>
      <w:r>
        <w:rPr>
          <w:snapToGrid w:val="0"/>
        </w:rPr>
        <w:t>.</w:t>
      </w:r>
      <w:r>
        <w:rPr>
          <w:snapToGrid w:val="0"/>
        </w:rPr>
        <w:tab/>
        <w:t>Conditions, restrictions and limitations on, and revocation or suspension of, licences, exemptions, and registrations</w:t>
      </w:r>
      <w:bookmarkEnd w:id="82"/>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 xml:space="preserve">A person who contravenes or fails to comply with any condition, restriction or limitation imposed by the instrument </w:t>
      </w:r>
      <w:r>
        <w:rPr>
          <w:snapToGrid w:val="0"/>
        </w:rPr>
        <w:lastRenderedPageBreak/>
        <w:t>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Gazette 28 Oct 2003 p. 4527.]</w:t>
      </w:r>
    </w:p>
    <w:p>
      <w:pPr>
        <w:pStyle w:val="Heading5"/>
      </w:pPr>
      <w:bookmarkStart w:id="83" w:name="_Toc131515910"/>
      <w:r>
        <w:rPr>
          <w:rStyle w:val="CharSectno"/>
        </w:rPr>
        <w:lastRenderedPageBreak/>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83"/>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No. 35 of 2010 s. 148.]</w:t>
      </w:r>
    </w:p>
    <w:p>
      <w:pPr>
        <w:pStyle w:val="Heading5"/>
        <w:rPr>
          <w:snapToGrid w:val="0"/>
        </w:rPr>
      </w:pPr>
      <w:bookmarkStart w:id="84" w:name="_Toc131515911"/>
      <w:r>
        <w:rPr>
          <w:rStyle w:val="CharSectno"/>
        </w:rPr>
        <w:t>37</w:t>
      </w:r>
      <w:r>
        <w:rPr>
          <w:snapToGrid w:val="0"/>
        </w:rPr>
        <w:t>.</w:t>
      </w:r>
      <w:r>
        <w:rPr>
          <w:snapToGrid w:val="0"/>
        </w:rPr>
        <w:tab/>
        <w:t>Duration of licences, exemptions and registrations</w:t>
      </w:r>
      <w:bookmarkEnd w:id="84"/>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 xml:space="preserve">Where a licence, exemption or registration that would otherwise be due to expire is the subject of an application for renewal made to the Council, it shall continue to take effect until such </w:t>
      </w:r>
      <w:r>
        <w:rPr>
          <w:snapToGrid w:val="0"/>
        </w:rPr>
        <w:lastRenderedPageBreak/>
        <w:t>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85" w:name="_Toc131515912"/>
      <w:r>
        <w:rPr>
          <w:rStyle w:val="CharSectno"/>
        </w:rPr>
        <w:t>38</w:t>
      </w:r>
      <w:r>
        <w:rPr>
          <w:snapToGrid w:val="0"/>
        </w:rPr>
        <w:t>.</w:t>
      </w:r>
      <w:r>
        <w:rPr>
          <w:snapToGrid w:val="0"/>
        </w:rPr>
        <w:tab/>
        <w:t>Change of circumstances</w:t>
      </w:r>
      <w:bookmarkEnd w:id="8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86" w:name="_Toc131515913"/>
      <w:r>
        <w:rPr>
          <w:rStyle w:val="CharSectno"/>
        </w:rPr>
        <w:t>39</w:t>
      </w:r>
      <w:r>
        <w:rPr>
          <w:snapToGrid w:val="0"/>
        </w:rPr>
        <w:t>.</w:t>
      </w:r>
      <w:r>
        <w:rPr>
          <w:snapToGrid w:val="0"/>
        </w:rPr>
        <w:tab/>
        <w:t>Power to obtain information</w:t>
      </w:r>
      <w:bookmarkEnd w:id="86"/>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 xml:space="preserve">Without limiting the provisions of subsection (1), the Council may require an applicant to furnish experimental or other proof of claims made in relation to the application, but the Council is </w:t>
      </w:r>
      <w:r>
        <w:rPr>
          <w:snapToGrid w:val="0"/>
        </w:rPr>
        <w:lastRenderedPageBreak/>
        <w:t>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87" w:name="_Toc131515914"/>
      <w:r>
        <w:rPr>
          <w:rStyle w:val="CharSectno"/>
        </w:rPr>
        <w:t>40A</w:t>
      </w:r>
      <w:r>
        <w:t>.</w:t>
      </w:r>
      <w:r>
        <w:tab/>
        <w:t>Notifications to Radiological Council</w:t>
      </w:r>
      <w:bookmarkEnd w:id="87"/>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lastRenderedPageBreak/>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No. 35 of 2010 s. 149.]</w:t>
      </w:r>
    </w:p>
    <w:p>
      <w:pPr>
        <w:pStyle w:val="Heading5"/>
        <w:rPr>
          <w:snapToGrid w:val="0"/>
        </w:rPr>
      </w:pPr>
      <w:bookmarkStart w:id="88" w:name="_Toc131515915"/>
      <w:r>
        <w:rPr>
          <w:rStyle w:val="CharSectno"/>
        </w:rPr>
        <w:t>40</w:t>
      </w:r>
      <w:r>
        <w:rPr>
          <w:snapToGrid w:val="0"/>
        </w:rPr>
        <w:t>.</w:t>
      </w:r>
      <w:r>
        <w:rPr>
          <w:snapToGrid w:val="0"/>
        </w:rPr>
        <w:tab/>
        <w:t>Surrender of documents</w:t>
      </w:r>
      <w:bookmarkEnd w:id="88"/>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89" w:name="_Toc131515916"/>
      <w:r>
        <w:rPr>
          <w:rStyle w:val="CharSectno"/>
        </w:rPr>
        <w:t>41</w:t>
      </w:r>
      <w:r>
        <w:rPr>
          <w:snapToGrid w:val="0"/>
        </w:rPr>
        <w:t>.</w:t>
      </w:r>
      <w:r>
        <w:rPr>
          <w:snapToGrid w:val="0"/>
        </w:rPr>
        <w:tab/>
        <w:t>Registers</w:t>
      </w:r>
      <w:bookmarkEnd w:id="89"/>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90" w:name="_Toc131515917"/>
      <w:r>
        <w:rPr>
          <w:rStyle w:val="CharSectno"/>
        </w:rPr>
        <w:lastRenderedPageBreak/>
        <w:t>41A</w:t>
      </w:r>
      <w:r>
        <w:t>.</w:t>
      </w:r>
      <w:r>
        <w:tab/>
        <w:t>Restriction on authorisation of storage, transportation or disposal of nuclear waste</w:t>
      </w:r>
      <w:bookmarkEnd w:id="90"/>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No. 54 of 1999 s. 10(2); amended: No. 2 of 2004 s. 14(2).]</w:t>
      </w:r>
    </w:p>
    <w:p>
      <w:pPr>
        <w:pStyle w:val="Heading2"/>
      </w:pPr>
      <w:bookmarkStart w:id="91" w:name="_Toc489602124"/>
      <w:bookmarkStart w:id="92" w:name="_Toc489602238"/>
      <w:bookmarkStart w:id="93" w:name="_Toc489602653"/>
      <w:bookmarkStart w:id="94" w:name="_Toc490129660"/>
      <w:bookmarkStart w:id="95" w:name="_Toc491788273"/>
      <w:bookmarkStart w:id="96" w:name="_Toc493601363"/>
      <w:bookmarkStart w:id="97" w:name="_Toc493601432"/>
      <w:bookmarkStart w:id="98" w:name="_Toc493601501"/>
      <w:bookmarkStart w:id="99" w:name="_Toc493603118"/>
      <w:bookmarkStart w:id="100" w:name="_Toc493603241"/>
      <w:bookmarkStart w:id="101" w:name="_Toc512325241"/>
      <w:bookmarkStart w:id="102" w:name="_Toc531182131"/>
      <w:bookmarkStart w:id="103" w:name="_Toc131513286"/>
      <w:bookmarkStart w:id="104" w:name="_Toc131513443"/>
      <w:bookmarkStart w:id="105" w:name="_Toc131515918"/>
      <w:r>
        <w:rPr>
          <w:rStyle w:val="CharPartNo"/>
        </w:rPr>
        <w:lastRenderedPageBreak/>
        <w:t>Part IV</w:t>
      </w:r>
      <w:r>
        <w:rPr>
          <w:rStyle w:val="CharDivNo"/>
        </w:rPr>
        <w:t> </w:t>
      </w:r>
      <w:r>
        <w:t>—</w:t>
      </w:r>
      <w:r>
        <w:rPr>
          <w:rStyle w:val="CharDivText"/>
        </w:rPr>
        <w:t> </w:t>
      </w:r>
      <w:r>
        <w:rPr>
          <w:rStyle w:val="CharPartText"/>
        </w:rPr>
        <w:t>Enforcement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131515919"/>
      <w:r>
        <w:rPr>
          <w:rStyle w:val="CharSectno"/>
        </w:rPr>
        <w:t>42</w:t>
      </w:r>
      <w:r>
        <w:rPr>
          <w:snapToGrid w:val="0"/>
        </w:rPr>
        <w:t>.</w:t>
      </w:r>
      <w:r>
        <w:rPr>
          <w:snapToGrid w:val="0"/>
        </w:rPr>
        <w:tab/>
        <w:t>Power of entry and inspection</w:t>
      </w:r>
      <w:bookmarkEnd w:id="10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lastRenderedPageBreak/>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No. 63 of 1981 s. 4; No. 28 of 1984 s. 97; </w:t>
      </w:r>
      <w:r>
        <w:t>No. 19 of 2016 s. 102</w:t>
      </w:r>
      <w:r>
        <w:rPr>
          <w:spacing w:val="-2"/>
        </w:rPr>
        <w:t>.]</w:t>
      </w:r>
    </w:p>
    <w:p>
      <w:pPr>
        <w:pStyle w:val="Heading5"/>
        <w:rPr>
          <w:snapToGrid w:val="0"/>
        </w:rPr>
      </w:pPr>
      <w:bookmarkStart w:id="107" w:name="_Toc131515920"/>
      <w:r>
        <w:rPr>
          <w:rStyle w:val="CharSectno"/>
        </w:rPr>
        <w:t>43</w:t>
      </w:r>
      <w:r>
        <w:rPr>
          <w:snapToGrid w:val="0"/>
        </w:rPr>
        <w:t>.</w:t>
      </w:r>
      <w:r>
        <w:rPr>
          <w:snapToGrid w:val="0"/>
        </w:rPr>
        <w:tab/>
        <w:t>Warrants</w:t>
      </w:r>
      <w:bookmarkEnd w:id="107"/>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 xml:space="preserve">that admission to the premises in question has been refused following a request by an authorised officer for entry thereto, or that the premises are unoccupied, or </w:t>
      </w:r>
      <w:r>
        <w:rPr>
          <w:snapToGrid w:val="0"/>
        </w:rPr>
        <w:lastRenderedPageBreak/>
        <w:t>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08" w:name="_Toc131515921"/>
      <w:r>
        <w:rPr>
          <w:rStyle w:val="CharSectno"/>
        </w:rPr>
        <w:t>44</w:t>
      </w:r>
      <w:r>
        <w:rPr>
          <w:snapToGrid w:val="0"/>
        </w:rPr>
        <w:t>.</w:t>
      </w:r>
      <w:r>
        <w:rPr>
          <w:snapToGrid w:val="0"/>
        </w:rPr>
        <w:tab/>
        <w:t>Inspection procedure</w:t>
      </w:r>
      <w:bookmarkEnd w:id="108"/>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09" w:name="_Toc131515922"/>
      <w:r>
        <w:rPr>
          <w:rStyle w:val="CharSectno"/>
        </w:rPr>
        <w:t>45</w:t>
      </w:r>
      <w:r>
        <w:rPr>
          <w:snapToGrid w:val="0"/>
        </w:rPr>
        <w:t>.</w:t>
      </w:r>
      <w:r>
        <w:rPr>
          <w:snapToGrid w:val="0"/>
        </w:rPr>
        <w:tab/>
        <w:t>Owner to assist authorised officer</w:t>
      </w:r>
      <w:bookmarkEnd w:id="109"/>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10" w:name="_Toc131515923"/>
      <w:r>
        <w:rPr>
          <w:rStyle w:val="CharSectno"/>
        </w:rPr>
        <w:t>46</w:t>
      </w:r>
      <w:r>
        <w:rPr>
          <w:snapToGrid w:val="0"/>
        </w:rPr>
        <w:t>.</w:t>
      </w:r>
      <w:r>
        <w:rPr>
          <w:snapToGrid w:val="0"/>
        </w:rPr>
        <w:tab/>
        <w:t>Power to give directions</w:t>
      </w:r>
      <w:bookmarkEnd w:id="110"/>
      <w:r>
        <w:rPr>
          <w:snapToGrid w:val="0"/>
        </w:rPr>
        <w:t xml:space="preserve"> </w:t>
      </w:r>
    </w:p>
    <w:p>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11" w:name="_Toc131515924"/>
      <w:r>
        <w:rPr>
          <w:rStyle w:val="CharSectno"/>
        </w:rPr>
        <w:t>47</w:t>
      </w:r>
      <w:r>
        <w:rPr>
          <w:snapToGrid w:val="0"/>
        </w:rPr>
        <w:t>.</w:t>
      </w:r>
      <w:r>
        <w:rPr>
          <w:snapToGrid w:val="0"/>
        </w:rPr>
        <w:tab/>
        <w:t>Power to vary directions etc.</w:t>
      </w:r>
      <w:bookmarkEnd w:id="111"/>
    </w:p>
    <w:p>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pPr>
        <w:pStyle w:val="Heading5"/>
        <w:rPr>
          <w:snapToGrid w:val="0"/>
        </w:rPr>
      </w:pPr>
      <w:bookmarkStart w:id="112" w:name="_Toc131515925"/>
      <w:r>
        <w:rPr>
          <w:rStyle w:val="CharSectno"/>
        </w:rPr>
        <w:t>48</w:t>
      </w:r>
      <w:r>
        <w:rPr>
          <w:snapToGrid w:val="0"/>
        </w:rPr>
        <w:t>.</w:t>
      </w:r>
      <w:r>
        <w:rPr>
          <w:snapToGrid w:val="0"/>
        </w:rPr>
        <w:tab/>
        <w:t>Offences as to inspections etc.</w:t>
      </w:r>
      <w:bookmarkEnd w:id="112"/>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13" w:name="_Toc131515926"/>
      <w:r>
        <w:rPr>
          <w:rStyle w:val="CharSectno"/>
        </w:rPr>
        <w:t>49</w:t>
      </w:r>
      <w:r>
        <w:rPr>
          <w:snapToGrid w:val="0"/>
        </w:rPr>
        <w:t>.</w:t>
      </w:r>
      <w:r>
        <w:rPr>
          <w:snapToGrid w:val="0"/>
        </w:rPr>
        <w:tab/>
        <w:t>Secrecy</w:t>
      </w:r>
      <w:bookmarkEnd w:id="113"/>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No. 21 of 2006 Sch. 3 cl. 5(9).]</w:t>
      </w:r>
    </w:p>
    <w:p>
      <w:pPr>
        <w:pStyle w:val="Heading5"/>
        <w:spacing w:before="200"/>
        <w:rPr>
          <w:snapToGrid w:val="0"/>
        </w:rPr>
      </w:pPr>
      <w:bookmarkStart w:id="114" w:name="_Toc131515927"/>
      <w:r>
        <w:rPr>
          <w:rStyle w:val="CharSectno"/>
        </w:rPr>
        <w:t>50</w:t>
      </w:r>
      <w:r>
        <w:rPr>
          <w:snapToGrid w:val="0"/>
        </w:rPr>
        <w:t>.</w:t>
      </w:r>
      <w:r>
        <w:rPr>
          <w:snapToGrid w:val="0"/>
        </w:rPr>
        <w:tab/>
        <w:t>Availability of records</w:t>
      </w:r>
      <w:bookmarkEnd w:id="114"/>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lastRenderedPageBreak/>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15" w:name="_Toc131515928"/>
      <w:r>
        <w:rPr>
          <w:rStyle w:val="CharSectno"/>
        </w:rPr>
        <w:t>51</w:t>
      </w:r>
      <w:r>
        <w:t>.</w:t>
      </w:r>
      <w:r>
        <w:rPr>
          <w:rStyle w:val="CharSectno"/>
        </w:rPr>
        <w:tab/>
      </w:r>
      <w:r>
        <w:t>Offences to be dealt with by magistrate</w:t>
      </w:r>
      <w:bookmarkEnd w:id="115"/>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No. 59 of 2004 s. 141.]</w:t>
      </w:r>
    </w:p>
    <w:p>
      <w:pPr>
        <w:pStyle w:val="Heading5"/>
        <w:spacing w:before="200"/>
        <w:rPr>
          <w:snapToGrid w:val="0"/>
        </w:rPr>
      </w:pPr>
      <w:bookmarkStart w:id="116" w:name="_Toc131515929"/>
      <w:r>
        <w:rPr>
          <w:rStyle w:val="CharSectno"/>
        </w:rPr>
        <w:t>52</w:t>
      </w:r>
      <w:r>
        <w:rPr>
          <w:snapToGrid w:val="0"/>
        </w:rPr>
        <w:t>.</w:t>
      </w:r>
      <w:r>
        <w:rPr>
          <w:snapToGrid w:val="0"/>
        </w:rPr>
        <w:tab/>
        <w:t>Offences</w:t>
      </w:r>
      <w:bookmarkEnd w:id="11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17" w:name="_Toc131515930"/>
      <w:r>
        <w:rPr>
          <w:rStyle w:val="CharSectno"/>
        </w:rPr>
        <w:lastRenderedPageBreak/>
        <w:t>53</w:t>
      </w:r>
      <w:r>
        <w:rPr>
          <w:snapToGrid w:val="0"/>
        </w:rPr>
        <w:t>.</w:t>
      </w:r>
      <w:r>
        <w:rPr>
          <w:snapToGrid w:val="0"/>
        </w:rPr>
        <w:tab/>
        <w:t>Forfeiture</w:t>
      </w:r>
      <w:bookmarkEnd w:id="117"/>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18" w:name="_Toc131515931"/>
      <w:r>
        <w:rPr>
          <w:rStyle w:val="CharSectno"/>
        </w:rPr>
        <w:t>54</w:t>
      </w:r>
      <w:r>
        <w:rPr>
          <w:snapToGrid w:val="0"/>
        </w:rPr>
        <w:t>.</w:t>
      </w:r>
      <w:r>
        <w:rPr>
          <w:snapToGrid w:val="0"/>
        </w:rPr>
        <w:tab/>
        <w:t>Power to seize and detain</w:t>
      </w:r>
      <w:bookmarkEnd w:id="118"/>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No. 55 of 2004 s. 995.]</w:t>
      </w:r>
    </w:p>
    <w:p>
      <w:pPr>
        <w:pStyle w:val="Heading5"/>
        <w:rPr>
          <w:snapToGrid w:val="0"/>
        </w:rPr>
      </w:pPr>
      <w:bookmarkStart w:id="119" w:name="_Toc131515932"/>
      <w:r>
        <w:rPr>
          <w:rStyle w:val="CharSectno"/>
        </w:rPr>
        <w:t>55</w:t>
      </w:r>
      <w:r>
        <w:rPr>
          <w:snapToGrid w:val="0"/>
        </w:rPr>
        <w:t>.</w:t>
      </w:r>
      <w:r>
        <w:rPr>
          <w:snapToGrid w:val="0"/>
        </w:rPr>
        <w:tab/>
        <w:t>Emergency action</w:t>
      </w:r>
      <w:bookmarkEnd w:id="119"/>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No. 63 of 1981 s. 4; No. 28 of 1984 s. 97; No. 19 of 2016 s. 102.] </w:t>
      </w:r>
    </w:p>
    <w:p>
      <w:pPr>
        <w:pStyle w:val="Heading5"/>
        <w:rPr>
          <w:snapToGrid w:val="0"/>
        </w:rPr>
      </w:pPr>
      <w:bookmarkStart w:id="120" w:name="_Toc131515933"/>
      <w:r>
        <w:rPr>
          <w:rStyle w:val="CharSectno"/>
        </w:rPr>
        <w:lastRenderedPageBreak/>
        <w:t>56</w:t>
      </w:r>
      <w:r>
        <w:rPr>
          <w:snapToGrid w:val="0"/>
        </w:rPr>
        <w:t>.</w:t>
      </w:r>
      <w:r>
        <w:rPr>
          <w:snapToGrid w:val="0"/>
        </w:rPr>
        <w:tab/>
        <w:t>Liability for the acts of others etc.</w:t>
      </w:r>
      <w:bookmarkEnd w:id="120"/>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Ednotesubsection"/>
      </w:pPr>
      <w:r>
        <w:tab/>
        <w:t>[(4)</w:t>
      </w:r>
      <w:r>
        <w:tab/>
        <w:t>deleted]</w:t>
      </w:r>
    </w:p>
    <w:p>
      <w:pPr>
        <w:pStyle w:val="Subsection"/>
        <w:keepNext/>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Footnotesection"/>
      </w:pPr>
      <w:r>
        <w:tab/>
        <w:t>[Section 56 amended: No. 9 of 2023 s. 129.]</w:t>
      </w:r>
    </w:p>
    <w:p>
      <w:pPr>
        <w:pStyle w:val="Heading5"/>
      </w:pPr>
      <w:bookmarkStart w:id="121" w:name="_Toc130918532"/>
      <w:bookmarkStart w:id="122" w:name="_Toc131515934"/>
      <w:r>
        <w:rPr>
          <w:rStyle w:val="CharSectno"/>
        </w:rPr>
        <w:t>56A</w:t>
      </w:r>
      <w:r>
        <w:t>.</w:t>
      </w:r>
      <w:r>
        <w:tab/>
        <w:t>Liability of officers for offence by body corporate</w:t>
      </w:r>
      <w:bookmarkEnd w:id="121"/>
      <w:bookmarkEnd w:id="12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25(1)</w:t>
            </w:r>
          </w:p>
        </w:tc>
        <w:tc>
          <w:tcPr>
            <w:tcW w:w="2410" w:type="dxa"/>
            <w:noWrap/>
          </w:tcPr>
          <w:p>
            <w:pPr>
              <w:pStyle w:val="TableNAm"/>
            </w:pPr>
            <w:r>
              <w:t>s. 28(4)</w:t>
            </w:r>
          </w:p>
        </w:tc>
      </w:tr>
      <w:tr>
        <w:trPr>
          <w:cantSplit/>
        </w:trPr>
        <w:tc>
          <w:tcPr>
            <w:tcW w:w="2409" w:type="dxa"/>
            <w:noWrap/>
          </w:tcPr>
          <w:p>
            <w:pPr>
              <w:pStyle w:val="TableNAm"/>
            </w:pPr>
            <w:r>
              <w:t>s. 36(3)</w:t>
            </w:r>
          </w:p>
        </w:tc>
        <w:tc>
          <w:tcPr>
            <w:tcW w:w="2410" w:type="dxa"/>
            <w:noWrap/>
          </w:tcPr>
          <w:p>
            <w:pPr>
              <w:pStyle w:val="TableNAm"/>
            </w:pPr>
            <w:r>
              <w:t>s. 46(5)</w:t>
            </w:r>
          </w:p>
        </w:tc>
      </w:tr>
      <w:tr>
        <w:trPr>
          <w:cantSplit/>
        </w:trPr>
        <w:tc>
          <w:tcPr>
            <w:tcW w:w="2409" w:type="dxa"/>
            <w:noWrap/>
          </w:tcPr>
          <w:p>
            <w:pPr>
              <w:pStyle w:val="TableNAm"/>
            </w:pPr>
            <w:r>
              <w:t>s. 52(1) for a contravention of s. 48(1)</w:t>
            </w:r>
          </w:p>
        </w:tc>
        <w:tc>
          <w:tcPr>
            <w:tcW w:w="2410" w:type="dxa"/>
            <w:noWrap/>
          </w:tcPr>
          <w:p>
            <w:pPr>
              <w:pStyle w:val="TableNAm"/>
            </w:pPr>
            <w:r>
              <w:t>s. 52(2)</w:t>
            </w:r>
          </w:p>
        </w:tc>
      </w:tr>
    </w:tbl>
    <w:p>
      <w:pPr>
        <w:pStyle w:val="Footnotesection"/>
      </w:pPr>
      <w:r>
        <w:tab/>
        <w:t>[Section 56A inserted: No. 9 of 2023 s. 130.]</w:t>
      </w:r>
    </w:p>
    <w:p>
      <w:pPr>
        <w:pStyle w:val="Heading5"/>
        <w:rPr>
          <w:snapToGrid w:val="0"/>
        </w:rPr>
      </w:pPr>
      <w:bookmarkStart w:id="123" w:name="_Toc131515935"/>
      <w:r>
        <w:rPr>
          <w:rStyle w:val="CharSectno"/>
        </w:rPr>
        <w:t>57</w:t>
      </w:r>
      <w:r>
        <w:rPr>
          <w:snapToGrid w:val="0"/>
        </w:rPr>
        <w:t>.</w:t>
      </w:r>
      <w:r>
        <w:rPr>
          <w:snapToGrid w:val="0"/>
        </w:rPr>
        <w:tab/>
        <w:t>Facilitation of proof</w:t>
      </w:r>
      <w:bookmarkEnd w:id="123"/>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 xml:space="preserve">a statement signed by the Secretary of the Council that a licence or other document of the description mentioned in the statement has or has not been issued by the Council under this Act to a person, or as to the date of issue of and the particulars contained in any document </w:t>
      </w:r>
      <w:r>
        <w:rPr>
          <w:snapToGrid w:val="0"/>
        </w:rPr>
        <w:lastRenderedPageBreak/>
        <w:t>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keepNext/>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keepNext/>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keepNext/>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No. 84 of 2004 s. 79 and 82; No. 8 of 2009 s. 107.]</w:t>
      </w:r>
    </w:p>
    <w:p>
      <w:pPr>
        <w:pStyle w:val="Heading2"/>
      </w:pPr>
      <w:bookmarkStart w:id="124" w:name="_Toc489602141"/>
      <w:bookmarkStart w:id="125" w:name="_Toc489602255"/>
      <w:bookmarkStart w:id="126" w:name="_Toc489602670"/>
      <w:bookmarkStart w:id="127" w:name="_Toc490129677"/>
      <w:bookmarkStart w:id="128" w:name="_Toc491788290"/>
      <w:bookmarkStart w:id="129" w:name="_Toc493601380"/>
      <w:bookmarkStart w:id="130" w:name="_Toc493601449"/>
      <w:bookmarkStart w:id="131" w:name="_Toc493601518"/>
      <w:bookmarkStart w:id="132" w:name="_Toc493603135"/>
      <w:bookmarkStart w:id="133" w:name="_Toc493603258"/>
      <w:bookmarkStart w:id="134" w:name="_Toc512325258"/>
      <w:bookmarkStart w:id="135" w:name="_Toc531182148"/>
      <w:bookmarkStart w:id="136" w:name="_Toc131513303"/>
      <w:bookmarkStart w:id="137" w:name="_Toc131513461"/>
      <w:bookmarkStart w:id="138" w:name="_Toc131515936"/>
      <w:r>
        <w:rPr>
          <w:rStyle w:val="CharPartNo"/>
        </w:rPr>
        <w:lastRenderedPageBreak/>
        <w:t>Part V</w:t>
      </w:r>
      <w:r>
        <w:rPr>
          <w:rStyle w:val="CharDivNo"/>
        </w:rPr>
        <w:t> </w:t>
      </w:r>
      <w:r>
        <w:t>—</w:t>
      </w:r>
      <w:r>
        <w:rPr>
          <w:rStyle w:val="CharDivText"/>
        </w:rPr>
        <w:t> </w:t>
      </w:r>
      <w:r>
        <w:rPr>
          <w:rStyle w:val="CharPartText"/>
        </w:rPr>
        <w:t>Regulations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131515937"/>
      <w:r>
        <w:rPr>
          <w:rStyle w:val="CharSectno"/>
        </w:rPr>
        <w:t>58</w:t>
      </w:r>
      <w:r>
        <w:rPr>
          <w:snapToGrid w:val="0"/>
        </w:rPr>
        <w:t>.</w:t>
      </w:r>
      <w:r>
        <w:rPr>
          <w:snapToGrid w:val="0"/>
        </w:rPr>
        <w:tab/>
        <w:t>General power</w:t>
      </w:r>
      <w:bookmarkEnd w:id="13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pPr>
        <w:pStyle w:val="Footnotesection"/>
      </w:pPr>
      <w:r>
        <w:tab/>
        <w:t>[Section 58 amended: No. 74 of 2003 s. 99.]</w:t>
      </w:r>
    </w:p>
    <w:p>
      <w:pPr>
        <w:pStyle w:val="Heading5"/>
        <w:rPr>
          <w:snapToGrid w:val="0"/>
        </w:rPr>
      </w:pPr>
      <w:bookmarkStart w:id="140" w:name="_Toc131515938"/>
      <w:r>
        <w:rPr>
          <w:rStyle w:val="CharSectno"/>
        </w:rPr>
        <w:t>59</w:t>
      </w:r>
      <w:r>
        <w:rPr>
          <w:snapToGrid w:val="0"/>
        </w:rPr>
        <w:t>.</w:t>
      </w:r>
      <w:r>
        <w:rPr>
          <w:snapToGrid w:val="0"/>
        </w:rPr>
        <w:tab/>
        <w:t>Specific powers</w:t>
      </w:r>
      <w:bookmarkEnd w:id="140"/>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1" w:name="_Toc131513464"/>
      <w:bookmarkStart w:id="142" w:name="_Toc131515939"/>
      <w:bookmarkStart w:id="143" w:name="_Toc531182153"/>
      <w:bookmarkStart w:id="144" w:name="_Toc131513308"/>
      <w:r>
        <w:lastRenderedPageBreak/>
        <w:t>Notes</w:t>
      </w:r>
      <w:bookmarkEnd w:id="141"/>
      <w:bookmarkEnd w:id="142"/>
    </w:p>
    <w:p>
      <w:pPr>
        <w:pStyle w:val="nStatement"/>
      </w:pPr>
      <w:r>
        <w:t xml:space="preserve">This is a compilation of the </w:t>
      </w:r>
      <w:r>
        <w:rPr>
          <w:i/>
          <w:noProof/>
        </w:rPr>
        <w:t>Radiation Safety Act 1975</w:t>
      </w:r>
      <w:r>
        <w:t xml:space="preserve"> and includes amendments made by other written laws. For provisions that have come into operation, and for information about any reprints, see the compilation table.</w:t>
      </w:r>
    </w:p>
    <w:p>
      <w:pPr>
        <w:pStyle w:val="nHeading3"/>
      </w:pPr>
      <w:bookmarkStart w:id="145" w:name="_Toc131515940"/>
      <w:r>
        <w:t>Compilation table</w:t>
      </w:r>
      <w:bookmarkEnd w:id="1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2" w:type="dxa"/>
            <w:tcBorders>
              <w:top w:val="single" w:sz="8" w:space="0" w:color="auto"/>
            </w:tcBorders>
          </w:tcPr>
          <w:p>
            <w:pPr>
              <w:pStyle w:val="nTable"/>
              <w:spacing w:after="40"/>
            </w:pPr>
            <w:r>
              <w:t xml:space="preserve">7 May 1976 (see s. 2 and </w:t>
            </w:r>
            <w:r>
              <w:rPr>
                <w:i/>
              </w:rPr>
              <w:t>Gazette</w:t>
            </w:r>
            <w:r>
              <w:t xml:space="preserve"> 7 May 1976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2" w:type="dxa"/>
          </w:tcPr>
          <w:p>
            <w:pPr>
              <w:pStyle w:val="nTable"/>
              <w:spacing w:after="40"/>
            </w:pPr>
            <w:r>
              <w:t>30 Aug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tcPr>
          <w:p>
            <w:pPr>
              <w:pStyle w:val="nTable"/>
              <w:spacing w:after="40"/>
            </w:pPr>
            <w:r>
              <w:t>7 Dec 1999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by </w:t>
            </w:r>
            <w:r>
              <w:rPr>
                <w:i/>
                <w:iCs/>
              </w:rPr>
              <w:t>Gazette</w:t>
            </w:r>
            <w:r>
              <w:t xml:space="preserve"> 28 Oct 2003 p. 4527)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tcPr>
          <w:p>
            <w:pPr>
              <w:pStyle w:val="nTable"/>
              <w:spacing w:after="40"/>
            </w:pPr>
            <w:r>
              <w:t>9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tcPr>
          <w:p>
            <w:pPr>
              <w:pStyle w:val="nTable"/>
              <w:spacing w:after="40"/>
              <w:rPr>
                <w:spacing w:val="-2"/>
              </w:rPr>
            </w:pPr>
            <w:r>
              <w:t>1 Apr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2"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r>
        <w:trPr>
          <w:cantSplit/>
        </w:trPr>
        <w:tc>
          <w:tcPr>
            <w:tcW w:w="2268" w:type="dxa"/>
            <w:tcBorders>
              <w:top w:val="nil"/>
              <w:bottom w:val="nil"/>
            </w:tcBorders>
          </w:tcPr>
          <w:p>
            <w:pPr>
              <w:pStyle w:val="nTable"/>
              <w:spacing w:after="40"/>
              <w:rPr>
                <w:i/>
                <w:iCs/>
                <w:snapToGrid w:val="0"/>
              </w:rPr>
            </w:pPr>
            <w:r>
              <w:rPr>
                <w:i/>
              </w:rPr>
              <w:t>Health Practitioner Regulation National Law (WA) Amendment Act 2018</w:t>
            </w:r>
            <w:r>
              <w:t xml:space="preserve"> s. 118</w:t>
            </w:r>
          </w:p>
        </w:tc>
        <w:tc>
          <w:tcPr>
            <w:tcW w:w="1134" w:type="dxa"/>
            <w:tcBorders>
              <w:top w:val="nil"/>
              <w:bottom w:val="nil"/>
            </w:tcBorders>
          </w:tcPr>
          <w:p>
            <w:pPr>
              <w:pStyle w:val="nTable"/>
              <w:spacing w:after="40"/>
              <w:rPr>
                <w:snapToGrid w:val="0"/>
              </w:rPr>
            </w:pPr>
            <w:r>
              <w:t>4 of 2018</w:t>
            </w:r>
          </w:p>
        </w:tc>
        <w:tc>
          <w:tcPr>
            <w:tcW w:w="1134" w:type="dxa"/>
            <w:tcBorders>
              <w:top w:val="nil"/>
              <w:bottom w:val="nil"/>
            </w:tcBorders>
          </w:tcPr>
          <w:p>
            <w:pPr>
              <w:pStyle w:val="nTable"/>
              <w:spacing w:after="40"/>
              <w:rPr>
                <w:snapToGrid w:val="0"/>
              </w:rPr>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pPr>
            <w:r>
              <w:rPr>
                <w:i/>
              </w:rPr>
              <w:t>Directors’ Liability Reform Act 2023</w:t>
            </w:r>
            <w:r>
              <w:t xml:space="preserve"> Pt. 3 Div. 52</w:t>
            </w:r>
          </w:p>
        </w:tc>
        <w:tc>
          <w:tcPr>
            <w:tcW w:w="1134" w:type="dxa"/>
            <w:tcBorders>
              <w:bottom w:val="single" w:sz="8" w:space="0" w:color="auto"/>
            </w:tcBorders>
          </w:tcPr>
          <w:p>
            <w:pPr>
              <w:pStyle w:val="nTable"/>
              <w:spacing w:after="40"/>
            </w:pPr>
            <w:r>
              <w:t>9 of 2023</w:t>
            </w:r>
          </w:p>
        </w:tc>
        <w:tc>
          <w:tcPr>
            <w:tcW w:w="1134" w:type="dxa"/>
            <w:tcBorders>
              <w:bottom w:val="single" w:sz="8" w:space="0" w:color="auto"/>
            </w:tcBorders>
          </w:tcPr>
          <w:p>
            <w:pPr>
              <w:pStyle w:val="nTable"/>
              <w:spacing w:after="40"/>
            </w:pPr>
            <w:r>
              <w:t>4 Apr 2023</w:t>
            </w:r>
          </w:p>
        </w:tc>
        <w:tc>
          <w:tcPr>
            <w:tcW w:w="2552" w:type="dxa"/>
            <w:tcBorders>
              <w:bottom w:val="single" w:sz="8" w:space="0" w:color="auto"/>
            </w:tcBorders>
          </w:tcPr>
          <w:p>
            <w:pPr>
              <w:pStyle w:val="nTable"/>
              <w:spacing w:after="40"/>
            </w:pPr>
            <w:r>
              <w:t>5 Apr 2023 (see s. 2(j))</w:t>
            </w:r>
          </w:p>
        </w:tc>
      </w:tr>
    </w:tbl>
    <w:p>
      <w:pPr>
        <w:pStyle w:val="nHeading3"/>
      </w:pPr>
      <w:bookmarkStart w:id="146" w:name="_Toc131515941"/>
      <w:r>
        <w:t>Other notes</w:t>
      </w:r>
      <w:bookmarkEnd w:id="146"/>
    </w:p>
    <w:p>
      <w:pPr>
        <w:pStyle w:val="nSubsection"/>
        <w:spacing w:before="160"/>
        <w:rPr>
          <w:i/>
          <w:iCs/>
        </w:rPr>
      </w:pPr>
      <w:r>
        <w:rPr>
          <w:vertAlign w:val="superscript"/>
        </w:rPr>
        <w:t>1</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48" w:name="_Toc131513467"/>
      <w:bookmarkStart w:id="149" w:name="_Toc131515942"/>
      <w:r>
        <w:rPr>
          <w:sz w:val="28"/>
        </w:rPr>
        <w:lastRenderedPageBreak/>
        <w:t>Defined terms</w:t>
      </w:r>
      <w:bookmarkEnd w:id="143"/>
      <w:bookmarkEnd w:id="144"/>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nurse practitioner</w:t>
      </w:r>
      <w:r>
        <w:tab/>
        <w:t>26(2B)</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14583</Words>
  <Characters>71458</Characters>
  <Application>Microsoft Office Word</Application>
  <DocSecurity>0</DocSecurity>
  <Lines>1880</Lines>
  <Paragraphs>915</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1975 - 04-d0-00</dc:title>
  <dc:subject/>
  <dc:creator/>
  <cp:keywords/>
  <dc:description/>
  <cp:lastModifiedBy>Master Repository Process</cp:lastModifiedBy>
  <cp:revision>4</cp:revision>
  <cp:lastPrinted>2018-11-28T07:16:00Z</cp:lastPrinted>
  <dcterms:created xsi:type="dcterms:W3CDTF">2023-04-05T04:26:00Z</dcterms:created>
  <dcterms:modified xsi:type="dcterms:W3CDTF">2023-04-05T04:26:00Z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AsAtDate">
    <vt:lpwstr>05 Apr 2023</vt:lpwstr>
  </property>
  <property fmtid="{D5CDD505-2E9C-101B-9397-08002B2CF9AE}" pid="8" name="Suffix">
    <vt:lpwstr>04-d0-00</vt:lpwstr>
  </property>
  <property fmtid="{D5CDD505-2E9C-101B-9397-08002B2CF9AE}" pid="9" name="CommencementDate">
    <vt:lpwstr>20230405</vt:lpwstr>
  </property>
</Properties>
</file>