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Retirement Villages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_Toc131509246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_Toc131509247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_Toc131509248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_Toc131509249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_Toc131509250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Contracting out</w:t>
      </w:r>
      <w:r>
        <w:tab/>
      </w:r>
      <w:r>
        <w:fldChar w:fldCharType="begin"/>
      </w:r>
      <w:r>
        <w:instrText xml:space="preserve"> PAGEREF _Toc131509251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Act on other legislation</w:t>
      </w:r>
      <w:r>
        <w:tab/>
      </w:r>
      <w:r>
        <w:fldChar w:fldCharType="begin"/>
      </w:r>
      <w:r>
        <w:instrText xml:space="preserve"> PAGEREF _Toc131509252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_Toc131509254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_Toc131509255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_Toc131509256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_Toc131509257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_Toc131509258 \h </w:instrText>
      </w:r>
      <w:r>
        <w:fldChar w:fldCharType="separate"/>
      </w:r>
      <w:r>
        <w:t>11</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_Toc131509259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_Toc131509260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report</w:t>
      </w:r>
      <w:r>
        <w:tab/>
      </w:r>
      <w:r>
        <w:fldChar w:fldCharType="begin"/>
      </w:r>
      <w:r>
        <w:instrText xml:space="preserve"> PAGEREF _Toc131509261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obligations of residents, owners and administering bodies</w:t>
      </w:r>
    </w:p>
    <w:p>
      <w:pPr>
        <w:pStyle w:val="TOC8"/>
        <w:rPr>
          <w:rFonts w:asciiTheme="minorHAnsi" w:eastAsiaTheme="minorEastAsia" w:hAnsiTheme="minorHAnsi" w:cstheme="minorBidi"/>
          <w:szCs w:val="22"/>
        </w:rPr>
      </w:pPr>
      <w:r>
        <w:t>13</w:t>
      </w:r>
      <w:r>
        <w:rPr>
          <w:snapToGrid w:val="0"/>
        </w:rPr>
        <w:t>.</w:t>
      </w:r>
      <w:r>
        <w:rPr>
          <w:snapToGrid w:val="0"/>
        </w:rPr>
        <w:tab/>
        <w:t>Residence contract</w:t>
      </w:r>
      <w:r>
        <w:tab/>
      </w:r>
      <w:r>
        <w:fldChar w:fldCharType="begin"/>
      </w:r>
      <w:r>
        <w:instrText xml:space="preserve"> PAGEREF _Toc131509263 \h </w:instrText>
      </w:r>
      <w:r>
        <w:fldChar w:fldCharType="separate"/>
      </w:r>
      <w:r>
        <w:t>14</w:t>
      </w:r>
      <w:r>
        <w:fldChar w:fldCharType="end"/>
      </w:r>
    </w:p>
    <w:p>
      <w:pPr>
        <w:pStyle w:val="TOC8"/>
        <w:rPr>
          <w:rFonts w:asciiTheme="minorHAnsi" w:eastAsiaTheme="minorEastAsia" w:hAnsiTheme="minorHAnsi" w:cstheme="minorBidi"/>
          <w:szCs w:val="22"/>
        </w:rPr>
      </w:pPr>
      <w:r>
        <w:t>14A.</w:t>
      </w:r>
      <w:r>
        <w:tab/>
        <w:t>Residence contracts to comply with prescribed requirements</w:t>
      </w:r>
      <w:r>
        <w:tab/>
      </w:r>
      <w:r>
        <w:fldChar w:fldCharType="begin"/>
      </w:r>
      <w:r>
        <w:instrText xml:space="preserve"> PAGEREF _Toc131509264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Cooling</w:t>
      </w:r>
      <w:r>
        <w:rPr>
          <w:snapToGrid w:val="0"/>
        </w:rPr>
        <w:noBreakHyphen/>
        <w:t>off period</w:t>
      </w:r>
      <w:r>
        <w:tab/>
      </w:r>
      <w:r>
        <w:fldChar w:fldCharType="begin"/>
      </w:r>
      <w:r>
        <w:instrText xml:space="preserve"> PAGEREF _Toc131509265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Owner to deliver memorial</w:t>
      </w:r>
      <w:r>
        <w:tab/>
      </w:r>
      <w:r>
        <w:fldChar w:fldCharType="begin"/>
      </w:r>
      <w:r>
        <w:instrText xml:space="preserve"> PAGEREF _Toc131509266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Occupation right not to be created unless memorial is lodged</w:t>
      </w:r>
      <w:r>
        <w:tab/>
      </w:r>
      <w:r>
        <w:fldChar w:fldCharType="begin"/>
      </w:r>
      <w:r>
        <w:instrText xml:space="preserve"> PAGEREF _Toc131509267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Termination of residence rights</w:t>
      </w:r>
      <w:r>
        <w:tab/>
      </w:r>
      <w:r>
        <w:fldChar w:fldCharType="begin"/>
      </w:r>
      <w:r>
        <w:instrText xml:space="preserve"> PAGEREF _Toc131509268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Premiums</w:t>
      </w:r>
      <w:r>
        <w:tab/>
      </w:r>
      <w:r>
        <w:fldChar w:fldCharType="begin"/>
      </w:r>
      <w:r>
        <w:instrText xml:space="preserve"> PAGEREF _Toc131509269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Contractual rights of residents</w:t>
      </w:r>
      <w:r>
        <w:tab/>
      </w:r>
      <w:r>
        <w:fldChar w:fldCharType="begin"/>
      </w:r>
      <w:r>
        <w:instrText xml:space="preserve"> PAGEREF _Toc131509270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w:t>
      </w:r>
      <w:r>
        <w:tab/>
      </w:r>
      <w:r>
        <w:fldChar w:fldCharType="begin"/>
      </w:r>
      <w:r>
        <w:instrText xml:space="preserve"> PAGEREF _Toc131509271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Enforcement of charge</w:t>
      </w:r>
      <w:r>
        <w:tab/>
      </w:r>
      <w:r>
        <w:fldChar w:fldCharType="begin"/>
      </w:r>
      <w:r>
        <w:instrText xml:space="preserve"> PAGEREF _Toc131509272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Termination of retirement village scheme</w:t>
      </w:r>
      <w:r>
        <w:tab/>
      </w:r>
      <w:r>
        <w:fldChar w:fldCharType="begin"/>
      </w:r>
      <w:r>
        <w:instrText xml:space="preserve"> PAGEREF _Toc131509273 \h </w:instrText>
      </w:r>
      <w:r>
        <w:fldChar w:fldCharType="separate"/>
      </w:r>
      <w:r>
        <w:t>26</w:t>
      </w:r>
      <w:r>
        <w:fldChar w:fldCharType="end"/>
      </w:r>
    </w:p>
    <w:p>
      <w:pPr>
        <w:pStyle w:val="TOC8"/>
        <w:rPr>
          <w:rFonts w:asciiTheme="minorHAnsi" w:eastAsiaTheme="minorEastAsia" w:hAnsiTheme="minorHAnsi" w:cstheme="minorBidi"/>
          <w:szCs w:val="22"/>
        </w:rPr>
      </w:pPr>
      <w:r>
        <w:t>23.</w:t>
      </w:r>
      <w:r>
        <w:tab/>
        <w:t>Recurrent charges payable by former residents</w:t>
      </w:r>
      <w:r>
        <w:tab/>
      </w:r>
      <w:r>
        <w:fldChar w:fldCharType="begin"/>
      </w:r>
      <w:r>
        <w:instrText xml:space="preserve"> PAGEREF _Toc131509274 \h </w:instrText>
      </w:r>
      <w:r>
        <w:fldChar w:fldCharType="separate"/>
      </w:r>
      <w:r>
        <w:t>26</w:t>
      </w:r>
      <w:r>
        <w:fldChar w:fldCharType="end"/>
      </w:r>
    </w:p>
    <w:p>
      <w:pPr>
        <w:pStyle w:val="TOC8"/>
        <w:rPr>
          <w:rFonts w:asciiTheme="minorHAnsi" w:eastAsiaTheme="minorEastAsia" w:hAnsiTheme="minorHAnsi" w:cstheme="minorBidi"/>
          <w:szCs w:val="22"/>
        </w:rPr>
      </w:pPr>
      <w:r>
        <w:t>24.</w:t>
      </w:r>
      <w:r>
        <w:tab/>
        <w:t>Recurrent charges may be deducted from premium repayable to former resident</w:t>
      </w:r>
      <w:r>
        <w:tab/>
      </w:r>
      <w:r>
        <w:fldChar w:fldCharType="begin"/>
      </w:r>
      <w:r>
        <w:instrText xml:space="preserve"> PAGEREF _Toc131509275 \h </w:instrText>
      </w:r>
      <w:r>
        <w:fldChar w:fldCharType="separate"/>
      </w:r>
      <w:r>
        <w:t>28</w:t>
      </w:r>
      <w:r>
        <w:fldChar w:fldCharType="end"/>
      </w:r>
    </w:p>
    <w:p>
      <w:pPr>
        <w:pStyle w:val="TOC8"/>
        <w:rPr>
          <w:rFonts w:asciiTheme="minorHAnsi" w:eastAsiaTheme="minorEastAsia" w:hAnsiTheme="minorHAnsi" w:cstheme="minorBidi"/>
          <w:szCs w:val="22"/>
        </w:rPr>
      </w:pPr>
      <w:r>
        <w:t>25.</w:t>
      </w:r>
      <w:r>
        <w:tab/>
        <w:t>Administering body not to require payment in respect of prescribed matters</w:t>
      </w:r>
      <w:r>
        <w:tab/>
      </w:r>
      <w:r>
        <w:fldChar w:fldCharType="begin"/>
      </w:r>
      <w:r>
        <w:instrText xml:space="preserve"> PAGEREF _Toc131509276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Resolution of disputes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w:t>
      </w:r>
      <w:r>
        <w:rPr>
          <w:snapToGrid w:val="0"/>
        </w:rPr>
        <w:t>.</w:t>
      </w:r>
      <w:r>
        <w:rPr>
          <w:snapToGrid w:val="0"/>
        </w:rPr>
        <w:tab/>
        <w:t>Use of other means of resolution</w:t>
      </w:r>
      <w:r>
        <w:tab/>
      </w:r>
      <w:r>
        <w:fldChar w:fldCharType="begin"/>
      </w:r>
      <w:r>
        <w:instrText xml:space="preserve"> PAGEREF _Toc131509279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Extension of time</w:t>
      </w:r>
      <w:r>
        <w:tab/>
      </w:r>
      <w:r>
        <w:fldChar w:fldCharType="begin"/>
      </w:r>
      <w:r>
        <w:instrText xml:space="preserve"> PAGEREF _Toc131509280 \h </w:instrText>
      </w:r>
      <w:r>
        <w:fldChar w:fldCharType="separate"/>
      </w:r>
      <w:r>
        <w:t>32</w:t>
      </w:r>
      <w:r>
        <w:fldChar w:fldCharType="end"/>
      </w:r>
    </w:p>
    <w:p>
      <w:pPr>
        <w:pStyle w:val="TOC8"/>
        <w:rPr>
          <w:rFonts w:asciiTheme="minorHAnsi" w:eastAsiaTheme="minorEastAsia" w:hAnsiTheme="minorHAnsi" w:cstheme="minorBidi"/>
          <w:szCs w:val="22"/>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_Toc131509281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Orders by State Administrative Tribunal</w:t>
      </w:r>
    </w:p>
    <w:p>
      <w:pPr>
        <w:pStyle w:val="TOC8"/>
        <w:rPr>
          <w:rFonts w:asciiTheme="minorHAnsi" w:eastAsiaTheme="minorEastAsia" w:hAnsiTheme="minorHAnsi" w:cstheme="minorBidi"/>
          <w:szCs w:val="22"/>
        </w:rPr>
      </w:pPr>
      <w:r>
        <w:t>52</w:t>
      </w:r>
      <w:r>
        <w:rPr>
          <w:snapToGrid w:val="0"/>
        </w:rPr>
        <w:t>.</w:t>
      </w:r>
      <w:r>
        <w:rPr>
          <w:snapToGrid w:val="0"/>
        </w:rPr>
        <w:tab/>
        <w:t>Limits on orders by SAT</w:t>
      </w:r>
      <w:r>
        <w:tab/>
      </w:r>
      <w:r>
        <w:fldChar w:fldCharType="begin"/>
      </w:r>
      <w:r>
        <w:instrText xml:space="preserve"> PAGEREF _Toc131509283 \h </w:instrText>
      </w:r>
      <w:r>
        <w:fldChar w:fldCharType="separate"/>
      </w:r>
      <w:r>
        <w:t>33</w:t>
      </w:r>
      <w:r>
        <w:fldChar w:fldCharType="end"/>
      </w:r>
    </w:p>
    <w:p>
      <w:pPr>
        <w:pStyle w:val="TOC8"/>
        <w:rPr>
          <w:rFonts w:asciiTheme="minorHAnsi" w:eastAsiaTheme="minorEastAsia" w:hAnsiTheme="minorHAnsi" w:cstheme="minorBidi"/>
          <w:szCs w:val="22"/>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_Toc131509284 \h </w:instrText>
      </w:r>
      <w:r>
        <w:fldChar w:fldCharType="separate"/>
      </w:r>
      <w:r>
        <w:t>34</w:t>
      </w:r>
      <w:r>
        <w:fldChar w:fldCharType="end"/>
      </w:r>
    </w:p>
    <w:p>
      <w:pPr>
        <w:pStyle w:val="TOC8"/>
        <w:rPr>
          <w:rFonts w:asciiTheme="minorHAnsi" w:eastAsiaTheme="minorEastAsia" w:hAnsiTheme="minorHAnsi" w:cstheme="minorBidi"/>
          <w:szCs w:val="22"/>
        </w:rPr>
      </w:pPr>
      <w:r>
        <w:rPr>
          <w:spacing w:val="-4"/>
        </w:rPr>
        <w:t>54A</w:t>
      </w:r>
      <w:r>
        <w:t>.</w:t>
      </w:r>
      <w:r>
        <w:tab/>
        <w:t xml:space="preserve">Jurisdiction of Tribunal under </w:t>
      </w:r>
      <w:r>
        <w:rPr>
          <w:i/>
        </w:rPr>
        <w:t>Community Titles Act 2018</w:t>
      </w:r>
      <w:r>
        <w:tab/>
      </w:r>
      <w:r>
        <w:fldChar w:fldCharType="begin"/>
      </w:r>
      <w:r>
        <w:instrText xml:space="preserve"> PAGEREF _Toc131509285 \h </w:instrText>
      </w:r>
      <w:r>
        <w:fldChar w:fldCharType="separate"/>
      </w:r>
      <w:r>
        <w:t>34</w:t>
      </w:r>
      <w:r>
        <w:fldChar w:fldCharType="end"/>
      </w:r>
    </w:p>
    <w:p>
      <w:pPr>
        <w:pStyle w:val="TOC8"/>
        <w:rPr>
          <w:rFonts w:asciiTheme="minorHAnsi" w:eastAsiaTheme="minorEastAsia" w:hAnsiTheme="minorHAnsi" w:cstheme="minorBidi"/>
          <w:szCs w:val="22"/>
        </w:rPr>
      </w:pPr>
      <w:r>
        <w:t>54B.</w:t>
      </w:r>
      <w:r>
        <w:tab/>
        <w:t xml:space="preserve">Jurisdiction of Tribunal under </w:t>
      </w:r>
      <w:r>
        <w:rPr>
          <w:i/>
        </w:rPr>
        <w:t>Strata Titles Act 1985</w:t>
      </w:r>
      <w:r>
        <w:tab/>
      </w:r>
      <w:r>
        <w:fldChar w:fldCharType="begin"/>
      </w:r>
      <w:r>
        <w:instrText xml:space="preserve"> PAGEREF _Toc131509286 \h </w:instrText>
      </w:r>
      <w:r>
        <w:fldChar w:fldCharType="separate"/>
      </w:r>
      <w:r>
        <w:t>34</w:t>
      </w:r>
      <w:r>
        <w:fldChar w:fldCharType="end"/>
      </w:r>
    </w:p>
    <w:p>
      <w:pPr>
        <w:pStyle w:val="TOC8"/>
        <w:rPr>
          <w:rFonts w:asciiTheme="minorHAnsi" w:eastAsiaTheme="minorEastAsia" w:hAnsiTheme="minorHAnsi" w:cstheme="minorBidi"/>
          <w:szCs w:val="22"/>
        </w:rPr>
      </w:pPr>
      <w:r>
        <w:rPr>
          <w:spacing w:val="-4"/>
        </w:rPr>
        <w:t>55</w:t>
      </w:r>
      <w:r>
        <w:t>.</w:t>
      </w:r>
      <w:r>
        <w:tab/>
        <w:t>Applications to SAT in relation to residence contracts</w:t>
      </w:r>
      <w:r>
        <w:tab/>
      </w:r>
      <w:r>
        <w:fldChar w:fldCharType="begin"/>
      </w:r>
      <w:r>
        <w:instrText xml:space="preserve"> PAGEREF _Toc131509287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Disputes in relation to service contracts</w:t>
      </w:r>
      <w:r>
        <w:tab/>
      </w:r>
      <w:r>
        <w:fldChar w:fldCharType="begin"/>
      </w:r>
      <w:r>
        <w:instrText xml:space="preserve"> PAGEREF _Toc131509288 \h </w:instrText>
      </w:r>
      <w:r>
        <w:fldChar w:fldCharType="separate"/>
      </w:r>
      <w:r>
        <w:t>35</w:t>
      </w:r>
      <w:r>
        <w:fldChar w:fldCharType="end"/>
      </w:r>
    </w:p>
    <w:p>
      <w:pPr>
        <w:pStyle w:val="TOC8"/>
        <w:rPr>
          <w:rFonts w:asciiTheme="minorHAnsi" w:eastAsiaTheme="minorEastAsia" w:hAnsiTheme="minorHAnsi" w:cstheme="minorBidi"/>
          <w:szCs w:val="22"/>
        </w:rPr>
      </w:pPr>
      <w:r>
        <w:rPr>
          <w:spacing w:val="-4"/>
        </w:rPr>
        <w:t>57A</w:t>
      </w:r>
      <w:r>
        <w:t>.</w:t>
      </w:r>
      <w:r>
        <w:tab/>
        <w:t>Disputes in relation to recurrent charges or levy payable by residents</w:t>
      </w:r>
      <w:r>
        <w:tab/>
      </w:r>
      <w:r>
        <w:fldChar w:fldCharType="begin"/>
      </w:r>
      <w:r>
        <w:instrText xml:space="preserve"> PAGEREF _Toc131509289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relating to transfer of residents</w:t>
      </w:r>
      <w:r>
        <w:tab/>
      </w:r>
      <w:r>
        <w:fldChar w:fldCharType="begin"/>
      </w:r>
      <w:r>
        <w:instrText xml:space="preserve"> PAGEREF _Toc131509290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Termination of occupation on medical grounds</w:t>
      </w:r>
      <w:r>
        <w:tab/>
      </w:r>
      <w:r>
        <w:fldChar w:fldCharType="begin"/>
      </w:r>
      <w:r>
        <w:instrText xml:space="preserve"> PAGEREF _Toc131509291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Termination of occupation on grounds of breach of residence contract or rules</w:t>
      </w:r>
      <w:r>
        <w:tab/>
      </w:r>
      <w:r>
        <w:fldChar w:fldCharType="begin"/>
      </w:r>
      <w:r>
        <w:instrText xml:space="preserve"> PAGEREF _Toc131509292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Parties to minimise loss from breach of residence contract</w:t>
      </w:r>
      <w:r>
        <w:tab/>
      </w:r>
      <w:r>
        <w:fldChar w:fldCharType="begin"/>
      </w:r>
      <w:r>
        <w:instrText xml:space="preserve"> PAGEREF _Toc131509293 \h </w:instrText>
      </w:r>
      <w:r>
        <w:fldChar w:fldCharType="separate"/>
      </w:r>
      <w:r>
        <w:t>41</w:t>
      </w:r>
      <w:r>
        <w:fldChar w:fldCharType="end"/>
      </w:r>
    </w:p>
    <w:p>
      <w:pPr>
        <w:pStyle w:val="TOC8"/>
        <w:rPr>
          <w:rFonts w:asciiTheme="minorHAnsi" w:eastAsiaTheme="minorEastAsia" w:hAnsiTheme="minorHAnsi" w:cstheme="minorBidi"/>
          <w:szCs w:val="22"/>
        </w:rPr>
      </w:pPr>
      <w:r>
        <w:lastRenderedPageBreak/>
        <w:t>61</w:t>
      </w:r>
      <w:r>
        <w:rPr>
          <w:snapToGrid w:val="0"/>
        </w:rPr>
        <w:t>.</w:t>
      </w:r>
      <w:r>
        <w:rPr>
          <w:snapToGrid w:val="0"/>
        </w:rPr>
        <w:tab/>
        <w:t>SAT may waive defect in notice of intention to terminate</w:t>
      </w:r>
      <w:r>
        <w:tab/>
      </w:r>
      <w:r>
        <w:fldChar w:fldCharType="begin"/>
      </w:r>
      <w:r>
        <w:instrText xml:space="preserve"> PAGEREF _Toc131509294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SAT may terminate residence contract where resident causes serious damage or injury</w:t>
      </w:r>
      <w:r>
        <w:tab/>
      </w:r>
      <w:r>
        <w:fldChar w:fldCharType="begin"/>
      </w:r>
      <w:r>
        <w:instrText xml:space="preserve"> PAGEREF _Toc131509295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SAT may terminate residence contract where administering body would otherwise suffer undue hardship</w:t>
      </w:r>
      <w:r>
        <w:tab/>
      </w:r>
      <w:r>
        <w:fldChar w:fldCharType="begin"/>
      </w:r>
      <w:r>
        <w:instrText xml:space="preserve"> PAGEREF _Toc131509296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Suspension or refusal of orders to terminate</w:t>
      </w:r>
      <w:r>
        <w:tab/>
      </w:r>
      <w:r>
        <w:fldChar w:fldCharType="begin"/>
      </w:r>
      <w:r>
        <w:instrText xml:space="preserve"> PAGEREF _Toc131509297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certain recovery proceedings in courts etc.</w:t>
      </w:r>
      <w:r>
        <w:tab/>
      </w:r>
      <w:r>
        <w:fldChar w:fldCharType="begin"/>
      </w:r>
      <w:r>
        <w:instrText xml:space="preserve"> PAGEREF _Toc131509298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Recovery of possession of premises prohibited except by order</w:t>
      </w:r>
      <w:r>
        <w:tab/>
      </w:r>
      <w:r>
        <w:fldChar w:fldCharType="begin"/>
      </w:r>
      <w:r>
        <w:instrText xml:space="preserve"> PAGEREF _Toc131509299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Liability of resident remaining in possession</w:t>
      </w:r>
      <w:r>
        <w:tab/>
      </w:r>
      <w:r>
        <w:fldChar w:fldCharType="begin"/>
      </w:r>
      <w:r>
        <w:instrText xml:space="preserve"> PAGEREF _Toc131509300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Abandoned premises</w:t>
      </w:r>
      <w:r>
        <w:tab/>
      </w:r>
      <w:r>
        <w:fldChar w:fldCharType="begin"/>
      </w:r>
      <w:r>
        <w:instrText xml:space="preserve"> PAGEREF _Toc131509301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of administering body to compensation where resident abandons premises</w:t>
      </w:r>
      <w:r>
        <w:tab/>
      </w:r>
      <w:r>
        <w:fldChar w:fldCharType="begin"/>
      </w:r>
      <w:r>
        <w:instrText xml:space="preserve"> PAGEREF _Toc131509302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Goods abandoned by resident after residence contract is terminated</w:t>
      </w:r>
      <w:r>
        <w:tab/>
      </w:r>
      <w:r>
        <w:fldChar w:fldCharType="begin"/>
      </w:r>
      <w:r>
        <w:instrText xml:space="preserve"> PAGEREF _Toc131509303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Protection</w:t>
      </w:r>
      <w:r>
        <w:tab/>
      </w:r>
      <w:r>
        <w:fldChar w:fldCharType="begin"/>
      </w:r>
      <w:r>
        <w:instrText xml:space="preserve"> PAGEREF _Toc131509304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5A — Statutory manager</w:t>
      </w:r>
    </w:p>
    <w:p>
      <w:pPr>
        <w:pStyle w:val="TOC8"/>
        <w:rPr>
          <w:rFonts w:asciiTheme="minorHAnsi" w:eastAsiaTheme="minorEastAsia" w:hAnsiTheme="minorHAnsi" w:cstheme="minorBidi"/>
          <w:szCs w:val="22"/>
        </w:rPr>
      </w:pPr>
      <w:r>
        <w:t>75A.</w:t>
      </w:r>
      <w:r>
        <w:tab/>
        <w:t>Terms used</w:t>
      </w:r>
      <w:r>
        <w:tab/>
      </w:r>
      <w:r>
        <w:fldChar w:fldCharType="begin"/>
      </w:r>
      <w:r>
        <w:instrText xml:space="preserve"> PAGEREF _Toc131509306 \h </w:instrText>
      </w:r>
      <w:r>
        <w:fldChar w:fldCharType="separate"/>
      </w:r>
      <w:r>
        <w:t>49</w:t>
      </w:r>
      <w:r>
        <w:fldChar w:fldCharType="end"/>
      </w:r>
    </w:p>
    <w:p>
      <w:pPr>
        <w:pStyle w:val="TOC8"/>
        <w:rPr>
          <w:rFonts w:asciiTheme="minorHAnsi" w:eastAsiaTheme="minorEastAsia" w:hAnsiTheme="minorHAnsi" w:cstheme="minorBidi"/>
          <w:szCs w:val="22"/>
        </w:rPr>
      </w:pPr>
      <w:r>
        <w:t>75B.</w:t>
      </w:r>
      <w:r>
        <w:tab/>
        <w:t>SAT may appoint statutory manager on application of Commissioner</w:t>
      </w:r>
      <w:r>
        <w:tab/>
      </w:r>
      <w:r>
        <w:fldChar w:fldCharType="begin"/>
      </w:r>
      <w:r>
        <w:instrText xml:space="preserve"> PAGEREF _Toc131509307 \h </w:instrText>
      </w:r>
      <w:r>
        <w:fldChar w:fldCharType="separate"/>
      </w:r>
      <w:r>
        <w:t>50</w:t>
      </w:r>
      <w:r>
        <w:fldChar w:fldCharType="end"/>
      </w:r>
    </w:p>
    <w:p>
      <w:pPr>
        <w:pStyle w:val="TOC8"/>
        <w:rPr>
          <w:rFonts w:asciiTheme="minorHAnsi" w:eastAsiaTheme="minorEastAsia" w:hAnsiTheme="minorHAnsi" w:cstheme="minorBidi"/>
          <w:szCs w:val="22"/>
        </w:rPr>
      </w:pPr>
      <w:r>
        <w:t>75C.</w:t>
      </w:r>
      <w:r>
        <w:tab/>
        <w:t>Proposed statutory manager must consent to appointment</w:t>
      </w:r>
      <w:r>
        <w:tab/>
      </w:r>
      <w:r>
        <w:fldChar w:fldCharType="begin"/>
      </w:r>
      <w:r>
        <w:instrText xml:space="preserve"> PAGEREF _Toc131509308 \h </w:instrText>
      </w:r>
      <w:r>
        <w:fldChar w:fldCharType="separate"/>
      </w:r>
      <w:r>
        <w:t>51</w:t>
      </w:r>
      <w:r>
        <w:fldChar w:fldCharType="end"/>
      </w:r>
    </w:p>
    <w:p>
      <w:pPr>
        <w:pStyle w:val="TOC8"/>
        <w:rPr>
          <w:rFonts w:asciiTheme="minorHAnsi" w:eastAsiaTheme="minorEastAsia" w:hAnsiTheme="minorHAnsi" w:cstheme="minorBidi"/>
          <w:szCs w:val="22"/>
        </w:rPr>
      </w:pPr>
      <w:r>
        <w:t>75D.</w:t>
      </w:r>
      <w:r>
        <w:tab/>
        <w:t>Variation and revocation of orders</w:t>
      </w:r>
      <w:r>
        <w:tab/>
      </w:r>
      <w:r>
        <w:fldChar w:fldCharType="begin"/>
      </w:r>
      <w:r>
        <w:instrText xml:space="preserve"> PAGEREF _Toc131509309 \h </w:instrText>
      </w:r>
      <w:r>
        <w:fldChar w:fldCharType="separate"/>
      </w:r>
      <w:r>
        <w:t>52</w:t>
      </w:r>
      <w:r>
        <w:fldChar w:fldCharType="end"/>
      </w:r>
    </w:p>
    <w:p>
      <w:pPr>
        <w:pStyle w:val="TOC8"/>
        <w:rPr>
          <w:rFonts w:asciiTheme="minorHAnsi" w:eastAsiaTheme="minorEastAsia" w:hAnsiTheme="minorHAnsi" w:cstheme="minorBidi"/>
          <w:szCs w:val="22"/>
        </w:rPr>
      </w:pPr>
      <w:r>
        <w:t>75E.</w:t>
      </w:r>
      <w:r>
        <w:tab/>
        <w:t>Matters to be dealt with in order appointing a statutory manager</w:t>
      </w:r>
      <w:r>
        <w:tab/>
      </w:r>
      <w:r>
        <w:fldChar w:fldCharType="begin"/>
      </w:r>
      <w:r>
        <w:instrText xml:space="preserve"> PAGEREF _Toc131509310 \h </w:instrText>
      </w:r>
      <w:r>
        <w:fldChar w:fldCharType="separate"/>
      </w:r>
      <w:r>
        <w:t>53</w:t>
      </w:r>
      <w:r>
        <w:fldChar w:fldCharType="end"/>
      </w:r>
    </w:p>
    <w:p>
      <w:pPr>
        <w:pStyle w:val="TOC8"/>
        <w:rPr>
          <w:rFonts w:asciiTheme="minorHAnsi" w:eastAsiaTheme="minorEastAsia" w:hAnsiTheme="minorHAnsi" w:cstheme="minorBidi"/>
          <w:szCs w:val="22"/>
        </w:rPr>
      </w:pPr>
      <w:r>
        <w:t>75F.</w:t>
      </w:r>
      <w:r>
        <w:tab/>
        <w:t>Other matters arising from appointment of statutory manager</w:t>
      </w:r>
      <w:r>
        <w:tab/>
      </w:r>
      <w:r>
        <w:fldChar w:fldCharType="begin"/>
      </w:r>
      <w:r>
        <w:instrText xml:space="preserve"> PAGEREF _Toc131509311 \h </w:instrText>
      </w:r>
      <w:r>
        <w:fldChar w:fldCharType="separate"/>
      </w:r>
      <w:r>
        <w:t>54</w:t>
      </w:r>
      <w:r>
        <w:fldChar w:fldCharType="end"/>
      </w:r>
    </w:p>
    <w:p>
      <w:pPr>
        <w:pStyle w:val="TOC8"/>
        <w:rPr>
          <w:rFonts w:asciiTheme="minorHAnsi" w:eastAsiaTheme="minorEastAsia" w:hAnsiTheme="minorHAnsi" w:cstheme="minorBidi"/>
          <w:szCs w:val="22"/>
        </w:rPr>
      </w:pPr>
      <w:r>
        <w:t>75G.</w:t>
      </w:r>
      <w:r>
        <w:tab/>
        <w:t>Appointment of both statutory manager and external administrator</w:t>
      </w:r>
      <w:r>
        <w:tab/>
      </w:r>
      <w:r>
        <w:fldChar w:fldCharType="begin"/>
      </w:r>
      <w:r>
        <w:instrText xml:space="preserve"> PAGEREF _Toc131509312 \h </w:instrText>
      </w:r>
      <w:r>
        <w:fldChar w:fldCharType="separate"/>
      </w:r>
      <w:r>
        <w:t>54</w:t>
      </w:r>
      <w:r>
        <w:fldChar w:fldCharType="end"/>
      </w:r>
    </w:p>
    <w:p>
      <w:pPr>
        <w:pStyle w:val="TOC8"/>
        <w:rPr>
          <w:rFonts w:asciiTheme="minorHAnsi" w:eastAsiaTheme="minorEastAsia" w:hAnsiTheme="minorHAnsi" w:cstheme="minorBidi"/>
          <w:szCs w:val="22"/>
        </w:rPr>
      </w:pPr>
      <w:r>
        <w:t>75H.</w:t>
      </w:r>
      <w:r>
        <w:tab/>
        <w:t>Administering body to cooperate with statutory manager</w:t>
      </w:r>
      <w:r>
        <w:tab/>
      </w:r>
      <w:r>
        <w:fldChar w:fldCharType="begin"/>
      </w:r>
      <w:r>
        <w:instrText xml:space="preserve"> PAGEREF _Toc131509313 \h </w:instrText>
      </w:r>
      <w:r>
        <w:fldChar w:fldCharType="separate"/>
      </w:r>
      <w:r>
        <w:t>55</w:t>
      </w:r>
      <w:r>
        <w:fldChar w:fldCharType="end"/>
      </w:r>
    </w:p>
    <w:p>
      <w:pPr>
        <w:pStyle w:val="TOC8"/>
        <w:rPr>
          <w:rFonts w:asciiTheme="minorHAnsi" w:eastAsiaTheme="minorEastAsia" w:hAnsiTheme="minorHAnsi" w:cstheme="minorBidi"/>
          <w:szCs w:val="22"/>
        </w:rPr>
      </w:pPr>
      <w:r>
        <w:t>75I.</w:t>
      </w:r>
      <w:r>
        <w:tab/>
        <w:t>State Administrative Tribunal may require reports and recommendations from statutory manager</w:t>
      </w:r>
      <w:r>
        <w:tab/>
      </w:r>
      <w:r>
        <w:fldChar w:fldCharType="begin"/>
      </w:r>
      <w:r>
        <w:instrText xml:space="preserve"> PAGEREF _Toc131509314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75</w:t>
      </w:r>
      <w:r>
        <w:rPr>
          <w:snapToGrid w:val="0"/>
        </w:rPr>
        <w:t>.</w:t>
      </w:r>
      <w:r>
        <w:rPr>
          <w:snapToGrid w:val="0"/>
        </w:rPr>
        <w:tab/>
        <w:t>Rescission of contract</w:t>
      </w:r>
      <w:r>
        <w:tab/>
      </w:r>
      <w:r>
        <w:fldChar w:fldCharType="begin"/>
      </w:r>
      <w:r>
        <w:instrText xml:space="preserve"> PAGEREF _Toc131509316 \h </w:instrText>
      </w:r>
      <w:r>
        <w:fldChar w:fldCharType="separate"/>
      </w:r>
      <w:r>
        <w:t>58</w:t>
      </w:r>
      <w:r>
        <w:fldChar w:fldCharType="end"/>
      </w:r>
    </w:p>
    <w:p>
      <w:pPr>
        <w:pStyle w:val="TOC8"/>
        <w:rPr>
          <w:rFonts w:asciiTheme="minorHAnsi" w:eastAsiaTheme="minorEastAsia" w:hAnsiTheme="minorHAnsi" w:cstheme="minorBidi"/>
          <w:szCs w:val="22"/>
        </w:rPr>
      </w:pPr>
      <w:r>
        <w:lastRenderedPageBreak/>
        <w:t>76.</w:t>
      </w:r>
      <w:r>
        <w:tab/>
        <w:t>Persons who are not to be involved in administration of retirement villages</w:t>
      </w:r>
      <w:r>
        <w:tab/>
      </w:r>
      <w:r>
        <w:fldChar w:fldCharType="begin"/>
      </w:r>
      <w:r>
        <w:instrText xml:space="preserve"> PAGEREF _Toc131509317 \h </w:instrText>
      </w:r>
      <w:r>
        <w:fldChar w:fldCharType="separate"/>
      </w:r>
      <w:r>
        <w:t>60</w:t>
      </w:r>
      <w:r>
        <w:fldChar w:fldCharType="end"/>
      </w:r>
    </w:p>
    <w:p>
      <w:pPr>
        <w:pStyle w:val="TOC8"/>
        <w:rPr>
          <w:rFonts w:asciiTheme="minorHAnsi" w:eastAsiaTheme="minorEastAsia" w:hAnsiTheme="minorHAnsi" w:cstheme="minorBidi"/>
          <w:szCs w:val="22"/>
        </w:rPr>
      </w:pPr>
      <w:r>
        <w:t>77A.</w:t>
      </w:r>
      <w:r>
        <w:tab/>
        <w:t>Limitation of period for which section 76 applies to certain persons</w:t>
      </w:r>
      <w:r>
        <w:tab/>
      </w:r>
      <w:r>
        <w:fldChar w:fldCharType="begin"/>
      </w:r>
      <w:r>
        <w:instrText xml:space="preserve"> PAGEREF _Toc131509318 \h </w:instrText>
      </w:r>
      <w:r>
        <w:fldChar w:fldCharType="separate"/>
      </w:r>
      <w:r>
        <w:t>61</w:t>
      </w:r>
      <w:r>
        <w:fldChar w:fldCharType="end"/>
      </w:r>
    </w:p>
    <w:p>
      <w:pPr>
        <w:pStyle w:val="TOC8"/>
        <w:rPr>
          <w:rFonts w:asciiTheme="minorHAnsi" w:eastAsiaTheme="minorEastAsia" w:hAnsiTheme="minorHAnsi" w:cstheme="minorBidi"/>
          <w:szCs w:val="22"/>
        </w:rPr>
      </w:pPr>
      <w:r>
        <w:t>77B.</w:t>
      </w:r>
      <w:r>
        <w:tab/>
        <w:t>Offences by persons involved in administration of retirement village</w:t>
      </w:r>
      <w:r>
        <w:tab/>
      </w:r>
      <w:r>
        <w:fldChar w:fldCharType="begin"/>
      </w:r>
      <w:r>
        <w:instrText xml:space="preserve"> PAGEREF _Toc131509319 \h </w:instrText>
      </w:r>
      <w:r>
        <w:fldChar w:fldCharType="separate"/>
      </w:r>
      <w:r>
        <w:t>62</w:t>
      </w:r>
      <w:r>
        <w:fldChar w:fldCharType="end"/>
      </w:r>
    </w:p>
    <w:p>
      <w:pPr>
        <w:pStyle w:val="TOC8"/>
        <w:rPr>
          <w:rFonts w:asciiTheme="minorHAnsi" w:eastAsiaTheme="minorEastAsia" w:hAnsiTheme="minorHAnsi" w:cstheme="minorBidi"/>
          <w:szCs w:val="22"/>
        </w:rPr>
      </w:pPr>
      <w:r>
        <w:t>77C.</w:t>
      </w:r>
      <w:r>
        <w:tab/>
        <w:t>Commissioner may grant exemption certificates</w:t>
      </w:r>
      <w:r>
        <w:tab/>
      </w:r>
      <w:r>
        <w:fldChar w:fldCharType="begin"/>
      </w:r>
      <w:r>
        <w:instrText xml:space="preserve"> PAGEREF _Toc131509320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_Toc131509321 \h </w:instrText>
      </w:r>
      <w:r>
        <w:fldChar w:fldCharType="separate"/>
      </w:r>
      <w:r>
        <w:t>63</w:t>
      </w:r>
      <w:r>
        <w:fldChar w:fldCharType="end"/>
      </w:r>
    </w:p>
    <w:p>
      <w:pPr>
        <w:pStyle w:val="TOC8"/>
        <w:rPr>
          <w:rFonts w:asciiTheme="minorHAnsi" w:eastAsiaTheme="minorEastAsia" w:hAnsiTheme="minorHAnsi" w:cstheme="minorBidi"/>
          <w:szCs w:val="22"/>
        </w:rPr>
      </w:pPr>
      <w:r>
        <w:t>79.</w:t>
      </w:r>
      <w:r>
        <w:tab/>
        <w:t>Liability of officers for offence by body corporate</w:t>
      </w:r>
      <w:r>
        <w:tab/>
      </w:r>
      <w:r>
        <w:fldChar w:fldCharType="begin"/>
      </w:r>
      <w:r>
        <w:instrText xml:space="preserve"> PAGEREF _Toc131509322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Time for bringing proceedings</w:t>
      </w:r>
      <w:r>
        <w:tab/>
      </w:r>
      <w:r>
        <w:fldChar w:fldCharType="begin"/>
      </w:r>
      <w:r>
        <w:instrText xml:space="preserve"> PAGEREF _Toc131509323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_Toc131509324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Review of Act</w:t>
      </w:r>
      <w:r>
        <w:tab/>
      </w:r>
      <w:r>
        <w:fldChar w:fldCharType="begin"/>
      </w:r>
      <w:r>
        <w:instrText xml:space="preserve"> PAGEREF _Toc131509325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Savings and transitional</w:t>
      </w:r>
      <w:r>
        <w:tab/>
      </w:r>
      <w:r>
        <w:fldChar w:fldCharType="begin"/>
      </w:r>
      <w:r>
        <w:instrText xml:space="preserve"> PAGEREF _Toc131509326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commencement of Act</w:t>
      </w:r>
    </w:p>
    <w:p>
      <w:pPr>
        <w:pStyle w:val="TOC8"/>
        <w:rPr>
          <w:rFonts w:asciiTheme="minorHAnsi" w:eastAsiaTheme="minorEastAsia" w:hAnsiTheme="minorHAnsi" w:cstheme="minorBidi"/>
          <w:szCs w:val="22"/>
        </w:rPr>
      </w:pPr>
      <w:r>
        <w:t>1</w:t>
      </w:r>
      <w:r>
        <w:rPr>
          <w:snapToGrid w:val="0"/>
        </w:rPr>
        <w:t>.</w:t>
      </w:r>
      <w:r>
        <w:rPr>
          <w:snapToGrid w:val="0"/>
        </w:rPr>
        <w:tab/>
        <w:t>Existing disputes and other matters</w:t>
      </w:r>
      <w:r>
        <w:tab/>
      </w:r>
      <w:r>
        <w:fldChar w:fldCharType="begin"/>
      </w:r>
      <w:r>
        <w:instrText xml:space="preserve"> PAGEREF _Toc131509329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Regulations</w:t>
      </w:r>
      <w:r>
        <w:tab/>
      </w:r>
      <w:r>
        <w:fldChar w:fldCharType="begin"/>
      </w:r>
      <w:r>
        <w:instrText xml:space="preserve"> PAGEREF _Toc131509330 \h </w:instrText>
      </w:r>
      <w:r>
        <w:fldChar w:fldCharType="separate"/>
      </w:r>
      <w:r>
        <w:t>67</w:t>
      </w:r>
      <w:r>
        <w:fldChar w:fldCharType="end"/>
      </w:r>
    </w:p>
    <w:p>
      <w:pPr>
        <w:pStyle w:val="TOC8"/>
        <w:rPr>
          <w:rFonts w:asciiTheme="minorHAnsi" w:eastAsiaTheme="minorEastAsia" w:hAnsiTheme="minorHAnsi" w:cstheme="minorBidi"/>
          <w:szCs w:val="22"/>
        </w:rPr>
      </w:pPr>
      <w:r>
        <w:t>3</w:t>
      </w:r>
      <w:r>
        <w:rPr>
          <w:rFonts w:ascii="Times" w:hAnsi="Times"/>
          <w:snapToGrid w:val="0"/>
        </w:rPr>
        <w:t>.</w:t>
      </w:r>
      <w:r>
        <w:rPr>
          <w:rFonts w:ascii="Times" w:hAnsi="Times"/>
          <w:snapToGrid w:val="0"/>
        </w:rPr>
        <w:tab/>
        <w:t>Exemption</w:t>
      </w:r>
      <w:r>
        <w:tab/>
      </w:r>
      <w:r>
        <w:fldChar w:fldCharType="begin"/>
      </w:r>
      <w:r>
        <w:instrText xml:space="preserve"> PAGEREF _Toc131509331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relating to Retirement Villages Amendment Act 2012</w:t>
      </w:r>
    </w:p>
    <w:p>
      <w:pPr>
        <w:pStyle w:val="TOC8"/>
        <w:rPr>
          <w:rFonts w:asciiTheme="minorHAnsi" w:eastAsiaTheme="minorEastAsia" w:hAnsiTheme="minorHAnsi" w:cstheme="minorBidi"/>
          <w:szCs w:val="22"/>
        </w:rPr>
      </w:pPr>
      <w:r>
        <w:t>4.</w:t>
      </w:r>
      <w:r>
        <w:tab/>
        <w:t>Exemption certificate taken to have been granted to certain persons</w:t>
      </w:r>
      <w:r>
        <w:tab/>
      </w:r>
      <w:r>
        <w:fldChar w:fldCharType="begin"/>
      </w:r>
      <w:r>
        <w:instrText xml:space="preserve"> PAGEREF _Toc131509333 \h </w:instrText>
      </w:r>
      <w:r>
        <w:fldChar w:fldCharType="separate"/>
      </w:r>
      <w:r>
        <w:t>68</w:t>
      </w:r>
      <w:r>
        <w:fldChar w:fldCharType="end"/>
      </w:r>
    </w:p>
    <w:p>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_Toc131509334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_Toc131509336 \h </w:instrText>
      </w:r>
      <w:r>
        <w:fldChar w:fldCharType="separate"/>
      </w:r>
      <w:r>
        <w:t>71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_Toc131509337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_Toc131509338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3" w:name="_Toc75341052"/>
      <w:bookmarkStart w:id="4" w:name="_Toc75341952"/>
      <w:bookmarkStart w:id="5" w:name="_Toc75447449"/>
      <w:bookmarkStart w:id="6" w:name="_Toc131507106"/>
      <w:bookmarkStart w:id="7" w:name="_Toc131507324"/>
      <w:bookmarkStart w:id="8" w:name="_Toc13150924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60"/>
        <w:rPr>
          <w:snapToGrid w:val="0"/>
        </w:rPr>
      </w:pPr>
      <w:bookmarkStart w:id="9" w:name="_Toc131509246"/>
      <w:r>
        <w:rPr>
          <w:rStyle w:val="CharSectno"/>
        </w:rPr>
        <w:t>1</w:t>
      </w:r>
      <w:r>
        <w:rPr>
          <w:snapToGrid w:val="0"/>
        </w:rPr>
        <w:t>.</w:t>
      </w:r>
      <w:r>
        <w:rPr>
          <w:snapToGrid w:val="0"/>
        </w:rPr>
        <w:tab/>
        <w:t>Short title</w:t>
      </w:r>
      <w:bookmarkEnd w:id="9"/>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pPr>
        <w:pStyle w:val="Heading5"/>
        <w:spacing w:before="260"/>
        <w:rPr>
          <w:snapToGrid w:val="0"/>
        </w:rPr>
      </w:pPr>
      <w:bookmarkStart w:id="10" w:name="_Toc131509247"/>
      <w:r>
        <w:rPr>
          <w:rStyle w:val="CharSectno"/>
        </w:rPr>
        <w:t>2</w:t>
      </w:r>
      <w:r>
        <w:rPr>
          <w:snapToGrid w:val="0"/>
        </w:rPr>
        <w:t>.</w:t>
      </w:r>
      <w:r>
        <w:rPr>
          <w:snapToGrid w:val="0"/>
        </w:rPr>
        <w:tab/>
        <w:t>Commencement</w:t>
      </w:r>
      <w:bookmarkEnd w:id="10"/>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pPr>
        <w:pStyle w:val="Heading5"/>
        <w:spacing w:before="260"/>
        <w:rPr>
          <w:snapToGrid w:val="0"/>
        </w:rPr>
      </w:pPr>
      <w:bookmarkStart w:id="11" w:name="_Toc131509248"/>
      <w:r>
        <w:rPr>
          <w:rStyle w:val="CharSectno"/>
        </w:rPr>
        <w:t>3</w:t>
      </w:r>
      <w:r>
        <w:rPr>
          <w:snapToGrid w:val="0"/>
        </w:rPr>
        <w:t>.</w:t>
      </w:r>
      <w:r>
        <w:rPr>
          <w:snapToGrid w:val="0"/>
        </w:rPr>
        <w:tab/>
        <w:t>Terms used</w:t>
      </w:r>
      <w:bookmarkEnd w:id="11"/>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w:t>
      </w:r>
      <w:r>
        <w:lastRenderedPageBreak/>
        <w:t>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pPr>
      <w:r>
        <w:tab/>
        <w:t>(b)</w:t>
      </w:r>
      <w:r>
        <w:tab/>
        <w:t>a levy or 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lastRenderedPageBreak/>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lastRenderedPageBreak/>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 amenities or entertainment services or amenities;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No. 57 of 1997 s. 39(10); No. 28 of 2003 s. 179; No. 55 of 2004 s. 1023; No. 28 of 2006 s. 139; </w:t>
      </w:r>
      <w:r>
        <w:rPr>
          <w:spacing w:val="-4"/>
        </w:rPr>
        <w:t>No. 58 of 2010 s. 199; No. 36 of 2012 s. 4(1)-(3)</w:t>
      </w:r>
      <w:r>
        <w:t>.]</w:t>
      </w:r>
    </w:p>
    <w:p>
      <w:pPr>
        <w:pStyle w:val="Heading5"/>
        <w:rPr>
          <w:snapToGrid w:val="0"/>
        </w:rPr>
      </w:pPr>
      <w:bookmarkStart w:id="12" w:name="_Toc131509249"/>
      <w:r>
        <w:rPr>
          <w:rStyle w:val="CharSectno"/>
        </w:rPr>
        <w:t>4</w:t>
      </w:r>
      <w:r>
        <w:rPr>
          <w:snapToGrid w:val="0"/>
        </w:rPr>
        <w:t>.</w:t>
      </w:r>
      <w:r>
        <w:rPr>
          <w:snapToGrid w:val="0"/>
        </w:rPr>
        <w:tab/>
        <w:t>Act binds Crown</w:t>
      </w:r>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131509250"/>
      <w:r>
        <w:rPr>
          <w:rStyle w:val="CharSectno"/>
        </w:rPr>
        <w:t>5</w:t>
      </w:r>
      <w:r>
        <w:rPr>
          <w:snapToGrid w:val="0"/>
        </w:rPr>
        <w:t>.</w:t>
      </w:r>
      <w:r>
        <w:rPr>
          <w:snapToGrid w:val="0"/>
        </w:rPr>
        <w:tab/>
        <w:t>Application of Act</w:t>
      </w:r>
      <w:bookmarkEnd w:id="13"/>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w:t>
      </w:r>
      <w:r>
        <w:lastRenderedPageBreak/>
        <w:t>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No. 69 of 2006 s. 34.]</w:t>
      </w:r>
    </w:p>
    <w:p>
      <w:pPr>
        <w:pStyle w:val="Heading5"/>
        <w:keepLines w:val="0"/>
        <w:rPr>
          <w:snapToGrid w:val="0"/>
        </w:rPr>
      </w:pPr>
      <w:bookmarkStart w:id="14" w:name="_Toc131509251"/>
      <w:r>
        <w:rPr>
          <w:rStyle w:val="CharSectno"/>
        </w:rPr>
        <w:t>6</w:t>
      </w:r>
      <w:r>
        <w:rPr>
          <w:snapToGrid w:val="0"/>
        </w:rPr>
        <w:t>.</w:t>
      </w:r>
      <w:r>
        <w:rPr>
          <w:snapToGrid w:val="0"/>
        </w:rPr>
        <w:tab/>
        <w:t>Contracting out</w:t>
      </w:r>
      <w:bookmarkEnd w:id="14"/>
    </w:p>
    <w:p>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Footnotesection"/>
      </w:pPr>
      <w:r>
        <w:tab/>
        <w:t>[Section 6 amended: No. 36 of 2012 s. 5.]</w:t>
      </w:r>
    </w:p>
    <w:p>
      <w:pPr>
        <w:pStyle w:val="Heading5"/>
        <w:rPr>
          <w:snapToGrid w:val="0"/>
        </w:rPr>
      </w:pPr>
      <w:bookmarkStart w:id="15" w:name="_Toc131509252"/>
      <w:r>
        <w:rPr>
          <w:rStyle w:val="CharSectno"/>
        </w:rPr>
        <w:lastRenderedPageBreak/>
        <w:t>7</w:t>
      </w:r>
      <w:r>
        <w:rPr>
          <w:snapToGrid w:val="0"/>
        </w:rPr>
        <w:t>.</w:t>
      </w:r>
      <w:r>
        <w:rPr>
          <w:snapToGrid w:val="0"/>
        </w:rPr>
        <w:tab/>
        <w:t>Effect of Act on other legislation</w:t>
      </w:r>
      <w:bookmarkEnd w:id="15"/>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16" w:name="_Toc75341060"/>
      <w:bookmarkStart w:id="17" w:name="_Toc75341960"/>
      <w:bookmarkStart w:id="18" w:name="_Toc75447457"/>
      <w:bookmarkStart w:id="19" w:name="_Toc131507114"/>
      <w:bookmarkStart w:id="20" w:name="_Toc131507332"/>
      <w:bookmarkStart w:id="21" w:name="_Toc131509253"/>
      <w:r>
        <w:rPr>
          <w:rStyle w:val="CharPartNo"/>
        </w:rPr>
        <w:lastRenderedPageBreak/>
        <w:t>Part 2</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pPr>
      <w:bookmarkStart w:id="22" w:name="_Toc131509254"/>
      <w:r>
        <w:rPr>
          <w:rStyle w:val="CharSectno"/>
        </w:rPr>
        <w:t>7A</w:t>
      </w:r>
      <w:r>
        <w:t>.</w:t>
      </w:r>
      <w:r>
        <w:tab/>
        <w:t>Commissioner</w:t>
      </w:r>
      <w:bookmarkEnd w:id="2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140.]</w:t>
      </w:r>
    </w:p>
    <w:p>
      <w:pPr>
        <w:pStyle w:val="Heading5"/>
        <w:rPr>
          <w:snapToGrid w:val="0"/>
        </w:rPr>
      </w:pPr>
      <w:bookmarkStart w:id="23" w:name="_Toc131509255"/>
      <w:r>
        <w:rPr>
          <w:rStyle w:val="CharSectno"/>
        </w:rPr>
        <w:t>8</w:t>
      </w:r>
      <w:r>
        <w:rPr>
          <w:snapToGrid w:val="0"/>
        </w:rPr>
        <w:t>.</w:t>
      </w:r>
      <w:r>
        <w:rPr>
          <w:snapToGrid w:val="0"/>
        </w:rPr>
        <w:tab/>
        <w:t>Functions of Commissioner</w:t>
      </w:r>
      <w:bookmarkEnd w:id="2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57 of 1997 s. 104; No. 28 of 2006 s. 141.]</w:t>
      </w:r>
    </w:p>
    <w:p>
      <w:pPr>
        <w:pStyle w:val="Heading5"/>
        <w:keepNext w:val="0"/>
        <w:keepLines w:val="0"/>
        <w:rPr>
          <w:snapToGrid w:val="0"/>
        </w:rPr>
      </w:pPr>
      <w:bookmarkStart w:id="24" w:name="_Toc131509256"/>
      <w:r>
        <w:rPr>
          <w:rStyle w:val="CharSectno"/>
        </w:rPr>
        <w:lastRenderedPageBreak/>
        <w:t>9</w:t>
      </w:r>
      <w:r>
        <w:rPr>
          <w:snapToGrid w:val="0"/>
        </w:rPr>
        <w:t>.</w:t>
      </w:r>
      <w:r>
        <w:rPr>
          <w:snapToGrid w:val="0"/>
        </w:rPr>
        <w:tab/>
        <w:t>Commissioner may institute or defend proceedings for party</w:t>
      </w:r>
      <w:bookmarkEnd w:id="24"/>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 xml:space="preserve">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w:t>
      </w:r>
      <w:r>
        <w:rPr>
          <w:snapToGrid w:val="0"/>
        </w:rPr>
        <w:lastRenderedPageBreak/>
        <w:t>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 xml:space="preserve">In any proceedings referred to in subsection (1) a document purporting to be the consent of the resident of the retirement village to the Commissioner instituting, defending, or assuming </w:t>
      </w:r>
      <w:r>
        <w:rPr>
          <w:snapToGrid w:val="0"/>
        </w:rPr>
        <w:lastRenderedPageBreak/>
        <w:t>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No. 6 of 1993 s. 11; No. 49 of 1996 s. 64; No. 55 of 2004 s. 1044; No. 77 of 2006 s. 4.]</w:t>
      </w:r>
    </w:p>
    <w:p>
      <w:pPr>
        <w:pStyle w:val="Heading5"/>
        <w:rPr>
          <w:snapToGrid w:val="0"/>
        </w:rPr>
      </w:pPr>
      <w:bookmarkStart w:id="25" w:name="_Toc131509257"/>
      <w:r>
        <w:rPr>
          <w:rStyle w:val="CharSectno"/>
        </w:rPr>
        <w:t>10</w:t>
      </w:r>
      <w:r>
        <w:rPr>
          <w:snapToGrid w:val="0"/>
        </w:rPr>
        <w:t>.</w:t>
      </w:r>
      <w:r>
        <w:rPr>
          <w:snapToGrid w:val="0"/>
        </w:rPr>
        <w:tab/>
        <w:t>Delegation by Commissioner</w:t>
      </w:r>
      <w:bookmarkEnd w:id="25"/>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26" w:name="_Toc131509258"/>
      <w:r>
        <w:rPr>
          <w:rStyle w:val="CharSectno"/>
        </w:rPr>
        <w:t>11</w:t>
      </w:r>
      <w:r>
        <w:rPr>
          <w:snapToGrid w:val="0"/>
        </w:rPr>
        <w:t>.</w:t>
      </w:r>
      <w:r>
        <w:rPr>
          <w:snapToGrid w:val="0"/>
        </w:rPr>
        <w:tab/>
        <w:t>Protection of officers</w:t>
      </w:r>
      <w:bookmarkEnd w:id="26"/>
    </w:p>
    <w:p>
      <w:pPr>
        <w:pStyle w:val="Subsection"/>
      </w:pPr>
      <w:r>
        <w:tab/>
        <w:t>(1)</w:t>
      </w:r>
      <w:r>
        <w:tab/>
        <w:t xml:space="preserve">In this section — </w:t>
      </w:r>
    </w:p>
    <w:p>
      <w:pPr>
        <w:pStyle w:val="Defstart"/>
      </w:pPr>
      <w:r>
        <w:tab/>
      </w:r>
      <w:r>
        <w:rPr>
          <w:rStyle w:val="CharDefText"/>
        </w:rPr>
        <w:t>statutory manager</w:t>
      </w:r>
      <w:r>
        <w:t xml:space="preserve"> means a person appointed under section 75B and includes an agent of, or a person employed or engaged by, a </w:t>
      </w:r>
      <w:r>
        <w:lastRenderedPageBreak/>
        <w:t>statutory manager who is assisting the statutory manager in the performance of the functions of the statutory manager under this Act.</w:t>
      </w:r>
    </w:p>
    <w:p>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pPr>
        <w:pStyle w:val="Subsection"/>
      </w:pPr>
      <w:r>
        <w:tab/>
        <w:t>(3)</w:t>
      </w:r>
      <w:r>
        <w:tab/>
        <w:t>The Crown is relieved of any liability that it might otherwise have had for any act or omission, as described in subsection (2), by a statutory manager.</w:t>
      </w:r>
    </w:p>
    <w:p>
      <w:pPr>
        <w:pStyle w:val="Footnotesection"/>
      </w:pPr>
      <w:r>
        <w:tab/>
        <w:t>[Section 11 amended: No. 36 of 2012 s. 6.]</w:t>
      </w:r>
    </w:p>
    <w:p>
      <w:pPr>
        <w:pStyle w:val="Heading5"/>
      </w:pPr>
      <w:bookmarkStart w:id="27" w:name="_Toc131509259"/>
      <w:r>
        <w:rPr>
          <w:rStyle w:val="CharSectno"/>
        </w:rPr>
        <w:t>11A</w:t>
      </w:r>
      <w:r>
        <w:t>.</w:t>
      </w:r>
      <w:r>
        <w:tab/>
        <w:t>Information officially obtained to be confidential</w:t>
      </w:r>
      <w:bookmarkEnd w:id="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lastRenderedPageBreak/>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142.]</w:t>
      </w:r>
    </w:p>
    <w:p>
      <w:pPr>
        <w:pStyle w:val="Heading5"/>
      </w:pPr>
      <w:bookmarkStart w:id="28" w:name="_Toc131509260"/>
      <w:r>
        <w:rPr>
          <w:rStyle w:val="CharSectno"/>
        </w:rPr>
        <w:t>11B</w:t>
      </w:r>
      <w:r>
        <w:t>.</w:t>
      </w:r>
      <w:r>
        <w:tab/>
        <w:t>Powers of investigation</w:t>
      </w:r>
      <w:bookmarkEnd w:id="2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190.]</w:t>
      </w:r>
    </w:p>
    <w:p>
      <w:pPr>
        <w:pStyle w:val="Heading5"/>
        <w:rPr>
          <w:snapToGrid w:val="0"/>
        </w:rPr>
      </w:pPr>
      <w:bookmarkStart w:id="29" w:name="_Toc131509261"/>
      <w:r>
        <w:rPr>
          <w:rStyle w:val="CharSectno"/>
        </w:rPr>
        <w:t>12</w:t>
      </w:r>
      <w:r>
        <w:rPr>
          <w:snapToGrid w:val="0"/>
        </w:rPr>
        <w:t>.</w:t>
      </w:r>
      <w:r>
        <w:rPr>
          <w:snapToGrid w:val="0"/>
        </w:rPr>
        <w:tab/>
        <w:t>Annual report</w:t>
      </w:r>
      <w:bookmarkEnd w:id="29"/>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30" w:name="_Toc75341069"/>
      <w:bookmarkStart w:id="31" w:name="_Toc75341969"/>
      <w:bookmarkStart w:id="32" w:name="_Toc75447466"/>
      <w:bookmarkStart w:id="33" w:name="_Toc131507123"/>
      <w:bookmarkStart w:id="34" w:name="_Toc131507341"/>
      <w:bookmarkStart w:id="35" w:name="_Toc131509262"/>
      <w:r>
        <w:rPr>
          <w:rStyle w:val="CharPartNo"/>
        </w:rPr>
        <w:lastRenderedPageBreak/>
        <w:t>Part 3</w:t>
      </w:r>
      <w:r>
        <w:rPr>
          <w:rStyle w:val="CharDivNo"/>
        </w:rPr>
        <w:t> </w:t>
      </w:r>
      <w:r>
        <w:t>—</w:t>
      </w:r>
      <w:r>
        <w:rPr>
          <w:rStyle w:val="CharDivText"/>
        </w:rPr>
        <w:t> </w:t>
      </w:r>
      <w:r>
        <w:rPr>
          <w:rStyle w:val="CharPartText"/>
        </w:rPr>
        <w:t>Rights and obligations of residents, owners and administering bodies</w:t>
      </w:r>
      <w:bookmarkEnd w:id="30"/>
      <w:bookmarkEnd w:id="31"/>
      <w:bookmarkEnd w:id="32"/>
      <w:bookmarkEnd w:id="33"/>
      <w:bookmarkEnd w:id="34"/>
      <w:bookmarkEnd w:id="35"/>
    </w:p>
    <w:p>
      <w:pPr>
        <w:pStyle w:val="Heading5"/>
        <w:spacing w:before="180"/>
        <w:rPr>
          <w:snapToGrid w:val="0"/>
        </w:rPr>
      </w:pPr>
      <w:bookmarkStart w:id="36" w:name="_Toc131509263"/>
      <w:r>
        <w:rPr>
          <w:rStyle w:val="CharSectno"/>
        </w:rPr>
        <w:t>13</w:t>
      </w:r>
      <w:r>
        <w:rPr>
          <w:snapToGrid w:val="0"/>
        </w:rPr>
        <w:t>.</w:t>
      </w:r>
      <w:r>
        <w:rPr>
          <w:snapToGrid w:val="0"/>
        </w:rPr>
        <w:tab/>
        <w:t>Residence contract</w:t>
      </w:r>
      <w:bookmarkEnd w:id="36"/>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pPr>
      <w:r>
        <w:tab/>
        <w:t>(4A)</w:t>
      </w:r>
      <w:r>
        <w:tab/>
        <w:t>A person must not demand or receive any fee or charge for any information or document given under subsection (2) or (3).</w:t>
      </w:r>
    </w:p>
    <w:p>
      <w:pPr>
        <w:pStyle w:val="Penstart"/>
      </w:pPr>
      <w:r>
        <w:tab/>
        <w:t>Penalty: a fine of $5 000.</w:t>
      </w:r>
    </w:p>
    <w:p>
      <w:pPr>
        <w:pStyle w:val="Subsection"/>
        <w:rPr>
          <w:snapToGrid w:val="0"/>
        </w:rPr>
      </w:pPr>
      <w:r>
        <w:rPr>
          <w:snapToGrid w:val="0"/>
          <w:spacing w:val="-8"/>
        </w:rPr>
        <w:tab/>
        <w:t>(4)</w:t>
      </w:r>
      <w:r>
        <w:rPr>
          <w:snapToGrid w:val="0"/>
          <w:spacing w:val="-8"/>
        </w:rPr>
        <w:tab/>
      </w:r>
      <w:r>
        <w:rPr>
          <w:snapToGrid w:val="0"/>
        </w:rPr>
        <w:t xml:space="preserve">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w:t>
      </w:r>
      <w:r>
        <w:rPr>
          <w:snapToGrid w:val="0"/>
        </w:rPr>
        <w:lastRenderedPageBreak/>
        <w:t>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Footnotesection"/>
      </w:pPr>
      <w:r>
        <w:tab/>
        <w:t>[Section 13 amended: No. 36 of 2012 s. 7.]</w:t>
      </w:r>
    </w:p>
    <w:p>
      <w:pPr>
        <w:pStyle w:val="Heading5"/>
      </w:pPr>
      <w:bookmarkStart w:id="37" w:name="_Toc131509264"/>
      <w:r>
        <w:rPr>
          <w:rStyle w:val="CharSectno"/>
        </w:rPr>
        <w:t>14A</w:t>
      </w:r>
      <w:r>
        <w:t>.</w:t>
      </w:r>
      <w:r>
        <w:tab/>
        <w:t>Residence contracts to comply with prescribed requirements</w:t>
      </w:r>
      <w:bookmarkEnd w:id="37"/>
    </w:p>
    <w:p>
      <w:pPr>
        <w:pStyle w:val="Subsection"/>
      </w:pPr>
      <w:r>
        <w:tab/>
        <w:t>(1)</w:t>
      </w:r>
      <w:r>
        <w:tab/>
        <w:t>The regulations may provide for provisions or matters that must be included, or provisions or matters that must not be included, in residence contracts or in residence contracts of a specified kind.</w:t>
      </w:r>
    </w:p>
    <w:p>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Penstart"/>
      </w:pPr>
      <w:r>
        <w:lastRenderedPageBreak/>
        <w:tab/>
        <w:t>Penalty: a fine of $20 000.</w:t>
      </w:r>
    </w:p>
    <w:p>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Subsection"/>
      </w:pPr>
      <w:r>
        <w:tab/>
        <w:t>(5)</w:t>
      </w:r>
      <w:r>
        <w:tab/>
        <w:t>The regulations may provide that section 6(2) does not have effect in relation to any specified regulations, or any specified provisions of regulations, made for the purposes of subsection (1).</w:t>
      </w:r>
    </w:p>
    <w:p>
      <w:pPr>
        <w:pStyle w:val="Footnotesection"/>
      </w:pPr>
      <w:r>
        <w:tab/>
        <w:t>[Section 14A inserted: No. 36 of 2012 s. 8.]</w:t>
      </w:r>
    </w:p>
    <w:p>
      <w:pPr>
        <w:pStyle w:val="Heading5"/>
        <w:rPr>
          <w:snapToGrid w:val="0"/>
        </w:rPr>
      </w:pPr>
      <w:bookmarkStart w:id="38" w:name="_Toc131509265"/>
      <w:r>
        <w:rPr>
          <w:rStyle w:val="CharSectno"/>
        </w:rPr>
        <w:t>14</w:t>
      </w:r>
      <w:r>
        <w:rPr>
          <w:snapToGrid w:val="0"/>
        </w:rPr>
        <w:t>.</w:t>
      </w:r>
      <w:r>
        <w:rPr>
          <w:snapToGrid w:val="0"/>
        </w:rPr>
        <w:tab/>
        <w:t>Cooling</w:t>
      </w:r>
      <w:r>
        <w:rPr>
          <w:snapToGrid w:val="0"/>
        </w:rPr>
        <w:noBreakHyphen/>
        <w:t>off period</w:t>
      </w:r>
      <w:bookmarkEnd w:id="38"/>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Footnotesection"/>
      </w:pPr>
      <w:r>
        <w:tab/>
        <w:t>[Section 14 amended: No. 36 of 2012 s. 9.]</w:t>
      </w:r>
    </w:p>
    <w:p>
      <w:pPr>
        <w:pStyle w:val="Heading5"/>
        <w:rPr>
          <w:snapToGrid w:val="0"/>
        </w:rPr>
      </w:pPr>
      <w:bookmarkStart w:id="39" w:name="_Toc131509266"/>
      <w:r>
        <w:rPr>
          <w:rStyle w:val="CharSectno"/>
        </w:rPr>
        <w:lastRenderedPageBreak/>
        <w:t>15</w:t>
      </w:r>
      <w:r>
        <w:rPr>
          <w:snapToGrid w:val="0"/>
        </w:rPr>
        <w:t>.</w:t>
      </w:r>
      <w:r>
        <w:rPr>
          <w:snapToGrid w:val="0"/>
        </w:rPr>
        <w:tab/>
        <w:t>Owner to deliver memorial</w:t>
      </w:r>
      <w:bookmarkEnd w:id="39"/>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t>
      </w:r>
      <w:r>
        <w:rPr>
          <w:snapToGrid w:val="0"/>
        </w:rPr>
        <w:lastRenderedPageBreak/>
        <w:t xml:space="preserve">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plan, to that effect in relation to the land concerned.</w:t>
      </w:r>
    </w:p>
    <w:p>
      <w:pPr>
        <w:pStyle w:val="Footnotesection"/>
        <w:keepLines w:val="0"/>
      </w:pPr>
      <w:r>
        <w:tab/>
        <w:t>[Section 15 amended: No. 14 of 1996 s. 4; No. 81 of 1996 s. 153(1); No. 24 of 2011 s. 171; No. 32 of 2018 s. 239.]</w:t>
      </w:r>
    </w:p>
    <w:p>
      <w:pPr>
        <w:pStyle w:val="Heading5"/>
        <w:rPr>
          <w:snapToGrid w:val="0"/>
        </w:rPr>
      </w:pPr>
      <w:bookmarkStart w:id="40" w:name="_Toc131509267"/>
      <w:r>
        <w:rPr>
          <w:rStyle w:val="CharSectno"/>
        </w:rPr>
        <w:lastRenderedPageBreak/>
        <w:t>16</w:t>
      </w:r>
      <w:r>
        <w:rPr>
          <w:snapToGrid w:val="0"/>
        </w:rPr>
        <w:t>.</w:t>
      </w:r>
      <w:r>
        <w:rPr>
          <w:snapToGrid w:val="0"/>
        </w:rPr>
        <w:tab/>
        <w:t>Occupation right not to be created unless memorial is lodged</w:t>
      </w:r>
      <w:bookmarkEnd w:id="40"/>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41" w:name="_Toc131509268"/>
      <w:r>
        <w:rPr>
          <w:rStyle w:val="CharSectno"/>
        </w:rPr>
        <w:t>17</w:t>
      </w:r>
      <w:r>
        <w:rPr>
          <w:snapToGrid w:val="0"/>
        </w:rPr>
        <w:t>.</w:t>
      </w:r>
      <w:r>
        <w:rPr>
          <w:snapToGrid w:val="0"/>
        </w:rPr>
        <w:tab/>
        <w:t>Termination of residence rights</w:t>
      </w:r>
      <w:bookmarkEnd w:id="41"/>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lastRenderedPageBreak/>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No. 55 of 2004 s. 1044.]</w:t>
      </w:r>
    </w:p>
    <w:p>
      <w:pPr>
        <w:pStyle w:val="Heading5"/>
        <w:rPr>
          <w:snapToGrid w:val="0"/>
        </w:rPr>
      </w:pPr>
      <w:bookmarkStart w:id="42" w:name="_Toc131509269"/>
      <w:r>
        <w:rPr>
          <w:rStyle w:val="CharSectno"/>
        </w:rPr>
        <w:t>18</w:t>
      </w:r>
      <w:r>
        <w:rPr>
          <w:snapToGrid w:val="0"/>
        </w:rPr>
        <w:t>.</w:t>
      </w:r>
      <w:r>
        <w:rPr>
          <w:snapToGrid w:val="0"/>
        </w:rPr>
        <w:tab/>
        <w:t>Premiums</w:t>
      </w:r>
      <w:bookmarkEnd w:id="42"/>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100"/>
      </w:pPr>
      <w:r>
        <w:tab/>
        <w:t>(a)</w:t>
      </w:r>
      <w:r>
        <w:tab/>
        <w:t xml:space="preserve">the person by or on whose behalf the premium was paid — </w:t>
      </w:r>
    </w:p>
    <w:p>
      <w:pPr>
        <w:pStyle w:val="Indenti"/>
        <w:spacing w:before="100"/>
      </w:pPr>
      <w:r>
        <w:tab/>
        <w:t>(i)</w:t>
      </w:r>
      <w:r>
        <w:tab/>
        <w:t>enters into occupation of the residential premises; or</w:t>
      </w:r>
    </w:p>
    <w:p>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pPr>
        <w:pStyle w:val="Indenta"/>
      </w:pPr>
      <w:r>
        <w:lastRenderedPageBreak/>
        <w:tab/>
      </w:r>
      <w:r>
        <w:tab/>
        <w:t>whichever occurs first;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pPr>
      <w:r>
        <w:tab/>
        <w:t>(2A)</w:t>
      </w:r>
      <w:r>
        <w:tab/>
        <w:t xml:space="preserve">If — </w:t>
      </w:r>
    </w:p>
    <w:p>
      <w:pPr>
        <w:pStyle w:val="Indenta"/>
      </w:pPr>
      <w:r>
        <w:tab/>
        <w:t>(a)</w:t>
      </w:r>
      <w:r>
        <w:tab/>
        <w:t>a premium is paid to an administering body and subsection (2) does not apply; and</w:t>
      </w:r>
    </w:p>
    <w:p>
      <w:pPr>
        <w:pStyle w:val="Indenta"/>
      </w:pPr>
      <w:r>
        <w:tab/>
        <w:t>(b)</w:t>
      </w:r>
      <w:r>
        <w:tab/>
        <w:t>the premium is not held in trust or invested as required by subsection (1),</w:t>
      </w:r>
    </w:p>
    <w:p>
      <w:pPr>
        <w:pStyle w:val="Subsection"/>
      </w:pPr>
      <w:r>
        <w:tab/>
      </w:r>
      <w:r>
        <w:tab/>
        <w:t>the administering body is guilty of an offence.</w:t>
      </w:r>
    </w:p>
    <w:p>
      <w:pPr>
        <w:pStyle w:val="Penstart"/>
      </w:pPr>
      <w:r>
        <w:tab/>
        <w:t>Penalty: a fine of $20 000</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 xml:space="preserve">Penalty: </w:t>
      </w:r>
      <w:r>
        <w:t>a fine of</w:t>
      </w:r>
      <w:r>
        <w:rPr>
          <w:snapToGrid w:val="0"/>
        </w:rPr>
        <w:t xml:space="preserve">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keepNext/>
      </w:pPr>
      <w:r>
        <w:lastRenderedPageBreak/>
        <w:tab/>
        <w:t>(5)</w:t>
      </w:r>
      <w:r>
        <w:tab/>
        <w:t xml:space="preserve">If — </w:t>
      </w:r>
    </w:p>
    <w:p>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Indenta"/>
      </w:pPr>
      <w:r>
        <w:tab/>
        <w:t>(b)</w:t>
      </w:r>
      <w:r>
        <w:tab/>
        <w:t>interest and accretions arising from investment of the premium are required by subsection (4)(a) to be paid to the prospective resident and that interest and those accretions are not paid accordingly,</w:t>
      </w:r>
    </w:p>
    <w:p>
      <w:pPr>
        <w:pStyle w:val="Subsection"/>
      </w:pPr>
      <w:r>
        <w:tab/>
      </w:r>
      <w:r>
        <w:tab/>
        <w:t>the administering body is guilty of an offence.</w:t>
      </w:r>
    </w:p>
    <w:p>
      <w:pPr>
        <w:pStyle w:val="Penstart"/>
      </w:pPr>
      <w:r>
        <w:tab/>
        <w:t>Penalty: a fine of $20 000.</w:t>
      </w:r>
    </w:p>
    <w:p>
      <w:pPr>
        <w:pStyle w:val="Footnotesection"/>
        <w:spacing w:before="80"/>
      </w:pPr>
      <w:r>
        <w:tab/>
        <w:t>[Section 18 amended: No. 1 of 1997 s. 18; No. 36 of 2012 s. 10.]</w:t>
      </w:r>
    </w:p>
    <w:p>
      <w:pPr>
        <w:pStyle w:val="Heading5"/>
        <w:spacing w:before="200"/>
        <w:rPr>
          <w:snapToGrid w:val="0"/>
        </w:rPr>
      </w:pPr>
      <w:bookmarkStart w:id="43" w:name="_Toc131509270"/>
      <w:r>
        <w:rPr>
          <w:rStyle w:val="CharSectno"/>
        </w:rPr>
        <w:t>19</w:t>
      </w:r>
      <w:r>
        <w:rPr>
          <w:snapToGrid w:val="0"/>
        </w:rPr>
        <w:t>.</w:t>
      </w:r>
      <w:r>
        <w:rPr>
          <w:snapToGrid w:val="0"/>
        </w:rPr>
        <w:tab/>
        <w:t>Contractual rights of residents</w:t>
      </w:r>
      <w:bookmarkEnd w:id="43"/>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lastRenderedPageBreak/>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No. 55 of 2004 s. 1044.]</w:t>
      </w:r>
    </w:p>
    <w:p>
      <w:pPr>
        <w:pStyle w:val="Heading5"/>
        <w:rPr>
          <w:snapToGrid w:val="0"/>
        </w:rPr>
      </w:pPr>
      <w:bookmarkStart w:id="44" w:name="_Toc131509271"/>
      <w:r>
        <w:rPr>
          <w:rStyle w:val="CharSectno"/>
        </w:rPr>
        <w:t>20</w:t>
      </w:r>
      <w:r>
        <w:rPr>
          <w:snapToGrid w:val="0"/>
        </w:rPr>
        <w:t>.</w:t>
      </w:r>
      <w:r>
        <w:rPr>
          <w:snapToGrid w:val="0"/>
        </w:rPr>
        <w:tab/>
        <w:t>Charges</w:t>
      </w:r>
      <w:bookmarkEnd w:id="4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lastRenderedPageBreak/>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45" w:name="_Toc131509272"/>
      <w:r>
        <w:rPr>
          <w:rStyle w:val="CharSectno"/>
        </w:rPr>
        <w:t>21</w:t>
      </w:r>
      <w:r>
        <w:rPr>
          <w:snapToGrid w:val="0"/>
        </w:rPr>
        <w:t>.</w:t>
      </w:r>
      <w:r>
        <w:rPr>
          <w:snapToGrid w:val="0"/>
        </w:rPr>
        <w:tab/>
        <w:t>Enforcement of charge</w:t>
      </w:r>
      <w:bookmarkEnd w:id="45"/>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lastRenderedPageBreak/>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lastRenderedPageBreak/>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46" w:name="_Toc131509273"/>
      <w:r>
        <w:rPr>
          <w:rStyle w:val="CharSectno"/>
        </w:rPr>
        <w:t>22</w:t>
      </w:r>
      <w:r>
        <w:rPr>
          <w:snapToGrid w:val="0"/>
        </w:rPr>
        <w:t>.</w:t>
      </w:r>
      <w:r>
        <w:rPr>
          <w:snapToGrid w:val="0"/>
        </w:rPr>
        <w:tab/>
        <w:t>Termination of retirement village scheme</w:t>
      </w:r>
      <w:bookmarkEnd w:id="46"/>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5"/>
      </w:pPr>
      <w:bookmarkStart w:id="47" w:name="_Toc131509274"/>
      <w:r>
        <w:rPr>
          <w:rStyle w:val="CharSectno"/>
        </w:rPr>
        <w:t>23</w:t>
      </w:r>
      <w:r>
        <w:t>.</w:t>
      </w:r>
      <w:r>
        <w:tab/>
        <w:t>Recurrent charges payable by former residents</w:t>
      </w:r>
      <w:bookmarkEnd w:id="47"/>
    </w:p>
    <w:p>
      <w:pPr>
        <w:pStyle w:val="Subsection"/>
      </w:pPr>
      <w:r>
        <w:tab/>
        <w:t>(1)</w:t>
      </w:r>
      <w:r>
        <w:tab/>
        <w:t xml:space="preserve">In this section — </w:t>
      </w:r>
    </w:p>
    <w:p>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Community Titles Act 2018</w:t>
      </w:r>
      <w:r>
        <w:t xml:space="preserve"> or the </w:t>
      </w:r>
      <w:r>
        <w:rPr>
          <w:i/>
        </w:rPr>
        <w:t>Strata Titles Act 1985</w:t>
      </w:r>
      <w:r>
        <w:t xml:space="preserve"> in relation to the residential premises in the retirement village that he or she formerly occupied;</w:t>
      </w:r>
    </w:p>
    <w:p>
      <w:pPr>
        <w:pStyle w:val="Defstart"/>
      </w:pPr>
      <w:r>
        <w:tab/>
      </w:r>
      <w:r>
        <w:rPr>
          <w:b/>
          <w:i/>
        </w:rPr>
        <w:t>permanently vacated</w:t>
      </w:r>
      <w:r>
        <w:t xml:space="preserve">, in relation to a former resident and residential premises in a retirement village, means that — </w:t>
      </w:r>
    </w:p>
    <w:p>
      <w:pPr>
        <w:pStyle w:val="Indenta"/>
      </w:pPr>
      <w:r>
        <w:tab/>
        <w:t>(a)</w:t>
      </w:r>
      <w:r>
        <w:tab/>
        <w:t xml:space="preserve">if required by the residence contract — the administering body has been given notice of the former </w:t>
      </w:r>
      <w:r>
        <w:lastRenderedPageBreak/>
        <w:t>resident’s intention to vacate the residential premises; and</w:t>
      </w:r>
    </w:p>
    <w:p>
      <w:pPr>
        <w:pStyle w:val="Indenta"/>
      </w:pPr>
      <w:r>
        <w:tab/>
        <w:t>(b)</w:t>
      </w:r>
      <w:r>
        <w:tab/>
        <w:t>the goods and belongings of the former resident have been removed from the residential premises; and</w:t>
      </w:r>
    </w:p>
    <w:p>
      <w:pPr>
        <w:pStyle w:val="Indenta"/>
      </w:pPr>
      <w:r>
        <w:tab/>
        <w:t>(c)</w:t>
      </w:r>
      <w:r>
        <w:tab/>
        <w:t>the former resident has ceased to reside in the residential premises; and</w:t>
      </w:r>
    </w:p>
    <w:p>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Defstart"/>
      </w:pPr>
      <w:r>
        <w:tab/>
      </w:r>
      <w:r>
        <w:rPr>
          <w:rStyle w:val="CharDefText"/>
        </w:rPr>
        <w:t>recurrent charges</w:t>
      </w:r>
      <w:r>
        <w:t xml:space="preserve">, except in subsection (6), means recurrent charges — </w:t>
      </w:r>
    </w:p>
    <w:p>
      <w:pPr>
        <w:pStyle w:val="Indenta"/>
      </w:pPr>
      <w:r>
        <w:tab/>
        <w:t>(a)</w:t>
      </w:r>
      <w:r>
        <w:tab/>
        <w:t>that are payable in respect of the residential premises in a retirement village that a former resident formerly occupied; and</w:t>
      </w:r>
    </w:p>
    <w:p>
      <w:pPr>
        <w:pStyle w:val="Indenta"/>
      </w:pPr>
      <w:r>
        <w:tab/>
        <w:t>(b)</w:t>
      </w:r>
      <w:r>
        <w:tab/>
        <w:t xml:space="preserve">that arise — </w:t>
      </w:r>
    </w:p>
    <w:p>
      <w:pPr>
        <w:pStyle w:val="Indenti"/>
      </w:pPr>
      <w:r>
        <w:tab/>
        <w:t>(i)</w:t>
      </w:r>
      <w:r>
        <w:tab/>
        <w:t>after those premises have been permanently vacated by the former resident; and</w:t>
      </w:r>
    </w:p>
    <w:p>
      <w:pPr>
        <w:pStyle w:val="Indenti"/>
      </w:pPr>
      <w:r>
        <w:tab/>
        <w:t>(ii)</w:t>
      </w:r>
      <w:r>
        <w:tab/>
        <w:t xml:space="preserve">on or after the commencement of the </w:t>
      </w:r>
      <w:r>
        <w:rPr>
          <w:i/>
          <w:iCs/>
        </w:rPr>
        <w:t xml:space="preserve">Retirement Villages Amendment Act 2012 </w:t>
      </w:r>
      <w:r>
        <w:t>section 11.</w:t>
      </w:r>
    </w:p>
    <w:p>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Subsection"/>
      </w:pPr>
      <w:r>
        <w:tab/>
        <w:t>(3)</w:t>
      </w:r>
      <w:r>
        <w:tab/>
        <w:t xml:space="preserve">Subject to subsection (4), a former resident’s liability to pay recurrent charges — </w:t>
      </w:r>
    </w:p>
    <w:p>
      <w:pPr>
        <w:pStyle w:val="Indenta"/>
      </w:pPr>
      <w:r>
        <w:tab/>
        <w:t>(a)</w:t>
      </w:r>
      <w:r>
        <w:tab/>
        <w:t>begins when the residential premises have been permanently vacated by the former resident; and</w:t>
      </w:r>
    </w:p>
    <w:p>
      <w:pPr>
        <w:pStyle w:val="Indenta"/>
      </w:pPr>
      <w:r>
        <w:tab/>
        <w:t>(b)</w:t>
      </w:r>
      <w:r>
        <w:tab/>
        <w:t>ceases in accordance with the regulations.</w:t>
      </w:r>
    </w:p>
    <w:p>
      <w:pPr>
        <w:pStyle w:val="Subsection"/>
      </w:pPr>
      <w:r>
        <w:tab/>
        <w:t>(4)</w:t>
      </w:r>
      <w:r>
        <w:tab/>
        <w:t xml:space="preserve">If a former resident’s residence contract provides for the former resident’s liability to pay recurrent charges to cease at a time that would occur before the time provided for in regulations </w:t>
      </w:r>
      <w:r>
        <w:lastRenderedPageBreak/>
        <w:t>made for the purposes of subsection (3)(b), that liability ceases in accordance with that contract.</w:t>
      </w:r>
    </w:p>
    <w:p>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Defpara"/>
      </w:pPr>
      <w:r>
        <w:tab/>
        <w:t>(b)</w:t>
      </w:r>
      <w:r>
        <w:tab/>
        <w:t>ceases when a new resident of the residential premises becomes liable to pay the recurrent charges.</w:t>
      </w:r>
    </w:p>
    <w:p>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Penstart"/>
      </w:pPr>
      <w:r>
        <w:tab/>
        <w:t>Penalty: a fine of $20 000.</w:t>
      </w:r>
    </w:p>
    <w:p>
      <w:pPr>
        <w:pStyle w:val="Subsection"/>
      </w:pPr>
      <w:r>
        <w:tab/>
        <w:t>(7)</w:t>
      </w:r>
      <w:r>
        <w:tab/>
        <w:t>Section 6(2) does not have effect in relation to this section.</w:t>
      </w:r>
    </w:p>
    <w:p>
      <w:pPr>
        <w:pStyle w:val="Footnotesection"/>
      </w:pPr>
      <w:r>
        <w:tab/>
        <w:t>[Section 23 inserted: No. 36 of 2012 s. 11; amended: No. 32 of 2018 s. 240.]</w:t>
      </w:r>
    </w:p>
    <w:p>
      <w:pPr>
        <w:pStyle w:val="Heading5"/>
      </w:pPr>
      <w:bookmarkStart w:id="48" w:name="_Toc131509275"/>
      <w:r>
        <w:rPr>
          <w:rStyle w:val="CharSectno"/>
        </w:rPr>
        <w:t>24</w:t>
      </w:r>
      <w:r>
        <w:t>.</w:t>
      </w:r>
      <w:r>
        <w:tab/>
        <w:t>Recurrent charges may be deducted from premium repayable to former resident</w:t>
      </w:r>
      <w:bookmarkEnd w:id="48"/>
    </w:p>
    <w:p>
      <w:pPr>
        <w:pStyle w:val="Subsection"/>
      </w:pPr>
      <w:r>
        <w:tab/>
        <w:t>(1)</w:t>
      </w:r>
      <w:r>
        <w:tab/>
        <w:t xml:space="preserve">In this section — </w:t>
      </w:r>
    </w:p>
    <w:p>
      <w:pPr>
        <w:pStyle w:val="Defstart"/>
      </w:pPr>
      <w:r>
        <w:tab/>
      </w:r>
      <w:r>
        <w:rPr>
          <w:rStyle w:val="CharDefText"/>
        </w:rPr>
        <w:t>former resident</w:t>
      </w:r>
      <w:r>
        <w:t xml:space="preserve"> has the meaning given in section 23(1);</w:t>
      </w:r>
    </w:p>
    <w:p>
      <w:pPr>
        <w:pStyle w:val="Defstart"/>
        <w:keepNext/>
      </w:pPr>
      <w:r>
        <w:tab/>
      </w:r>
      <w:r>
        <w:rPr>
          <w:rStyle w:val="CharDefText"/>
        </w:rPr>
        <w:t>recurrent charges</w:t>
      </w:r>
      <w:r>
        <w:t xml:space="preserve"> means recurrent charges — </w:t>
      </w:r>
    </w:p>
    <w:p>
      <w:pPr>
        <w:pStyle w:val="Defpara"/>
      </w:pPr>
      <w:r>
        <w:tab/>
        <w:t>(a)</w:t>
      </w:r>
      <w:r>
        <w:tab/>
        <w:t>that are payable in respect of the residential premises in a retirement village that a former resident formerly occupied; and</w:t>
      </w:r>
    </w:p>
    <w:p>
      <w:pPr>
        <w:pStyle w:val="Defpara"/>
        <w:keepNext/>
      </w:pPr>
      <w:r>
        <w:lastRenderedPageBreak/>
        <w:tab/>
        <w:t>(b)</w:t>
      </w:r>
      <w:r>
        <w:tab/>
        <w:t xml:space="preserve">that arise — </w:t>
      </w:r>
    </w:p>
    <w:p>
      <w:pPr>
        <w:pStyle w:val="Defsubpara"/>
      </w:pPr>
      <w:r>
        <w:tab/>
        <w:t>(i)</w:t>
      </w:r>
      <w:r>
        <w:tab/>
        <w:t>after those premises have been permanently vacated by the former resident; and</w:t>
      </w:r>
    </w:p>
    <w:p>
      <w:pPr>
        <w:pStyle w:val="Defsubpara"/>
      </w:pPr>
      <w:r>
        <w:tab/>
        <w:t>(ii)</w:t>
      </w:r>
      <w:r>
        <w:tab/>
        <w:t xml:space="preserve">on or after the commencement of the </w:t>
      </w:r>
      <w:r>
        <w:rPr>
          <w:i/>
        </w:rPr>
        <w:t>Retirement Villages Amendment Act 2012</w:t>
      </w:r>
      <w:r>
        <w:t xml:space="preserve"> section 11.</w:t>
      </w:r>
    </w:p>
    <w:p>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Subsection"/>
      </w:pPr>
      <w:r>
        <w:tab/>
        <w:t>(5)</w:t>
      </w:r>
      <w:r>
        <w:tab/>
        <w:t xml:space="preserve">Interest is payable — </w:t>
      </w:r>
    </w:p>
    <w:p>
      <w:pPr>
        <w:pStyle w:val="Indenta"/>
      </w:pPr>
      <w:r>
        <w:tab/>
        <w:t>(a)</w:t>
      </w:r>
      <w:r>
        <w:tab/>
        <w:t>from the time the recurrent charges would, apart from subsection (2), be payable by the former resident until their deduction from the premium repayable to the former resident; and</w:t>
      </w:r>
    </w:p>
    <w:p>
      <w:pPr>
        <w:pStyle w:val="Indenta"/>
        <w:keepNext/>
      </w:pPr>
      <w:r>
        <w:tab/>
        <w:t>(b)</w:t>
      </w:r>
      <w:r>
        <w:tab/>
        <w:t>at the rate determined in the prescribed manner.</w:t>
      </w:r>
    </w:p>
    <w:p>
      <w:pPr>
        <w:pStyle w:val="Subsection"/>
        <w:keepNext/>
      </w:pPr>
      <w:r>
        <w:tab/>
        <w:t>(6)</w:t>
      </w:r>
      <w:r>
        <w:tab/>
        <w:t xml:space="preserve">If — </w:t>
      </w:r>
    </w:p>
    <w:p>
      <w:pPr>
        <w:pStyle w:val="Indenta"/>
      </w:pPr>
      <w:r>
        <w:tab/>
        <w:t>(a)</w:t>
      </w:r>
      <w:r>
        <w:tab/>
        <w:t>the administering body and the former resident agree to a rate of interest that is lower than the rate referred to in subsection (5)(b); or</w:t>
      </w:r>
    </w:p>
    <w:p>
      <w:pPr>
        <w:pStyle w:val="Indenta"/>
      </w:pPr>
      <w:r>
        <w:lastRenderedPageBreak/>
        <w:tab/>
        <w:t>(b)</w:t>
      </w:r>
      <w:r>
        <w:tab/>
        <w:t>the former resident’s residence contract specifies a rate of interest for the purposes of this section that is lower than the rate referred to in subsection (5)(b),</w:t>
      </w:r>
    </w:p>
    <w:p>
      <w:pPr>
        <w:pStyle w:val="Subsection"/>
      </w:pPr>
      <w:r>
        <w:tab/>
      </w:r>
      <w:r>
        <w:tab/>
        <w:t>interest is payable by the former resident at that lower rate.</w:t>
      </w:r>
    </w:p>
    <w:p>
      <w:pPr>
        <w:pStyle w:val="Subsection"/>
      </w:pPr>
      <w:r>
        <w:tab/>
        <w:t>(7)</w:t>
      </w:r>
      <w:r>
        <w:tab/>
        <w:t xml:space="preserve">If the effect of the election under subsection (2) is to defer the payment by a former resident of any recurrent charges, the administering body — </w:t>
      </w:r>
    </w:p>
    <w:p>
      <w:pPr>
        <w:pStyle w:val="Indenta"/>
      </w:pPr>
      <w:r>
        <w:tab/>
        <w:t>(a)</w:t>
      </w:r>
      <w:r>
        <w:tab/>
        <w:t>must pay the recurrent charges at the time when the former resident would have been required to pay those charges apart from subsection (2); and</w:t>
      </w:r>
    </w:p>
    <w:p>
      <w:pPr>
        <w:pStyle w:val="Indenta"/>
      </w:pPr>
      <w:r>
        <w:tab/>
        <w:t>(b)</w:t>
      </w:r>
      <w:r>
        <w:tab/>
        <w:t>may deduct the amount paid from the premium that is repayable to the former resident.</w:t>
      </w:r>
    </w:p>
    <w:p>
      <w:pPr>
        <w:pStyle w:val="Subsection"/>
        <w:spacing w:before="120"/>
      </w:pPr>
      <w:r>
        <w:tab/>
        <w:t>(8)</w:t>
      </w:r>
      <w:r>
        <w:tab/>
        <w:t>A former resident is to be taken to have paid any recurrent charges in respect of which a deduction is made from the premium that is repayable to the former resident.</w:t>
      </w:r>
    </w:p>
    <w:p>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pPr>
        <w:pStyle w:val="Penstart"/>
        <w:spacing w:before="120"/>
      </w:pPr>
      <w:r>
        <w:tab/>
        <w:t>Penalty: a fine of $20 000.</w:t>
      </w:r>
    </w:p>
    <w:p>
      <w:pPr>
        <w:pStyle w:val="Subsection"/>
        <w:spacing w:before="120"/>
      </w:pPr>
      <w:r>
        <w:tab/>
        <w:t>(10)</w:t>
      </w:r>
      <w:r>
        <w:tab/>
        <w:t>Section 6(2) does not have effect in relation to this section.</w:t>
      </w:r>
    </w:p>
    <w:p>
      <w:pPr>
        <w:pStyle w:val="Footnotesection"/>
      </w:pPr>
      <w:r>
        <w:tab/>
        <w:t>[Section 24 inserted: No. 36 of 2012 s. 11.]</w:t>
      </w:r>
    </w:p>
    <w:p>
      <w:pPr>
        <w:pStyle w:val="Heading5"/>
        <w:pageBreakBefore/>
      </w:pPr>
      <w:bookmarkStart w:id="49" w:name="_Toc131509276"/>
      <w:r>
        <w:rPr>
          <w:rStyle w:val="CharSectno"/>
        </w:rPr>
        <w:lastRenderedPageBreak/>
        <w:t>25</w:t>
      </w:r>
      <w:r>
        <w:t>.</w:t>
      </w:r>
      <w:r>
        <w:tab/>
        <w:t>Administering body not to require payment in respect of prescribed matters</w:t>
      </w:r>
      <w:bookmarkEnd w:id="49"/>
    </w:p>
    <w:p>
      <w:pPr>
        <w:pStyle w:val="Subsection"/>
      </w:pPr>
      <w:r>
        <w:tab/>
        <w:t>(1)</w:t>
      </w:r>
      <w:r>
        <w:tab/>
        <w:t>The administering body of a retirement village must not demand or receive payment from a resident or former resident in respect of any matter prescribed for the purposes of this section.</w:t>
      </w:r>
    </w:p>
    <w:p>
      <w:pPr>
        <w:pStyle w:val="Penstart"/>
      </w:pPr>
      <w:r>
        <w:tab/>
        <w:t>Penalty: a fine of $20 000.</w:t>
      </w:r>
    </w:p>
    <w:p>
      <w:pPr>
        <w:pStyle w:val="Subsection"/>
      </w:pPr>
      <w:r>
        <w:tab/>
        <w:t>(2)</w:t>
      </w:r>
      <w:r>
        <w:tab/>
        <w:t>Section 6(2) does not have effect in relation to this section.</w:t>
      </w:r>
    </w:p>
    <w:p>
      <w:pPr>
        <w:pStyle w:val="Footnotesection"/>
      </w:pPr>
      <w:r>
        <w:tab/>
        <w:t>[Section 25 inserted: No. 36 of 2012 s. 11.]</w:t>
      </w:r>
    </w:p>
    <w:p>
      <w:pPr>
        <w:pStyle w:val="Heading2"/>
      </w:pPr>
      <w:bookmarkStart w:id="50" w:name="_Toc75341084"/>
      <w:bookmarkStart w:id="51" w:name="_Toc75341984"/>
      <w:bookmarkStart w:id="52" w:name="_Toc75447481"/>
      <w:bookmarkStart w:id="53" w:name="_Toc131507138"/>
      <w:bookmarkStart w:id="54" w:name="_Toc131507356"/>
      <w:bookmarkStart w:id="55" w:name="_Toc131509277"/>
      <w:r>
        <w:rPr>
          <w:rStyle w:val="CharPartNo"/>
        </w:rPr>
        <w:lastRenderedPageBreak/>
        <w:t>Part 4</w:t>
      </w:r>
      <w:r>
        <w:t> — </w:t>
      </w:r>
      <w:r>
        <w:rPr>
          <w:rStyle w:val="CharPartText"/>
        </w:rPr>
        <w:t>Resolution of disputes</w:t>
      </w:r>
      <w:bookmarkEnd w:id="50"/>
      <w:bookmarkEnd w:id="51"/>
      <w:bookmarkEnd w:id="52"/>
      <w:bookmarkEnd w:id="53"/>
      <w:bookmarkEnd w:id="54"/>
      <w:bookmarkEnd w:id="55"/>
    </w:p>
    <w:p>
      <w:pPr>
        <w:pStyle w:val="Heading3"/>
        <w:spacing w:before="220"/>
        <w:rPr>
          <w:snapToGrid w:val="0"/>
        </w:rPr>
      </w:pPr>
      <w:bookmarkStart w:id="56" w:name="_Toc75341085"/>
      <w:bookmarkStart w:id="57" w:name="_Toc75341985"/>
      <w:bookmarkStart w:id="58" w:name="_Toc75447482"/>
      <w:bookmarkStart w:id="59" w:name="_Toc131507139"/>
      <w:bookmarkStart w:id="60" w:name="_Toc131507357"/>
      <w:bookmarkStart w:id="61" w:name="_Toc131509278"/>
      <w:r>
        <w:rPr>
          <w:rStyle w:val="CharDivNo"/>
        </w:rPr>
        <w:t>Division 1</w:t>
      </w:r>
      <w:r>
        <w:t> — </w:t>
      </w:r>
      <w:r>
        <w:rPr>
          <w:rStyle w:val="CharDivText"/>
        </w:rPr>
        <w:t>General</w:t>
      </w:r>
      <w:bookmarkEnd w:id="56"/>
      <w:bookmarkEnd w:id="57"/>
      <w:bookmarkEnd w:id="58"/>
      <w:bookmarkEnd w:id="59"/>
      <w:bookmarkEnd w:id="60"/>
      <w:bookmarkEnd w:id="61"/>
    </w:p>
    <w:p>
      <w:pPr>
        <w:pStyle w:val="Footnoteheading"/>
        <w:tabs>
          <w:tab w:val="clear" w:pos="879"/>
          <w:tab w:val="left" w:pos="896"/>
        </w:tabs>
      </w:pPr>
      <w:r>
        <w:tab/>
        <w:t>[Heading inserted: No. 55 of 2004 s. 1024.]</w:t>
      </w:r>
    </w:p>
    <w:p>
      <w:pPr>
        <w:pStyle w:val="Ednotesection"/>
      </w:pPr>
      <w:r>
        <w:t>[</w:t>
      </w:r>
      <w:r>
        <w:rPr>
          <w:b/>
        </w:rPr>
        <w:t>26.</w:t>
      </w:r>
      <w:r>
        <w:tab/>
        <w:t>Deleted: No. 55 of 2004 s. 1025.]</w:t>
      </w:r>
    </w:p>
    <w:p>
      <w:pPr>
        <w:pStyle w:val="Ednotedivision"/>
      </w:pPr>
      <w:r>
        <w:t>[Divisions 2 and 3 (s. 27</w:t>
      </w:r>
      <w:r>
        <w:noBreakHyphen/>
        <w:t>37) deleted: No. 55 of 2004 s. 1026.]</w:t>
      </w:r>
    </w:p>
    <w:p>
      <w:pPr>
        <w:pStyle w:val="Ednotedivision"/>
        <w:tabs>
          <w:tab w:val="left" w:pos="896"/>
        </w:tabs>
      </w:pPr>
      <w:r>
        <w:tab/>
        <w:t>[Heading deleted: No. 55 of 2004 s. 1027.]</w:t>
      </w:r>
    </w:p>
    <w:p>
      <w:pPr>
        <w:pStyle w:val="Ednotesection"/>
      </w:pPr>
      <w:r>
        <w:t>[</w:t>
      </w:r>
      <w:r>
        <w:rPr>
          <w:b/>
        </w:rPr>
        <w:t>38</w:t>
      </w:r>
      <w:r>
        <w:rPr>
          <w:b/>
        </w:rPr>
        <w:noBreakHyphen/>
        <w:t>41.</w:t>
      </w:r>
      <w:r>
        <w:tab/>
        <w:t>Deleted: No. 55 of 2004 s. 1028.]</w:t>
      </w:r>
    </w:p>
    <w:p>
      <w:pPr>
        <w:pStyle w:val="Heading5"/>
        <w:rPr>
          <w:snapToGrid w:val="0"/>
        </w:rPr>
      </w:pPr>
      <w:bookmarkStart w:id="62" w:name="_Toc131509279"/>
      <w:r>
        <w:rPr>
          <w:rStyle w:val="CharSectno"/>
        </w:rPr>
        <w:t>42</w:t>
      </w:r>
      <w:r>
        <w:rPr>
          <w:snapToGrid w:val="0"/>
        </w:rPr>
        <w:t>.</w:t>
      </w:r>
      <w:r>
        <w:rPr>
          <w:snapToGrid w:val="0"/>
        </w:rPr>
        <w:tab/>
        <w:t>Use of other means of resolution</w:t>
      </w:r>
      <w:bookmarkEnd w:id="62"/>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No. 55 of 2004 s. 1029.]</w:t>
      </w:r>
    </w:p>
    <w:p>
      <w:pPr>
        <w:pStyle w:val="Ednotesection"/>
      </w:pPr>
      <w:r>
        <w:t>[</w:t>
      </w:r>
      <w:r>
        <w:rPr>
          <w:b/>
        </w:rPr>
        <w:t>43.</w:t>
      </w:r>
      <w:r>
        <w:rPr>
          <w:b/>
        </w:rPr>
        <w:tab/>
      </w:r>
      <w:r>
        <w:t>Deleted: No. 55 of 2004 s. 1030.]</w:t>
      </w:r>
    </w:p>
    <w:p>
      <w:pPr>
        <w:pStyle w:val="Heading5"/>
        <w:rPr>
          <w:snapToGrid w:val="0"/>
        </w:rPr>
      </w:pPr>
      <w:bookmarkStart w:id="63" w:name="_Toc131509280"/>
      <w:r>
        <w:rPr>
          <w:rStyle w:val="CharSectno"/>
        </w:rPr>
        <w:t>44</w:t>
      </w:r>
      <w:r>
        <w:rPr>
          <w:snapToGrid w:val="0"/>
        </w:rPr>
        <w:t>.</w:t>
      </w:r>
      <w:r>
        <w:rPr>
          <w:snapToGrid w:val="0"/>
        </w:rPr>
        <w:tab/>
        <w:t>Extension of time</w:t>
      </w:r>
      <w:bookmarkEnd w:id="6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No. 55 of 2004 s. 1031; No. 8 of 2009 s. 110.]</w:t>
      </w:r>
    </w:p>
    <w:p>
      <w:pPr>
        <w:pStyle w:val="Ednotesection"/>
      </w:pPr>
      <w:r>
        <w:t>[</w:t>
      </w:r>
      <w:r>
        <w:rPr>
          <w:b/>
        </w:rPr>
        <w:t>45</w:t>
      </w:r>
      <w:r>
        <w:rPr>
          <w:b/>
        </w:rPr>
        <w:noBreakHyphen/>
        <w:t>47.</w:t>
      </w:r>
      <w:r>
        <w:tab/>
        <w:t>Deleted: No. 55 of 2004 s. 1032.]</w:t>
      </w:r>
    </w:p>
    <w:p>
      <w:pPr>
        <w:pStyle w:val="Heading5"/>
        <w:rPr>
          <w:snapToGrid w:val="0"/>
          <w:spacing w:val="-4"/>
        </w:rPr>
      </w:pPr>
      <w:bookmarkStart w:id="64" w:name="_Toc131509281"/>
      <w:r>
        <w:rPr>
          <w:rStyle w:val="CharSectno"/>
          <w:spacing w:val="-4"/>
        </w:rPr>
        <w:lastRenderedPageBreak/>
        <w:t>48</w:t>
      </w:r>
      <w:r>
        <w:rPr>
          <w:snapToGrid w:val="0"/>
          <w:spacing w:val="-4"/>
        </w:rPr>
        <w:t>.</w:t>
      </w:r>
      <w:r>
        <w:rPr>
          <w:snapToGrid w:val="0"/>
          <w:spacing w:val="-4"/>
        </w:rPr>
        <w:tab/>
        <w:t>Reference of certain matters concerning administering bodies</w:t>
      </w:r>
      <w:bookmarkEnd w:id="64"/>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No. 55 of 2004 s. 1033 and 1044.]</w:t>
      </w:r>
    </w:p>
    <w:p>
      <w:pPr>
        <w:pStyle w:val="Ednotesection"/>
      </w:pPr>
      <w:r>
        <w:t>[</w:t>
      </w:r>
      <w:r>
        <w:rPr>
          <w:b/>
        </w:rPr>
        <w:t>49</w:t>
      </w:r>
      <w:r>
        <w:rPr>
          <w:b/>
        </w:rPr>
        <w:noBreakHyphen/>
        <w:t>51.</w:t>
      </w:r>
      <w:r>
        <w:tab/>
        <w:t>Deleted: No. 55 of 2004 s. 1034.]</w:t>
      </w:r>
    </w:p>
    <w:p>
      <w:pPr>
        <w:pStyle w:val="Heading3"/>
        <w:spacing w:before="220"/>
      </w:pPr>
      <w:bookmarkStart w:id="65" w:name="_Toc75341089"/>
      <w:bookmarkStart w:id="66" w:name="_Toc75341989"/>
      <w:bookmarkStart w:id="67" w:name="_Toc75447486"/>
      <w:bookmarkStart w:id="68" w:name="_Toc131507143"/>
      <w:bookmarkStart w:id="69" w:name="_Toc131507361"/>
      <w:bookmarkStart w:id="70" w:name="_Toc131509282"/>
      <w:r>
        <w:rPr>
          <w:rStyle w:val="CharDivNo"/>
        </w:rPr>
        <w:t>Division 5</w:t>
      </w:r>
      <w:r>
        <w:rPr>
          <w:snapToGrid w:val="0"/>
        </w:rPr>
        <w:t> — </w:t>
      </w:r>
      <w:r>
        <w:rPr>
          <w:rStyle w:val="CharDivText"/>
        </w:rPr>
        <w:t>Orders by State Administrative Tribunal</w:t>
      </w:r>
      <w:bookmarkEnd w:id="65"/>
      <w:bookmarkEnd w:id="66"/>
      <w:bookmarkEnd w:id="67"/>
      <w:bookmarkEnd w:id="68"/>
      <w:bookmarkEnd w:id="69"/>
      <w:bookmarkEnd w:id="70"/>
    </w:p>
    <w:p>
      <w:pPr>
        <w:pStyle w:val="Footnoteheading"/>
        <w:tabs>
          <w:tab w:val="clear" w:pos="879"/>
          <w:tab w:val="left" w:pos="896"/>
        </w:tabs>
      </w:pPr>
      <w:r>
        <w:tab/>
        <w:t>[Heading amended: No. 55 of 2004 s. 1035.]</w:t>
      </w:r>
    </w:p>
    <w:p>
      <w:pPr>
        <w:pStyle w:val="Heading5"/>
        <w:rPr>
          <w:snapToGrid w:val="0"/>
        </w:rPr>
      </w:pPr>
      <w:bookmarkStart w:id="71" w:name="_Toc131509283"/>
      <w:r>
        <w:rPr>
          <w:rStyle w:val="CharSectno"/>
        </w:rPr>
        <w:t>52</w:t>
      </w:r>
      <w:r>
        <w:rPr>
          <w:snapToGrid w:val="0"/>
        </w:rPr>
        <w:t>.</w:t>
      </w:r>
      <w:r>
        <w:rPr>
          <w:snapToGrid w:val="0"/>
        </w:rPr>
        <w:tab/>
        <w:t>Limits on orders by SAT</w:t>
      </w:r>
      <w:bookmarkEnd w:id="71"/>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Subsection"/>
      </w:pPr>
      <w:r>
        <w:tab/>
        <w:t>(3)</w:t>
      </w:r>
      <w:r>
        <w:tab/>
        <w:t xml:space="preserve">Subsection (1)(b) does not apply to — </w:t>
      </w:r>
    </w:p>
    <w:p>
      <w:pPr>
        <w:pStyle w:val="Indenta"/>
      </w:pPr>
      <w:r>
        <w:tab/>
        <w:t>(a)</w:t>
      </w:r>
      <w:r>
        <w:tab/>
        <w:t>an order made under section 55(3) or 57A(4) or Part 5A; or</w:t>
      </w:r>
    </w:p>
    <w:p>
      <w:pPr>
        <w:pStyle w:val="Indenta"/>
      </w:pPr>
      <w:r>
        <w:tab/>
        <w:t>(b)</w:t>
      </w:r>
      <w:r>
        <w:tab/>
        <w:t>if the order is made in relation to a residence contract — an order made under section 56(4).</w:t>
      </w:r>
    </w:p>
    <w:p>
      <w:pPr>
        <w:pStyle w:val="Footnotesection"/>
      </w:pPr>
      <w:r>
        <w:tab/>
        <w:t>[Section 52 amended: No. 55 of 2004 s. 1044; No. 36 of 2012 s. 12.]</w:t>
      </w:r>
    </w:p>
    <w:p>
      <w:pPr>
        <w:pStyle w:val="Ednotesection"/>
      </w:pPr>
      <w:r>
        <w:t>[</w:t>
      </w:r>
      <w:r>
        <w:rPr>
          <w:b/>
        </w:rPr>
        <w:t>53.</w:t>
      </w:r>
      <w:r>
        <w:rPr>
          <w:b/>
        </w:rPr>
        <w:tab/>
      </w:r>
      <w:r>
        <w:t>Deleted: No. 55 of 2004 s. 1036.]</w:t>
      </w:r>
    </w:p>
    <w:p>
      <w:pPr>
        <w:pStyle w:val="Heading5"/>
        <w:rPr>
          <w:snapToGrid w:val="0"/>
          <w:spacing w:val="-4"/>
        </w:rPr>
      </w:pPr>
      <w:bookmarkStart w:id="72" w:name="_Toc131509284"/>
      <w:r>
        <w:rPr>
          <w:rStyle w:val="CharSectno"/>
          <w:spacing w:val="-4"/>
        </w:rPr>
        <w:lastRenderedPageBreak/>
        <w:t>54</w:t>
      </w:r>
      <w:r>
        <w:rPr>
          <w:snapToGrid w:val="0"/>
          <w:spacing w:val="-4"/>
        </w:rPr>
        <w:t>.</w:t>
      </w:r>
      <w:r>
        <w:rPr>
          <w:snapToGrid w:val="0"/>
          <w:spacing w:val="-4"/>
        </w:rPr>
        <w:tab/>
        <w:t>Jurisdiction where title to land in question</w:t>
      </w:r>
      <w:bookmarkEnd w:id="72"/>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No. 55 of 2004 s. 1044.]</w:t>
      </w:r>
    </w:p>
    <w:p>
      <w:pPr>
        <w:pStyle w:val="Heading5"/>
      </w:pPr>
      <w:bookmarkStart w:id="73" w:name="_Toc131509285"/>
      <w:r>
        <w:rPr>
          <w:rStyle w:val="CharSectno"/>
          <w:spacing w:val="-4"/>
        </w:rPr>
        <w:t>54A</w:t>
      </w:r>
      <w:r>
        <w:t>.</w:t>
      </w:r>
      <w:r>
        <w:tab/>
        <w:t xml:space="preserve">Jurisdiction of Tribunal under </w:t>
      </w:r>
      <w:r>
        <w:rPr>
          <w:i/>
        </w:rPr>
        <w:t>Community Titles Act 2018</w:t>
      </w:r>
      <w:bookmarkEnd w:id="73"/>
    </w:p>
    <w:p>
      <w:pPr>
        <w:pStyle w:val="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Footnotesection"/>
      </w:pPr>
      <w:r>
        <w:tab/>
        <w:t>[Section 54A inserted: No. 32 of 2018 s. 241.]</w:t>
      </w:r>
    </w:p>
    <w:p>
      <w:pPr>
        <w:pStyle w:val="Heading5"/>
      </w:pPr>
      <w:bookmarkStart w:id="74" w:name="_Toc131509286"/>
      <w:r>
        <w:rPr>
          <w:rStyle w:val="CharSectno"/>
        </w:rPr>
        <w:t>54B</w:t>
      </w:r>
      <w:r>
        <w:t>.</w:t>
      </w:r>
      <w:r>
        <w:tab/>
        <w:t xml:space="preserve">Jurisdiction of Tribunal under </w:t>
      </w:r>
      <w:r>
        <w:rPr>
          <w:i/>
        </w:rPr>
        <w:t>Strata Titles Act 1985</w:t>
      </w:r>
      <w:bookmarkEnd w:id="74"/>
    </w:p>
    <w:p>
      <w:pPr>
        <w:pStyle w:val="Subsection"/>
      </w:pPr>
      <w:r>
        <w:tab/>
      </w:r>
      <w:r>
        <w:tab/>
        <w:t xml:space="preserve">Section 54 does not derogate from the jurisdiction of the Tribunal under the </w:t>
      </w:r>
      <w:r>
        <w:rPr>
          <w:i/>
        </w:rPr>
        <w:t xml:space="preserve">Strata Titles Act 1985 </w:t>
      </w:r>
      <w:r>
        <w:t>in respect of a retirement village that is also a strata titles scheme.</w:t>
      </w:r>
    </w:p>
    <w:p>
      <w:pPr>
        <w:pStyle w:val="Footnotesection"/>
      </w:pPr>
      <w:r>
        <w:tab/>
        <w:t>[Section 54B inserted: No. 30 of 2018 s. 184.]</w:t>
      </w:r>
    </w:p>
    <w:p>
      <w:pPr>
        <w:pStyle w:val="Heading5"/>
      </w:pPr>
      <w:bookmarkStart w:id="75" w:name="_Toc131509287"/>
      <w:r>
        <w:rPr>
          <w:rStyle w:val="CharSectno"/>
          <w:spacing w:val="-4"/>
        </w:rPr>
        <w:t>55</w:t>
      </w:r>
      <w:r>
        <w:t>.</w:t>
      </w:r>
      <w:r>
        <w:tab/>
        <w:t>Applications to SAT in relation to residence contracts</w:t>
      </w:r>
      <w:bookmarkEnd w:id="75"/>
    </w:p>
    <w:p>
      <w:pPr>
        <w:pStyle w:val="Subsection"/>
      </w:pPr>
      <w:r>
        <w:tab/>
        <w:t>(1)</w:t>
      </w:r>
      <w:r>
        <w:tab/>
        <w:t xml:space="preserve">If a dispute arises between the parties to a residence contract as to the residence contract’s compliance with a requirement of regulations made for the purposes of section 14A(1) — </w:t>
      </w:r>
    </w:p>
    <w:p>
      <w:pPr>
        <w:pStyle w:val="Indenta"/>
      </w:pPr>
      <w:r>
        <w:tab/>
        <w:t>(a)</w:t>
      </w:r>
      <w:r>
        <w:tab/>
        <w:t>either party to the residence contract; or</w:t>
      </w:r>
    </w:p>
    <w:p>
      <w:pPr>
        <w:pStyle w:val="Indenta"/>
      </w:pPr>
      <w:r>
        <w:tab/>
        <w:t>(b)</w:t>
      </w:r>
      <w:r>
        <w:tab/>
        <w:t>if the dispute has been brought to the attention of the Commissioner — the Commissioner,</w:t>
      </w:r>
    </w:p>
    <w:p>
      <w:pPr>
        <w:pStyle w:val="Subsection"/>
      </w:pPr>
      <w:r>
        <w:tab/>
      </w:r>
      <w:r>
        <w:tab/>
        <w:t>may make an application in relation to the matter to the State Administrative Tribunal.</w:t>
      </w:r>
    </w:p>
    <w:p>
      <w:pPr>
        <w:pStyle w:val="Subsection"/>
        <w:keepNext/>
      </w:pPr>
      <w:r>
        <w:tab/>
        <w:t>(2)</w:t>
      </w:r>
      <w:r>
        <w:tab/>
        <w:t xml:space="preserve">If the State Administrative Tribunal is of the opinion that an order, if made under subsection (3), may be relevant to other </w:t>
      </w:r>
      <w:r>
        <w:lastRenderedPageBreak/>
        <w:t xml:space="preserve">residence contracts (including residence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residence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pPr>
      <w:r>
        <w:tab/>
        <w:t>(3)</w:t>
      </w:r>
      <w:r>
        <w:tab/>
        <w:t xml:space="preserve">The State Administrative Tribunal may, on an application made under this section, order — </w:t>
      </w:r>
    </w:p>
    <w:p>
      <w:pPr>
        <w:pStyle w:val="Indenta"/>
      </w:pPr>
      <w:r>
        <w:tab/>
        <w:t>(a)</w:t>
      </w:r>
      <w:r>
        <w:tab/>
        <w:t>the variation or cancellation of any of the terms of the residence contract, as specified in the order;</w:t>
      </w:r>
    </w:p>
    <w:p>
      <w:pPr>
        <w:pStyle w:val="Indenta"/>
      </w:pPr>
      <w:r>
        <w:tab/>
        <w:t>(b)</w:t>
      </w:r>
      <w:r>
        <w:tab/>
        <w:t>specific performance of the residence contract;</w:t>
      </w:r>
    </w:p>
    <w:p>
      <w:pPr>
        <w:pStyle w:val="Indenta"/>
      </w:pPr>
      <w:r>
        <w:tab/>
        <w:t>(c)</w:t>
      </w:r>
      <w:r>
        <w:tab/>
        <w:t>the payment of a sum of money,</w:t>
      </w:r>
    </w:p>
    <w:p>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pPr>
        <w:pStyle w:val="Subsection"/>
      </w:pPr>
      <w:r>
        <w:tab/>
        <w:t>(4)</w:t>
      </w:r>
      <w:r>
        <w:tab/>
        <w:t xml:space="preserve">Subsection (2) does not limit the </w:t>
      </w:r>
      <w:r>
        <w:rPr>
          <w:i/>
        </w:rPr>
        <w:t>State Administrative Tribunal Act 2004</w:t>
      </w:r>
      <w:r>
        <w:t xml:space="preserve"> section 35 or 38.</w:t>
      </w:r>
    </w:p>
    <w:p>
      <w:pPr>
        <w:pStyle w:val="Footnotesection"/>
      </w:pPr>
      <w:r>
        <w:tab/>
        <w:t>[Section 55 inserted: No. 36 of 2012 s. 13.]</w:t>
      </w:r>
    </w:p>
    <w:p>
      <w:pPr>
        <w:pStyle w:val="Heading5"/>
        <w:rPr>
          <w:snapToGrid w:val="0"/>
        </w:rPr>
      </w:pPr>
      <w:bookmarkStart w:id="76" w:name="_Toc131509288"/>
      <w:r>
        <w:rPr>
          <w:rStyle w:val="CharSectno"/>
        </w:rPr>
        <w:t>56</w:t>
      </w:r>
      <w:r>
        <w:rPr>
          <w:snapToGrid w:val="0"/>
        </w:rPr>
        <w:t>.</w:t>
      </w:r>
      <w:r>
        <w:rPr>
          <w:snapToGrid w:val="0"/>
        </w:rPr>
        <w:tab/>
        <w:t>Disputes in relation to service contracts</w:t>
      </w:r>
      <w:bookmarkEnd w:id="76"/>
    </w:p>
    <w:p>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Subsection"/>
        <w:keepNext/>
        <w:rPr>
          <w:snapToGrid w:val="0"/>
        </w:rPr>
      </w:pPr>
      <w:r>
        <w:rPr>
          <w:snapToGrid w:val="0"/>
        </w:rPr>
        <w:lastRenderedPageBreak/>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keepNext/>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service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rPr>
          <w:snapToGrid w:val="0"/>
        </w:rPr>
      </w:pPr>
      <w:r>
        <w:rPr>
          <w:snapToGrid w:val="0"/>
        </w:rPr>
        <w:tab/>
        <w:t>(4)</w:t>
      </w:r>
      <w:r>
        <w:rPr>
          <w:snapToGrid w:val="0"/>
        </w:rPr>
        <w:tab/>
        <w:t>The State Administrative Tribunal may upon application made under this section order —</w:t>
      </w:r>
    </w:p>
    <w:p>
      <w:pPr>
        <w:pStyle w:val="Indenta"/>
      </w:pPr>
      <w:r>
        <w:tab/>
        <w:t>(aa)</w:t>
      </w:r>
      <w:r>
        <w:tab/>
        <w:t>the variation or cancellation of any of the terms of the service contract, as specified in the order;</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Subsection"/>
      </w:pPr>
      <w:r>
        <w:tab/>
        <w:t>(5)</w:t>
      </w:r>
      <w:r>
        <w:tab/>
        <w:t xml:space="preserve">Subsection (3) does not limit the </w:t>
      </w:r>
      <w:r>
        <w:rPr>
          <w:i/>
        </w:rPr>
        <w:t>State Administrative Tribunal Act 2004</w:t>
      </w:r>
      <w:r>
        <w:t xml:space="preserve"> section 35 or 38.</w:t>
      </w:r>
    </w:p>
    <w:p>
      <w:pPr>
        <w:pStyle w:val="Footnotesection"/>
      </w:pPr>
      <w:r>
        <w:lastRenderedPageBreak/>
        <w:tab/>
        <w:t>[Section 56 amended: No. 55 of 2004 s. 1037 and 1044; No. 36 of 2012 s. 14.]</w:t>
      </w:r>
    </w:p>
    <w:p>
      <w:pPr>
        <w:pStyle w:val="Heading5"/>
      </w:pPr>
      <w:bookmarkStart w:id="77" w:name="_Toc131509289"/>
      <w:r>
        <w:rPr>
          <w:rStyle w:val="CharSectno"/>
          <w:spacing w:val="-4"/>
        </w:rPr>
        <w:t>57A</w:t>
      </w:r>
      <w:r>
        <w:t>.</w:t>
      </w:r>
      <w:r>
        <w:tab/>
        <w:t>Disputes in relation to recurrent charges or levy payable by residents</w:t>
      </w:r>
      <w:bookmarkEnd w:id="77"/>
    </w:p>
    <w:p>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pPr>
        <w:pStyle w:val="Subsection"/>
      </w:pPr>
      <w:r>
        <w:tab/>
        <w:t>(2)</w:t>
      </w:r>
      <w:r>
        <w:tab/>
        <w:t>If the residents pass a special resolution that authorises the application to be made, the residents may make an application in relation to the matter in dispute to the State Administrative Tribunal.</w:t>
      </w:r>
    </w:p>
    <w:p>
      <w:pPr>
        <w:pStyle w:val="Subsection"/>
      </w:pPr>
      <w:r>
        <w:tab/>
        <w:t>(3)</w:t>
      </w:r>
      <w:r>
        <w:tab/>
        <w:t xml:space="preserve">In subsection (2) — </w:t>
      </w:r>
    </w:p>
    <w:p>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Subsection"/>
      </w:pPr>
      <w:r>
        <w:tab/>
        <w:t>(4)</w:t>
      </w:r>
      <w:r>
        <w:tab/>
        <w:t>The State Administrative Tribunal may, on an application made under this section, make such orders as the State Administrative Tribunal considers appropriate.</w:t>
      </w:r>
    </w:p>
    <w:p>
      <w:pPr>
        <w:pStyle w:val="Subsection"/>
      </w:pPr>
      <w:r>
        <w:tab/>
        <w:t>(5)</w:t>
      </w:r>
      <w:r>
        <w:tab/>
        <w:t>Nothing in this section limits the matters in relation to which an application may be made under section 56.</w:t>
      </w:r>
    </w:p>
    <w:p>
      <w:pPr>
        <w:pStyle w:val="Subsection"/>
      </w:pPr>
      <w:r>
        <w:tab/>
        <w:t>(6)</w:t>
      </w:r>
      <w:r>
        <w:tab/>
        <w:t>Section 6(2) does not have effect in relation to this section.</w:t>
      </w:r>
    </w:p>
    <w:p>
      <w:pPr>
        <w:pStyle w:val="Footnotesection"/>
      </w:pPr>
      <w:r>
        <w:tab/>
        <w:t>[Section 57A inserted: No. 36 of 2012 s. 15.]</w:t>
      </w:r>
    </w:p>
    <w:p>
      <w:pPr>
        <w:pStyle w:val="Heading5"/>
        <w:rPr>
          <w:snapToGrid w:val="0"/>
        </w:rPr>
      </w:pPr>
      <w:bookmarkStart w:id="78" w:name="_Toc131509290"/>
      <w:r>
        <w:rPr>
          <w:rStyle w:val="CharSectno"/>
        </w:rPr>
        <w:t>57</w:t>
      </w:r>
      <w:r>
        <w:rPr>
          <w:snapToGrid w:val="0"/>
        </w:rPr>
        <w:t>.</w:t>
      </w:r>
      <w:r>
        <w:rPr>
          <w:snapToGrid w:val="0"/>
        </w:rPr>
        <w:tab/>
        <w:t>Applications relating to transfer of residents</w:t>
      </w:r>
      <w:bookmarkEnd w:id="78"/>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lastRenderedPageBreak/>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lastRenderedPageBreak/>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No. 55 of 2004 s. 1044; No. 28 of 2006 s. 143.]</w:t>
      </w:r>
    </w:p>
    <w:p>
      <w:pPr>
        <w:pStyle w:val="Heading5"/>
        <w:rPr>
          <w:snapToGrid w:val="0"/>
        </w:rPr>
      </w:pPr>
      <w:bookmarkStart w:id="79" w:name="_Toc131509291"/>
      <w:r>
        <w:rPr>
          <w:rStyle w:val="CharSectno"/>
        </w:rPr>
        <w:t>58</w:t>
      </w:r>
      <w:r>
        <w:rPr>
          <w:snapToGrid w:val="0"/>
        </w:rPr>
        <w:t>.</w:t>
      </w:r>
      <w:r>
        <w:rPr>
          <w:snapToGrid w:val="0"/>
        </w:rPr>
        <w:tab/>
        <w:t>Termination of occupation on medical grounds</w:t>
      </w:r>
      <w:bookmarkEnd w:id="7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lastRenderedPageBreak/>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No. 55 of 2004 s. 1044; No. 28 of 2006 s. 143.]</w:t>
      </w:r>
    </w:p>
    <w:p>
      <w:pPr>
        <w:pStyle w:val="Heading5"/>
        <w:rPr>
          <w:snapToGrid w:val="0"/>
        </w:rPr>
      </w:pPr>
      <w:bookmarkStart w:id="80" w:name="_Toc131509292"/>
      <w:r>
        <w:rPr>
          <w:rStyle w:val="CharSectno"/>
        </w:rPr>
        <w:t>59</w:t>
      </w:r>
      <w:r>
        <w:rPr>
          <w:snapToGrid w:val="0"/>
        </w:rPr>
        <w:t>.</w:t>
      </w:r>
      <w:r>
        <w:rPr>
          <w:snapToGrid w:val="0"/>
        </w:rPr>
        <w:tab/>
        <w:t>Termination of occupation on grounds of breach of residence contract or rules</w:t>
      </w:r>
      <w:bookmarkEnd w:id="80"/>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 xml:space="preserve">any procedures specified under any applicable code or the residence contract for giving notice of intention to </w:t>
      </w:r>
      <w:r>
        <w:rPr>
          <w:snapToGrid w:val="0"/>
        </w:rPr>
        <w:lastRenderedPageBreak/>
        <w:t>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No. 55 of 2004 s. 1044.]</w:t>
      </w:r>
    </w:p>
    <w:p>
      <w:pPr>
        <w:pStyle w:val="Heading5"/>
        <w:spacing w:before="200"/>
        <w:rPr>
          <w:snapToGrid w:val="0"/>
        </w:rPr>
      </w:pPr>
      <w:bookmarkStart w:id="81" w:name="_Toc131509293"/>
      <w:r>
        <w:rPr>
          <w:rStyle w:val="CharSectno"/>
        </w:rPr>
        <w:t>60</w:t>
      </w:r>
      <w:r>
        <w:rPr>
          <w:snapToGrid w:val="0"/>
        </w:rPr>
        <w:t>.</w:t>
      </w:r>
      <w:r>
        <w:rPr>
          <w:snapToGrid w:val="0"/>
        </w:rPr>
        <w:tab/>
        <w:t>Parties to minimise loss from breach of residence contract</w:t>
      </w:r>
      <w:bookmarkEnd w:id="81"/>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82" w:name="_Toc131509294"/>
      <w:r>
        <w:rPr>
          <w:rStyle w:val="CharSectno"/>
        </w:rPr>
        <w:lastRenderedPageBreak/>
        <w:t>61</w:t>
      </w:r>
      <w:r>
        <w:rPr>
          <w:snapToGrid w:val="0"/>
        </w:rPr>
        <w:t>.</w:t>
      </w:r>
      <w:r>
        <w:rPr>
          <w:snapToGrid w:val="0"/>
        </w:rPr>
        <w:tab/>
        <w:t>SAT may waive defect in notice of intention to terminate</w:t>
      </w:r>
      <w:bookmarkEnd w:id="82"/>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No. 55 of 2004 s. 1044.]</w:t>
      </w:r>
    </w:p>
    <w:p>
      <w:pPr>
        <w:pStyle w:val="Heading5"/>
        <w:rPr>
          <w:snapToGrid w:val="0"/>
        </w:rPr>
      </w:pPr>
      <w:bookmarkStart w:id="83" w:name="_Toc131509295"/>
      <w:r>
        <w:rPr>
          <w:rStyle w:val="CharSectno"/>
        </w:rPr>
        <w:t>62</w:t>
      </w:r>
      <w:r>
        <w:rPr>
          <w:snapToGrid w:val="0"/>
        </w:rPr>
        <w:t>.</w:t>
      </w:r>
      <w:r>
        <w:rPr>
          <w:snapToGrid w:val="0"/>
        </w:rPr>
        <w:tab/>
        <w:t>SAT may terminate residence contract where resident causes serious damage or injury</w:t>
      </w:r>
      <w:bookmarkEnd w:id="8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lastRenderedPageBreak/>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No. 55 of 2004 s. 1044.]</w:t>
      </w:r>
    </w:p>
    <w:p>
      <w:pPr>
        <w:pStyle w:val="Heading5"/>
        <w:rPr>
          <w:snapToGrid w:val="0"/>
        </w:rPr>
      </w:pPr>
      <w:bookmarkStart w:id="84" w:name="_Toc131509296"/>
      <w:r>
        <w:rPr>
          <w:rStyle w:val="CharSectno"/>
        </w:rPr>
        <w:t>63</w:t>
      </w:r>
      <w:r>
        <w:rPr>
          <w:snapToGrid w:val="0"/>
        </w:rPr>
        <w:t>.</w:t>
      </w:r>
      <w:r>
        <w:rPr>
          <w:snapToGrid w:val="0"/>
        </w:rPr>
        <w:tab/>
        <w:t>SAT may terminate residence contract where administering body would otherwise suffer undue hardship</w:t>
      </w:r>
      <w:bookmarkEnd w:id="84"/>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No. 55 of 2004 s. 1044.]</w:t>
      </w:r>
    </w:p>
    <w:p>
      <w:pPr>
        <w:pStyle w:val="Heading5"/>
        <w:rPr>
          <w:snapToGrid w:val="0"/>
        </w:rPr>
      </w:pPr>
      <w:bookmarkStart w:id="85" w:name="_Toc131509297"/>
      <w:r>
        <w:rPr>
          <w:rStyle w:val="CharSectno"/>
        </w:rPr>
        <w:t>64</w:t>
      </w:r>
      <w:r>
        <w:rPr>
          <w:snapToGrid w:val="0"/>
        </w:rPr>
        <w:t>.</w:t>
      </w:r>
      <w:r>
        <w:rPr>
          <w:snapToGrid w:val="0"/>
        </w:rPr>
        <w:tab/>
        <w:t>Suspension or refusal of orders to terminate</w:t>
      </w:r>
      <w:bookmarkEnd w:id="85"/>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lastRenderedPageBreak/>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No. 55 of 2004 s. 1044.]</w:t>
      </w:r>
    </w:p>
    <w:p>
      <w:pPr>
        <w:pStyle w:val="Heading5"/>
        <w:rPr>
          <w:snapToGrid w:val="0"/>
        </w:rPr>
      </w:pPr>
      <w:bookmarkStart w:id="86" w:name="_Toc131509298"/>
      <w:r>
        <w:rPr>
          <w:rStyle w:val="CharSectno"/>
        </w:rPr>
        <w:t>65</w:t>
      </w:r>
      <w:r>
        <w:rPr>
          <w:snapToGrid w:val="0"/>
        </w:rPr>
        <w:t>.</w:t>
      </w:r>
      <w:r>
        <w:rPr>
          <w:snapToGrid w:val="0"/>
        </w:rPr>
        <w:tab/>
        <w:t>Prohibition on certain recovery proceedings in courts etc.</w:t>
      </w:r>
      <w:bookmarkEnd w:id="86"/>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87" w:name="_Toc131509299"/>
      <w:r>
        <w:rPr>
          <w:rStyle w:val="CharSectno"/>
        </w:rPr>
        <w:lastRenderedPageBreak/>
        <w:t>66</w:t>
      </w:r>
      <w:r>
        <w:rPr>
          <w:snapToGrid w:val="0"/>
        </w:rPr>
        <w:t>.</w:t>
      </w:r>
      <w:r>
        <w:rPr>
          <w:snapToGrid w:val="0"/>
        </w:rPr>
        <w:tab/>
        <w:t>Recovery of possession of premises prohibited except by order</w:t>
      </w:r>
      <w:bookmarkEnd w:id="87"/>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No. 55 of 2004 s. 1044.]</w:t>
      </w:r>
    </w:p>
    <w:p>
      <w:pPr>
        <w:pStyle w:val="Heading5"/>
        <w:rPr>
          <w:snapToGrid w:val="0"/>
        </w:rPr>
      </w:pPr>
      <w:bookmarkStart w:id="88" w:name="_Toc131509300"/>
      <w:r>
        <w:rPr>
          <w:rStyle w:val="CharSectno"/>
        </w:rPr>
        <w:t>67</w:t>
      </w:r>
      <w:r>
        <w:rPr>
          <w:snapToGrid w:val="0"/>
        </w:rPr>
        <w:t>.</w:t>
      </w:r>
      <w:r>
        <w:rPr>
          <w:snapToGrid w:val="0"/>
        </w:rPr>
        <w:tab/>
        <w:t>Liability of resident remaining in possession</w:t>
      </w:r>
      <w:bookmarkEnd w:id="8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No. 55 of 2004 s. 1044.]</w:t>
      </w:r>
    </w:p>
    <w:p>
      <w:pPr>
        <w:pStyle w:val="Heading5"/>
        <w:rPr>
          <w:snapToGrid w:val="0"/>
        </w:rPr>
      </w:pPr>
      <w:bookmarkStart w:id="89" w:name="_Toc131509301"/>
      <w:r>
        <w:rPr>
          <w:rStyle w:val="CharSectno"/>
        </w:rPr>
        <w:lastRenderedPageBreak/>
        <w:t>68</w:t>
      </w:r>
      <w:r>
        <w:rPr>
          <w:snapToGrid w:val="0"/>
        </w:rPr>
        <w:t>.</w:t>
      </w:r>
      <w:r>
        <w:rPr>
          <w:snapToGrid w:val="0"/>
        </w:rPr>
        <w:tab/>
        <w:t>Abandoned premises</w:t>
      </w:r>
      <w:bookmarkEnd w:id="89"/>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No. 55 of 2004 s. 1044.]</w:t>
      </w:r>
    </w:p>
    <w:p>
      <w:pPr>
        <w:pStyle w:val="Heading5"/>
        <w:rPr>
          <w:snapToGrid w:val="0"/>
        </w:rPr>
      </w:pPr>
      <w:bookmarkStart w:id="90" w:name="_Toc131509302"/>
      <w:r>
        <w:rPr>
          <w:rStyle w:val="CharSectno"/>
        </w:rPr>
        <w:t>69</w:t>
      </w:r>
      <w:r>
        <w:rPr>
          <w:snapToGrid w:val="0"/>
        </w:rPr>
        <w:t>.</w:t>
      </w:r>
      <w:r>
        <w:rPr>
          <w:snapToGrid w:val="0"/>
        </w:rPr>
        <w:tab/>
        <w:t>Right of administering body to compensation where resident abandons premises</w:t>
      </w:r>
      <w:bookmarkEnd w:id="90"/>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No. 55 of 2004 s. 1044.]</w:t>
      </w:r>
    </w:p>
    <w:p>
      <w:pPr>
        <w:pStyle w:val="Heading5"/>
        <w:rPr>
          <w:snapToGrid w:val="0"/>
        </w:rPr>
      </w:pPr>
      <w:bookmarkStart w:id="91" w:name="_Toc131509303"/>
      <w:r>
        <w:rPr>
          <w:rStyle w:val="CharSectno"/>
        </w:rPr>
        <w:t>70</w:t>
      </w:r>
      <w:r>
        <w:rPr>
          <w:snapToGrid w:val="0"/>
        </w:rPr>
        <w:t>.</w:t>
      </w:r>
      <w:r>
        <w:rPr>
          <w:snapToGrid w:val="0"/>
        </w:rPr>
        <w:tab/>
        <w:t>Goods abandoned by resident after residence contract is terminated</w:t>
      </w:r>
      <w:bookmarkEnd w:id="91"/>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lastRenderedPageBreak/>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keepNext/>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No. 55 of 2004 s. 1044.]</w:t>
      </w:r>
    </w:p>
    <w:p>
      <w:pPr>
        <w:pStyle w:val="Ednotesection"/>
      </w:pPr>
      <w:r>
        <w:t>[</w:t>
      </w:r>
      <w:r>
        <w:rPr>
          <w:b/>
        </w:rPr>
        <w:t>71</w:t>
      </w:r>
      <w:r>
        <w:rPr>
          <w:b/>
        </w:rPr>
        <w:noBreakHyphen/>
        <w:t>73.</w:t>
      </w:r>
      <w:r>
        <w:tab/>
        <w:t>Deleted: No. 55 of 2004 s. 1038.]</w:t>
      </w:r>
    </w:p>
    <w:p>
      <w:pPr>
        <w:pStyle w:val="Heading5"/>
        <w:rPr>
          <w:snapToGrid w:val="0"/>
        </w:rPr>
      </w:pPr>
      <w:bookmarkStart w:id="92" w:name="_Toc131509304"/>
      <w:r>
        <w:rPr>
          <w:rStyle w:val="CharSectno"/>
        </w:rPr>
        <w:t>74</w:t>
      </w:r>
      <w:r>
        <w:rPr>
          <w:snapToGrid w:val="0"/>
        </w:rPr>
        <w:t>.</w:t>
      </w:r>
      <w:r>
        <w:rPr>
          <w:snapToGrid w:val="0"/>
        </w:rPr>
        <w:tab/>
        <w:t>Protection</w:t>
      </w:r>
      <w:bookmarkEnd w:id="92"/>
    </w:p>
    <w:p>
      <w:pPr>
        <w:pStyle w:val="Subsection"/>
        <w:rPr>
          <w:snapToGrid w:val="0"/>
        </w:rPr>
      </w:pPr>
      <w:r>
        <w:rPr>
          <w:snapToGrid w:val="0"/>
        </w:rPr>
        <w:tab/>
      </w:r>
      <w:r>
        <w:rPr>
          <w:snapToGrid w:val="0"/>
        </w:rPr>
        <w:tab/>
        <w:t xml:space="preserve">No liability attaches to a member of a committee convened under a code to hear and mediate disputes within a retirement village, any such committee, or any other person for any act or omission by him or her or on his or her part or by any such </w:t>
      </w:r>
      <w:r>
        <w:rPr>
          <w:snapToGrid w:val="0"/>
        </w:rPr>
        <w:lastRenderedPageBreak/>
        <w:t>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No. 55 of 2004 s. 1039.]</w:t>
      </w:r>
    </w:p>
    <w:p>
      <w:pPr>
        <w:pStyle w:val="Heading2"/>
      </w:pPr>
      <w:bookmarkStart w:id="93" w:name="_Toc75341111"/>
      <w:bookmarkStart w:id="94" w:name="_Toc75342012"/>
      <w:bookmarkStart w:id="95" w:name="_Toc75447509"/>
      <w:bookmarkStart w:id="96" w:name="_Toc131507166"/>
      <w:bookmarkStart w:id="97" w:name="_Toc131507384"/>
      <w:bookmarkStart w:id="98" w:name="_Toc131509305"/>
      <w:r>
        <w:rPr>
          <w:rStyle w:val="CharPartNo"/>
        </w:rPr>
        <w:lastRenderedPageBreak/>
        <w:t>Part 5A</w:t>
      </w:r>
      <w:r>
        <w:rPr>
          <w:rStyle w:val="CharDivNo"/>
        </w:rPr>
        <w:t> </w:t>
      </w:r>
      <w:r>
        <w:t>—</w:t>
      </w:r>
      <w:r>
        <w:rPr>
          <w:rStyle w:val="CharDivText"/>
        </w:rPr>
        <w:t> </w:t>
      </w:r>
      <w:r>
        <w:rPr>
          <w:rStyle w:val="CharPartText"/>
        </w:rPr>
        <w:t>Statutory manager</w:t>
      </w:r>
      <w:bookmarkEnd w:id="93"/>
      <w:bookmarkEnd w:id="94"/>
      <w:bookmarkEnd w:id="95"/>
      <w:bookmarkEnd w:id="96"/>
      <w:bookmarkEnd w:id="97"/>
      <w:bookmarkEnd w:id="98"/>
    </w:p>
    <w:p>
      <w:pPr>
        <w:pStyle w:val="Footnoteheading"/>
      </w:pPr>
      <w:r>
        <w:tab/>
        <w:t>[Heading inserted: No. 36 of 2012 s. 16.]</w:t>
      </w:r>
    </w:p>
    <w:p>
      <w:pPr>
        <w:pStyle w:val="Heading5"/>
      </w:pPr>
      <w:bookmarkStart w:id="99" w:name="_Toc131509306"/>
      <w:r>
        <w:rPr>
          <w:rStyle w:val="CharSectno"/>
        </w:rPr>
        <w:t>75A</w:t>
      </w:r>
      <w:r>
        <w:t>.</w:t>
      </w:r>
      <w:r>
        <w:tab/>
        <w:t>Terms used</w:t>
      </w:r>
      <w:bookmarkEnd w:id="99"/>
    </w:p>
    <w:p>
      <w:pPr>
        <w:pStyle w:val="Subsection"/>
        <w:spacing w:before="120"/>
      </w:pPr>
      <w:r>
        <w:tab/>
      </w:r>
      <w:r>
        <w:tab/>
        <w:t xml:space="preserve">In this Part — </w:t>
      </w:r>
    </w:p>
    <w:p>
      <w:pPr>
        <w:pStyle w:val="Defstart"/>
        <w:spacing w:before="60"/>
      </w:pPr>
      <w:r>
        <w:tab/>
      </w:r>
      <w:r>
        <w:rPr>
          <w:rStyle w:val="CharDefText"/>
        </w:rPr>
        <w:t>assets</w:t>
      </w:r>
      <w:r>
        <w:t xml:space="preserve">, of the administering body of a retirement village, means — </w:t>
      </w:r>
    </w:p>
    <w:p>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pPr>
        <w:pStyle w:val="Defstart"/>
        <w:spacing w:before="60"/>
      </w:pPr>
      <w:r>
        <w:tab/>
      </w:r>
      <w:r>
        <w:rPr>
          <w:rStyle w:val="CharDefText"/>
        </w:rPr>
        <w:t>statutory manager</w:t>
      </w:r>
      <w:r>
        <w:t xml:space="preserve"> means a person appointed under section 75B.</w:t>
      </w:r>
    </w:p>
    <w:p>
      <w:pPr>
        <w:pStyle w:val="Footnotesection"/>
      </w:pPr>
      <w:r>
        <w:tab/>
        <w:t>[Section 75A inserted: No. 36 of 2012 s. 16.]</w:t>
      </w:r>
    </w:p>
    <w:p>
      <w:pPr>
        <w:pStyle w:val="Heading5"/>
      </w:pPr>
      <w:bookmarkStart w:id="100" w:name="_Toc131509307"/>
      <w:r>
        <w:rPr>
          <w:rStyle w:val="CharSectno"/>
        </w:rPr>
        <w:lastRenderedPageBreak/>
        <w:t>75B</w:t>
      </w:r>
      <w:r>
        <w:t>.</w:t>
      </w:r>
      <w:r>
        <w:tab/>
        <w:t>SAT may appoint statutory manager on application of Commissioner</w:t>
      </w:r>
      <w:bookmarkEnd w:id="100"/>
    </w:p>
    <w:p>
      <w:pPr>
        <w:pStyle w:val="Subsection"/>
        <w:keepNext/>
        <w:spacing w:before="120"/>
      </w:pPr>
      <w:r>
        <w:tab/>
        <w:t>(1)</w:t>
      </w:r>
      <w:r>
        <w:tab/>
        <w:t xml:space="preserve">The State Administrative Tribunal may, on application by the Commissioner under this section, make an order appointing one or more persons specified in the application to perform — </w:t>
      </w:r>
    </w:p>
    <w:p>
      <w:pPr>
        <w:pStyle w:val="Indenta"/>
        <w:spacing w:before="60"/>
      </w:pPr>
      <w:r>
        <w:tab/>
        <w:t>(a)</w:t>
      </w:r>
      <w:r>
        <w:tab/>
        <w:t>all the functions of the administering body of a retirement village; or</w:t>
      </w:r>
    </w:p>
    <w:p>
      <w:pPr>
        <w:pStyle w:val="Indenta"/>
      </w:pPr>
      <w:r>
        <w:tab/>
        <w:t>(b)</w:t>
      </w:r>
      <w:r>
        <w:tab/>
        <w:t>specified functions of the administering body of a retirement village; or</w:t>
      </w:r>
    </w:p>
    <w:p>
      <w:pPr>
        <w:pStyle w:val="Indenta"/>
      </w:pPr>
      <w:r>
        <w:tab/>
        <w:t>(c)</w:t>
      </w:r>
      <w:r>
        <w:tab/>
        <w:t>all the functions other than specified functions of the administering body of a retirement village,</w:t>
      </w:r>
    </w:p>
    <w:p>
      <w:pPr>
        <w:pStyle w:val="Subsection"/>
      </w:pPr>
      <w:r>
        <w:tab/>
      </w:r>
      <w:r>
        <w:tab/>
        <w:t>and may make such other orders as the State Administrative Tribunal thinks fit.</w:t>
      </w:r>
    </w:p>
    <w:p>
      <w:pPr>
        <w:pStyle w:val="Subsection"/>
      </w:pPr>
      <w:r>
        <w:tab/>
        <w:t>(2)</w:t>
      </w:r>
      <w:r>
        <w:tab/>
        <w:t xml:space="preserve">An application under this section is to be accompanied by — </w:t>
      </w:r>
    </w:p>
    <w:p>
      <w:pPr>
        <w:pStyle w:val="Indenta"/>
      </w:pPr>
      <w:r>
        <w:tab/>
        <w:t>(a)</w:t>
      </w:r>
      <w:r>
        <w:tab/>
        <w:t>a copy of the consent given under section 75C(1) by each person to be appointed; and</w:t>
      </w:r>
    </w:p>
    <w:p>
      <w:pPr>
        <w:pStyle w:val="Indenta"/>
      </w:pPr>
      <w:r>
        <w:tab/>
        <w:t>(b)</w:t>
      </w:r>
      <w:r>
        <w:tab/>
        <w:t>the Commissioner’s recommendations as to the statutory manager’s terms and conditions to be dealt with in the order under section 75E.</w:t>
      </w:r>
    </w:p>
    <w:p>
      <w:pPr>
        <w:pStyle w:val="Subsection"/>
      </w:pPr>
      <w:r>
        <w:tab/>
        <w:t>(3)</w:t>
      </w:r>
      <w:r>
        <w:tab/>
        <w:t>The Commissioner must give a copy of the application to the administering body.</w:t>
      </w:r>
    </w:p>
    <w:p>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Subsection"/>
      </w:pPr>
      <w:r>
        <w:tab/>
        <w:t>(5)</w:t>
      </w:r>
      <w:r>
        <w:tab/>
        <w:t xml:space="preserve">The State Administrative Tribunal may make an order appointing a statutory manager only if the State Administrative Tribunal is satisfied that — </w:t>
      </w:r>
    </w:p>
    <w:p>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Indenta"/>
      </w:pPr>
      <w:r>
        <w:lastRenderedPageBreak/>
        <w:tab/>
        <w:t>(b)</w:t>
      </w:r>
      <w:r>
        <w:tab/>
        <w:t>the administering body has contravened, or is contravening, an order made by the State Administrative Tribunal or a court in relation to the administering body or the retirement village; or</w:t>
      </w:r>
    </w:p>
    <w:p>
      <w:pPr>
        <w:pStyle w:val="Indenta"/>
      </w:pPr>
      <w:r>
        <w:tab/>
        <w:t>(c)</w:t>
      </w:r>
      <w:r>
        <w:tab/>
        <w:t>the administering body has contravened, or is contravening, section 18 or another provision of this Act, or a provision of the regulations, prescribed for the purposes of this subsection.</w:t>
      </w:r>
    </w:p>
    <w:p>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Subsection"/>
      </w:pPr>
      <w:r>
        <w:tab/>
        <w:t>(8)</w:t>
      </w:r>
      <w:r>
        <w:tab/>
        <w:t>Unless sooner revoked, an order under this section has effect for the period specified in the order.</w:t>
      </w:r>
    </w:p>
    <w:p>
      <w:pPr>
        <w:pStyle w:val="Subsection"/>
      </w:pPr>
      <w:r>
        <w:tab/>
        <w:t>(9)</w:t>
      </w:r>
      <w:r>
        <w:tab/>
        <w:t>The State Administrative Tribunal is not to require the Commissioner, as a condition of granting an application under this section, to give an undertaking as to damages.</w:t>
      </w:r>
    </w:p>
    <w:p>
      <w:pPr>
        <w:pStyle w:val="Footnotesection"/>
      </w:pPr>
      <w:r>
        <w:tab/>
        <w:t>[Section 75B inserted: No. 36 of 2012 s. 16.]</w:t>
      </w:r>
    </w:p>
    <w:p>
      <w:pPr>
        <w:pStyle w:val="Heading5"/>
      </w:pPr>
      <w:bookmarkStart w:id="101" w:name="_Toc131509308"/>
      <w:r>
        <w:rPr>
          <w:rStyle w:val="CharSectno"/>
        </w:rPr>
        <w:t>75C</w:t>
      </w:r>
      <w:r>
        <w:t>.</w:t>
      </w:r>
      <w:r>
        <w:tab/>
        <w:t>Proposed statutory manager must consent to appointment</w:t>
      </w:r>
      <w:bookmarkEnd w:id="101"/>
    </w:p>
    <w:p>
      <w:pPr>
        <w:pStyle w:val="Subsection"/>
      </w:pPr>
      <w:r>
        <w:tab/>
        <w:t>(1)</w:t>
      </w:r>
      <w:r>
        <w:tab/>
        <w:t>The Commissioner is not to make an application for an order under section 75B appointing a person to be a statutory manager unless the person has given the Commissioner written consent to the application.</w:t>
      </w:r>
    </w:p>
    <w:p>
      <w:pPr>
        <w:pStyle w:val="Subsection"/>
        <w:keepNext/>
      </w:pPr>
      <w:r>
        <w:tab/>
        <w:t>(2)</w:t>
      </w:r>
      <w:r>
        <w:tab/>
        <w:t xml:space="preserve">The order appointing a person to be a statutory manager does not have effect unless the person has given the Commissioner </w:t>
      </w:r>
      <w:r>
        <w:lastRenderedPageBreak/>
        <w:t>written consent under subsection (1) and has not withdrawn that consent as at the time of the appointment.</w:t>
      </w:r>
    </w:p>
    <w:p>
      <w:pPr>
        <w:pStyle w:val="Footnotesection"/>
      </w:pPr>
      <w:r>
        <w:tab/>
        <w:t>[Section 75C inserted: No. 36 of 2012 s. 16.]</w:t>
      </w:r>
    </w:p>
    <w:p>
      <w:pPr>
        <w:pStyle w:val="Heading5"/>
      </w:pPr>
      <w:bookmarkStart w:id="102" w:name="_Toc131509309"/>
      <w:r>
        <w:rPr>
          <w:rStyle w:val="CharSectno"/>
        </w:rPr>
        <w:t>75D</w:t>
      </w:r>
      <w:r>
        <w:t>.</w:t>
      </w:r>
      <w:r>
        <w:tab/>
        <w:t>Variation and revocation of orders</w:t>
      </w:r>
      <w:bookmarkEnd w:id="102"/>
    </w:p>
    <w:p>
      <w:pPr>
        <w:pStyle w:val="Subsection"/>
        <w:keepNext/>
      </w:pPr>
      <w:r>
        <w:tab/>
        <w:t>(1)</w:t>
      </w:r>
      <w:r>
        <w:tab/>
        <w:t xml:space="preserve">In this section — </w:t>
      </w:r>
    </w:p>
    <w:p>
      <w:pPr>
        <w:pStyle w:val="Defstart"/>
        <w:keepNext/>
      </w:pPr>
      <w:r>
        <w:tab/>
      </w:r>
      <w:r>
        <w:rPr>
          <w:rStyle w:val="CharDefText"/>
        </w:rPr>
        <w:t>other persons</w:t>
      </w:r>
      <w:r>
        <w:t xml:space="preserve"> means — </w:t>
      </w:r>
    </w:p>
    <w:p>
      <w:pPr>
        <w:pStyle w:val="Defpara"/>
      </w:pPr>
      <w:r>
        <w:tab/>
        <w:t>(a)</w:t>
      </w:r>
      <w:r>
        <w:tab/>
        <w:t>if an application is made under this section by the Commissioner — the administering body of the retirement village and the statutory manager;</w:t>
      </w:r>
    </w:p>
    <w:p>
      <w:pPr>
        <w:pStyle w:val="Defpara"/>
      </w:pPr>
      <w:r>
        <w:tab/>
        <w:t>(b)</w:t>
      </w:r>
      <w:r>
        <w:tab/>
        <w:t>if an application is made under this section by the administering body of the retirement village — the Commissioner and the statutory manager;</w:t>
      </w:r>
    </w:p>
    <w:p>
      <w:pPr>
        <w:pStyle w:val="Defpara"/>
      </w:pPr>
      <w:r>
        <w:tab/>
        <w:t>(c)</w:t>
      </w:r>
      <w:r>
        <w:tab/>
        <w:t>if an application is made under this section by the statutory manager — the Commissioner and the administering body of the retirement village.</w:t>
      </w:r>
    </w:p>
    <w:p>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Footnotesection"/>
      </w:pPr>
      <w:r>
        <w:tab/>
        <w:t>[Section 75D inserted: No. 36 of 2012 s. 16.]</w:t>
      </w:r>
    </w:p>
    <w:p>
      <w:pPr>
        <w:pStyle w:val="Heading5"/>
      </w:pPr>
      <w:bookmarkStart w:id="103" w:name="_Toc131509310"/>
      <w:r>
        <w:rPr>
          <w:rStyle w:val="CharSectno"/>
        </w:rPr>
        <w:lastRenderedPageBreak/>
        <w:t>75E</w:t>
      </w:r>
      <w:r>
        <w:t>.</w:t>
      </w:r>
      <w:r>
        <w:tab/>
        <w:t>Matters to be dealt with in order appointing a statutory manager</w:t>
      </w:r>
      <w:bookmarkEnd w:id="103"/>
    </w:p>
    <w:p>
      <w:pPr>
        <w:pStyle w:val="Subsection"/>
        <w:keepNext/>
      </w:pPr>
      <w:r>
        <w:tab/>
        <w:t>(1)</w:t>
      </w:r>
      <w:r>
        <w:tab/>
        <w:t xml:space="preserve">An order under section 75B appointing a statutory manager is to — </w:t>
      </w:r>
    </w:p>
    <w:p>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Indenta"/>
      </w:pPr>
      <w:r>
        <w:tab/>
        <w:t>(b)</w:t>
      </w:r>
      <w:r>
        <w:tab/>
        <w:t>specify the assets of the administering body of the retirement village that are to be under the control of the statutory manager; and</w:t>
      </w:r>
    </w:p>
    <w:p>
      <w:pPr>
        <w:pStyle w:val="Indenta"/>
      </w:pPr>
      <w:r>
        <w:tab/>
        <w:t>(c)</w:t>
      </w:r>
      <w:r>
        <w:tab/>
        <w:t xml:space="preserve">specify the assets of the administering body of the retirement village that may be applied for the purpose of providing funds for — </w:t>
      </w:r>
    </w:p>
    <w:p>
      <w:pPr>
        <w:pStyle w:val="Indenti"/>
      </w:pPr>
      <w:r>
        <w:tab/>
        <w:t>(i)</w:t>
      </w:r>
      <w:r>
        <w:tab/>
        <w:t>the performance by the statutory manager of the functions of the administering body conferred on the statutory manager under section 75B(1); and</w:t>
      </w:r>
    </w:p>
    <w:p>
      <w:pPr>
        <w:pStyle w:val="Indenti"/>
      </w:pPr>
      <w:r>
        <w:tab/>
        <w:t>(ii)</w:t>
      </w:r>
      <w:r>
        <w:tab/>
        <w:t>the payment of the remuneration and expenses of the statutory manager.</w:t>
      </w:r>
    </w:p>
    <w:p>
      <w:pPr>
        <w:pStyle w:val="Subsection"/>
      </w:pPr>
      <w:r>
        <w:tab/>
        <w:t>(2)</w:t>
      </w:r>
      <w:r>
        <w:tab/>
        <w:t>The State Administrative Tribunal may give any directions it considers necessary or expedient for the purposes of this section.</w:t>
      </w:r>
    </w:p>
    <w:p>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Footnotesection"/>
      </w:pPr>
      <w:r>
        <w:tab/>
        <w:t>[Section 75E inserted: No. 36 of 2012 s. 16.]</w:t>
      </w:r>
    </w:p>
    <w:p>
      <w:pPr>
        <w:pStyle w:val="Heading5"/>
      </w:pPr>
      <w:bookmarkStart w:id="104" w:name="_Toc131509311"/>
      <w:r>
        <w:rPr>
          <w:rStyle w:val="CharSectno"/>
        </w:rPr>
        <w:lastRenderedPageBreak/>
        <w:t>75F</w:t>
      </w:r>
      <w:r>
        <w:t>.</w:t>
      </w:r>
      <w:r>
        <w:tab/>
        <w:t>Other matters arising from appointment of statutory manager</w:t>
      </w:r>
      <w:bookmarkEnd w:id="104"/>
    </w:p>
    <w:p>
      <w:pPr>
        <w:pStyle w:val="Subsection"/>
        <w:keepNext/>
      </w:pPr>
      <w:r>
        <w:tab/>
        <w:t>(1)</w:t>
      </w:r>
      <w:r>
        <w:tab/>
        <w:t xml:space="preserve">In this section — </w:t>
      </w:r>
    </w:p>
    <w:p>
      <w:pPr>
        <w:pStyle w:val="Defstart"/>
      </w:pPr>
      <w:r>
        <w:tab/>
      </w:r>
      <w:r>
        <w:rPr>
          <w:rStyle w:val="CharDefText"/>
        </w:rPr>
        <w:t>appointed</w:t>
      </w:r>
      <w:r>
        <w:t xml:space="preserve"> means appointed by an order under section 75B.</w:t>
      </w:r>
    </w:p>
    <w:p>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Penstart"/>
      </w:pPr>
      <w:r>
        <w:tab/>
        <w:t>Penalty: a fine of $20 000.</w:t>
      </w:r>
    </w:p>
    <w:p>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Indenta"/>
      </w:pPr>
      <w:r>
        <w:tab/>
        <w:t>(a)</w:t>
      </w:r>
      <w:r>
        <w:tab/>
        <w:t>to which the administering body is a party; and</w:t>
      </w:r>
    </w:p>
    <w:p>
      <w:pPr>
        <w:pStyle w:val="Indenta"/>
      </w:pPr>
      <w:r>
        <w:tab/>
        <w:t>(b)</w:t>
      </w:r>
      <w:r>
        <w:tab/>
        <w:t>that relates to the performance of that function.</w:t>
      </w:r>
    </w:p>
    <w:p>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Footnotesection"/>
      </w:pPr>
      <w:r>
        <w:tab/>
        <w:t>[Section 75F inserted: No. 36 of 2012 s. 16.]</w:t>
      </w:r>
    </w:p>
    <w:p>
      <w:pPr>
        <w:pStyle w:val="Heading5"/>
      </w:pPr>
      <w:bookmarkStart w:id="105" w:name="_Toc131509312"/>
      <w:r>
        <w:rPr>
          <w:rStyle w:val="CharSectno"/>
        </w:rPr>
        <w:t>75G</w:t>
      </w:r>
      <w:r>
        <w:t>.</w:t>
      </w:r>
      <w:r>
        <w:tab/>
        <w:t>Appointment of both statutory manager and external administrator</w:t>
      </w:r>
      <w:bookmarkEnd w:id="105"/>
    </w:p>
    <w:p>
      <w:pPr>
        <w:pStyle w:val="Subsection"/>
      </w:pPr>
      <w:r>
        <w:tab/>
        <w:t>(1)</w:t>
      </w:r>
      <w:r>
        <w:tab/>
        <w:t xml:space="preserve">In this section — </w:t>
      </w:r>
    </w:p>
    <w:p>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Defstart"/>
      </w:pPr>
      <w:r>
        <w:lastRenderedPageBreak/>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Subsection"/>
      </w:pPr>
      <w:r>
        <w:tab/>
        <w:t>(2)</w:t>
      </w:r>
      <w:r>
        <w:tab/>
        <w:t xml:space="preserve">This section applies if the administering body of a retirement village is the subject of both — </w:t>
      </w:r>
    </w:p>
    <w:p>
      <w:pPr>
        <w:pStyle w:val="Indenta"/>
      </w:pPr>
      <w:r>
        <w:tab/>
        <w:t>(a)</w:t>
      </w:r>
      <w:r>
        <w:tab/>
        <w:t>the appointment by an order under section 75B of a statutory manager; and</w:t>
      </w:r>
    </w:p>
    <w:p>
      <w:pPr>
        <w:pStyle w:val="Indenta"/>
      </w:pPr>
      <w:r>
        <w:tab/>
        <w:t>(b)</w:t>
      </w:r>
      <w:r>
        <w:tab/>
        <w:t>the appointment of an external administrator.</w:t>
      </w:r>
    </w:p>
    <w:p>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Indenta"/>
      </w:pPr>
      <w:r>
        <w:tab/>
        <w:t>(a)</w:t>
      </w:r>
      <w:r>
        <w:tab/>
        <w:t>only if authorised in writing by the external administrator to do so; and</w:t>
      </w:r>
    </w:p>
    <w:p>
      <w:pPr>
        <w:pStyle w:val="Indenta"/>
      </w:pPr>
      <w:r>
        <w:tab/>
        <w:t>(b)</w:t>
      </w:r>
      <w:r>
        <w:tab/>
        <w:t>subject to any condition or limitation specified in that authorisation.</w:t>
      </w:r>
    </w:p>
    <w:p>
      <w:pPr>
        <w:pStyle w:val="Footnotesection"/>
      </w:pPr>
      <w:r>
        <w:tab/>
        <w:t>[Section 75G inserted: No. 36 of 2012 s. 16.]</w:t>
      </w:r>
    </w:p>
    <w:p>
      <w:pPr>
        <w:pStyle w:val="Heading5"/>
      </w:pPr>
      <w:bookmarkStart w:id="106" w:name="_Toc131509313"/>
      <w:r>
        <w:rPr>
          <w:rStyle w:val="CharSectno"/>
        </w:rPr>
        <w:t>75H</w:t>
      </w:r>
      <w:r>
        <w:t>.</w:t>
      </w:r>
      <w:r>
        <w:tab/>
        <w:t>Administering body to cooperate with statutory manager</w:t>
      </w:r>
      <w:bookmarkEnd w:id="106"/>
    </w:p>
    <w:p>
      <w:pPr>
        <w:pStyle w:val="Subsection"/>
      </w:pPr>
      <w:r>
        <w:tab/>
        <w:t>(1)</w:t>
      </w:r>
      <w:r>
        <w:tab/>
        <w:t>In this section —</w:t>
      </w:r>
    </w:p>
    <w:p>
      <w:pPr>
        <w:pStyle w:val="Defstart"/>
      </w:pPr>
      <w:r>
        <w:tab/>
      </w:r>
      <w:r>
        <w:rPr>
          <w:rStyle w:val="CharDefText"/>
        </w:rPr>
        <w:t>records</w:t>
      </w:r>
      <w:r>
        <w:t xml:space="preserve"> includes documents and information;</w:t>
      </w:r>
    </w:p>
    <w:p>
      <w:pPr>
        <w:pStyle w:val="Defstart"/>
      </w:pPr>
      <w:r>
        <w:tab/>
      </w:r>
      <w:r>
        <w:rPr>
          <w:rStyle w:val="CharDefText"/>
        </w:rPr>
        <w:t>relevant</w:t>
      </w:r>
      <w:r>
        <w:t xml:space="preserve"> means relevant to the performance of a function referred to in subsection (2).</w:t>
      </w:r>
    </w:p>
    <w:p>
      <w:pPr>
        <w:pStyle w:val="Subsection"/>
      </w:pPr>
      <w:r>
        <w:tab/>
        <w:t>(2)</w:t>
      </w:r>
      <w:r>
        <w:tab/>
        <w:t>This section applies if a statutory manager is appointed by an order under section 75B to perform any function of the administering body of a retirement village.</w:t>
      </w:r>
    </w:p>
    <w:p>
      <w:pPr>
        <w:pStyle w:val="Subsection"/>
      </w:pPr>
      <w:r>
        <w:lastRenderedPageBreak/>
        <w:tab/>
        <w:t>(3)</w:t>
      </w:r>
      <w:r>
        <w:tab/>
        <w:t>The administering body of a retirement village must cooperate with the statutory manager to the extent reasonably required by the statutory manager to perform a function referred to in subsection (2).</w:t>
      </w:r>
    </w:p>
    <w:p>
      <w:pPr>
        <w:pStyle w:val="Penstart"/>
      </w:pPr>
      <w:r>
        <w:tab/>
        <w:t>Penalty: a fine of $20 000.</w:t>
      </w:r>
    </w:p>
    <w:p>
      <w:pPr>
        <w:pStyle w:val="Subsection"/>
      </w:pPr>
      <w:r>
        <w:tab/>
        <w:t>(4)</w:t>
      </w:r>
      <w:r>
        <w:tab/>
        <w:t xml:space="preserve">Without limiting subsection (3), that subsection requires the administering body — </w:t>
      </w:r>
    </w:p>
    <w:p>
      <w:pPr>
        <w:pStyle w:val="Indenta"/>
      </w:pPr>
      <w:r>
        <w:tab/>
        <w:t>(a)</w:t>
      </w:r>
      <w:r>
        <w:tab/>
        <w:t>to answer, orally or in writing, relevant questions asked by the statutory manager; and</w:t>
      </w:r>
    </w:p>
    <w:p>
      <w:pPr>
        <w:pStyle w:val="Indenta"/>
      </w:pPr>
      <w:r>
        <w:tab/>
        <w:t>(b)</w:t>
      </w:r>
      <w:r>
        <w:tab/>
        <w:t>to produce to the statutory manager relevant documents in the administering body’s custody or under the administering body’s control; and</w:t>
      </w:r>
    </w:p>
    <w:p>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Indenta"/>
      </w:pPr>
      <w:r>
        <w:tab/>
        <w:t>(d)</w:t>
      </w:r>
      <w:r>
        <w:tab/>
        <w:t>to give the statutory manager any other relevant assistance the statutory manager reasonably requires.</w:t>
      </w:r>
    </w:p>
    <w:p>
      <w:pPr>
        <w:pStyle w:val="Subsection"/>
      </w:pPr>
      <w:r>
        <w:tab/>
        <w:t>(5)</w:t>
      </w:r>
      <w:r>
        <w:tab/>
        <w:t>The administering body must not hinder or obstruct the statutory manager in the performance of a function referred to in subsection (2).</w:t>
      </w:r>
    </w:p>
    <w:p>
      <w:pPr>
        <w:pStyle w:val="Penstart"/>
      </w:pPr>
      <w:r>
        <w:tab/>
        <w:t>Penalty: a fine of $20 000.</w:t>
      </w:r>
    </w:p>
    <w:p>
      <w:pPr>
        <w:pStyle w:val="Footnotesection"/>
      </w:pPr>
      <w:r>
        <w:tab/>
        <w:t>[Section 75H inserted: No. 36 of 2012 s. 16.]</w:t>
      </w:r>
    </w:p>
    <w:p>
      <w:pPr>
        <w:pStyle w:val="Heading5"/>
      </w:pPr>
      <w:bookmarkStart w:id="107" w:name="_Toc131509314"/>
      <w:r>
        <w:rPr>
          <w:rStyle w:val="CharSectno"/>
        </w:rPr>
        <w:t>75I</w:t>
      </w:r>
      <w:r>
        <w:t>.</w:t>
      </w:r>
      <w:r>
        <w:tab/>
        <w:t>State Administrative Tribunal may require reports and recommendations from statutory manager</w:t>
      </w:r>
      <w:bookmarkEnd w:id="107"/>
    </w:p>
    <w:p>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Subsection"/>
      </w:pPr>
      <w:r>
        <w:tab/>
        <w:t>(2)</w:t>
      </w:r>
      <w:r>
        <w:tab/>
        <w:t xml:space="preserve">An order under subsection (1) is to specify the matters that are to be the subject of the statutory manager’s report and </w:t>
      </w:r>
      <w:r>
        <w:lastRenderedPageBreak/>
        <w:t>recommendations and the period within which the report and recommendations are to be prepared.</w:t>
      </w:r>
    </w:p>
    <w:p>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Footnotesection"/>
      </w:pPr>
      <w:r>
        <w:tab/>
        <w:t>[Section 75I inserted: No. 36 of 2012 s. 16.]</w:t>
      </w:r>
    </w:p>
    <w:p>
      <w:pPr>
        <w:pStyle w:val="Heading2"/>
      </w:pPr>
      <w:bookmarkStart w:id="108" w:name="_Toc75341121"/>
      <w:bookmarkStart w:id="109" w:name="_Toc75342022"/>
      <w:bookmarkStart w:id="110" w:name="_Toc75447519"/>
      <w:bookmarkStart w:id="111" w:name="_Toc131507176"/>
      <w:bookmarkStart w:id="112" w:name="_Toc131507394"/>
      <w:bookmarkStart w:id="113" w:name="_Toc131509315"/>
      <w:r>
        <w:rPr>
          <w:rStyle w:val="CharPartNo"/>
        </w:rPr>
        <w:lastRenderedPageBreak/>
        <w:t>Part 5</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p>
    <w:p>
      <w:pPr>
        <w:pStyle w:val="Heading5"/>
        <w:spacing w:before="180"/>
        <w:rPr>
          <w:snapToGrid w:val="0"/>
        </w:rPr>
      </w:pPr>
      <w:bookmarkStart w:id="114" w:name="_Toc131509316"/>
      <w:r>
        <w:rPr>
          <w:rStyle w:val="CharSectno"/>
        </w:rPr>
        <w:t>75</w:t>
      </w:r>
      <w:r>
        <w:rPr>
          <w:snapToGrid w:val="0"/>
        </w:rPr>
        <w:t>.</w:t>
      </w:r>
      <w:r>
        <w:rPr>
          <w:snapToGrid w:val="0"/>
        </w:rPr>
        <w:tab/>
        <w:t>Rescission of contract</w:t>
      </w:r>
      <w:bookmarkEnd w:id="114"/>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lastRenderedPageBreak/>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rPr>
        <w:t>Community Titles Act 2018</w:t>
      </w:r>
      <w:r>
        <w:t xml:space="preserve"> or the</w:t>
      </w:r>
      <w:r>
        <w:rPr>
          <w:snapToGrid w:val="0"/>
        </w:rPr>
        <w:t xml:space="preserve"> </w:t>
      </w:r>
      <w:r>
        <w:rPr>
          <w:i/>
          <w:snapToGrid w:val="0"/>
        </w:rPr>
        <w:t>Strata Titles Act 1985</w:t>
      </w:r>
      <w:r>
        <w:rPr>
          <w:snapToGrid w:val="0"/>
        </w:rPr>
        <w:t xml:space="preserve"> and nothing in this section shall derogate from the rights of a </w:t>
      </w:r>
      <w:r>
        <w:t>buyer</w:t>
      </w:r>
      <w:r>
        <w:rPr>
          <w:snapToGrid w:val="0"/>
        </w:rPr>
        <w:t xml:space="preserve"> under </w:t>
      </w:r>
      <w:r>
        <w:t>those Acts.</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No. 55 of 2004 s. 1040 and 1044; No. 32 of 2018 s. 242.]</w:t>
      </w:r>
    </w:p>
    <w:p>
      <w:pPr>
        <w:pStyle w:val="Heading5"/>
      </w:pPr>
      <w:bookmarkStart w:id="115" w:name="_Toc131509317"/>
      <w:r>
        <w:rPr>
          <w:rStyle w:val="CharSectno"/>
        </w:rPr>
        <w:lastRenderedPageBreak/>
        <w:t>76</w:t>
      </w:r>
      <w:r>
        <w:t>.</w:t>
      </w:r>
      <w:r>
        <w:tab/>
        <w:t>Persons who are not to be involved in administration of retirement villages</w:t>
      </w:r>
      <w:bookmarkEnd w:id="115"/>
    </w:p>
    <w:p>
      <w:pPr>
        <w:pStyle w:val="Subsection"/>
        <w:keepNext/>
      </w:pPr>
      <w:r>
        <w:tab/>
        <w:t>(1)</w:t>
      </w:r>
      <w:r>
        <w:tab/>
        <w:t xml:space="preserve">Subject to section 77A, this section applies to these persons — </w:t>
      </w:r>
    </w:p>
    <w:p>
      <w:pPr>
        <w:pStyle w:val="Indenta"/>
      </w:pPr>
      <w:r>
        <w:tab/>
        <w:t>(a)</w:t>
      </w:r>
      <w:r>
        <w:tab/>
        <w:t xml:space="preserve">a person who is, according to the </w:t>
      </w:r>
      <w:r>
        <w:rPr>
          <w:i/>
        </w:rPr>
        <w:t>Interpretation Act 1984</w:t>
      </w:r>
      <w:r>
        <w:t xml:space="preserve"> section 13D, a bankrupt or a person whose affairs are under insolvency laws;</w:t>
      </w:r>
    </w:p>
    <w:p>
      <w:pPr>
        <w:pStyle w:val="Indenta"/>
      </w:pPr>
      <w:r>
        <w:tab/>
        <w:t>(b)</w:t>
      </w:r>
      <w:r>
        <w:tab/>
        <w:t xml:space="preserve">a person who has been convicted, within or outside Western Australia, of — </w:t>
      </w:r>
    </w:p>
    <w:p>
      <w:pPr>
        <w:pStyle w:val="Indenti"/>
      </w:pPr>
      <w:r>
        <w:tab/>
        <w:t>(i)</w:t>
      </w:r>
      <w:r>
        <w:tab/>
        <w:t>an offence involving violence to another person punishable on conviction by imprisonment for not less than 3 months; or</w:t>
      </w:r>
    </w:p>
    <w:p>
      <w:pPr>
        <w:pStyle w:val="Indenti"/>
      </w:pPr>
      <w:r>
        <w:tab/>
        <w:t>(ii)</w:t>
      </w:r>
      <w:r>
        <w:tab/>
        <w:t>an offence involving fraud or dishonesty punishable on conviction by imprisonment for not less than 3 months; or</w:t>
      </w:r>
    </w:p>
    <w:p>
      <w:pPr>
        <w:pStyle w:val="Indenti"/>
      </w:pPr>
      <w:r>
        <w:tab/>
        <w:t>(iii)</w:t>
      </w:r>
      <w:r>
        <w:tab/>
        <w:t xml:space="preserve">an offence under </w:t>
      </w:r>
      <w:r>
        <w:rPr>
          <w:i/>
        </w:rPr>
        <w:t>The Criminal Code</w:t>
      </w:r>
      <w:r>
        <w:t xml:space="preserve"> Chapter XXXI or an offence that, if committed in Western Australia, would constitute such an offence; or</w:t>
      </w:r>
    </w:p>
    <w:p>
      <w:pPr>
        <w:pStyle w:val="Indenti"/>
      </w:pPr>
      <w:r>
        <w:tab/>
        <w:t>(iv)</w:t>
      </w:r>
      <w:r>
        <w:tab/>
        <w:t>a prescribed offence;</w:t>
      </w:r>
    </w:p>
    <w:p>
      <w:pPr>
        <w:pStyle w:val="Indenta"/>
      </w:pPr>
      <w:r>
        <w:tab/>
        <w:t>(c)</w:t>
      </w:r>
      <w:r>
        <w:tab/>
        <w:t xml:space="preserve">a person who is disqualified from managing corporations under the </w:t>
      </w:r>
      <w:r>
        <w:rPr>
          <w:i/>
        </w:rPr>
        <w:t>Corporations Act 2001</w:t>
      </w:r>
      <w:r>
        <w:t xml:space="preserve"> (Commonwealth) Part 2D.6;</w:t>
      </w:r>
    </w:p>
    <w:p>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Indenta"/>
      </w:pPr>
      <w:r>
        <w:tab/>
        <w:t>(e)</w:t>
      </w:r>
      <w:r>
        <w:tab/>
        <w:t>a person prescribed as a person to whom this section applies.</w:t>
      </w:r>
    </w:p>
    <w:p>
      <w:pPr>
        <w:pStyle w:val="Subsection"/>
      </w:pPr>
      <w:r>
        <w:tab/>
        <w:t>(2)</w:t>
      </w:r>
      <w:r>
        <w:tab/>
        <w:t xml:space="preserve">A person to whom this section applies must not — </w:t>
      </w:r>
    </w:p>
    <w:p>
      <w:pPr>
        <w:pStyle w:val="Indenta"/>
      </w:pPr>
      <w:r>
        <w:tab/>
        <w:t>(a)</w:t>
      </w:r>
      <w:r>
        <w:tab/>
        <w:t>be the administering body of a retirement village; or</w:t>
      </w:r>
    </w:p>
    <w:p>
      <w:pPr>
        <w:pStyle w:val="Indenta"/>
      </w:pPr>
      <w:r>
        <w:tab/>
        <w:t>(b)</w:t>
      </w:r>
      <w:r>
        <w:tab/>
        <w:t>be in any way, whether directly or indirectly, concerned in the administration of a retirement village.</w:t>
      </w:r>
    </w:p>
    <w:p>
      <w:pPr>
        <w:pStyle w:val="Penstart"/>
      </w:pPr>
      <w:r>
        <w:tab/>
        <w:t>Penalty: a fine of $20 000.</w:t>
      </w:r>
    </w:p>
    <w:p>
      <w:pPr>
        <w:pStyle w:val="Subsection"/>
      </w:pPr>
      <w:r>
        <w:lastRenderedPageBreak/>
        <w:tab/>
        <w:t>(3)</w:t>
      </w:r>
      <w:r>
        <w:tab/>
        <w:t>In any proceeding taken for an offence against subsection (2), it is a defence to prove that, at the time the offence occurred, the accused held a current exemption certificate granted under section 77C.</w:t>
      </w:r>
    </w:p>
    <w:p>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Penstart"/>
      </w:pPr>
      <w:r>
        <w:tab/>
        <w:t>Penalty: a fine of $20 000.</w:t>
      </w:r>
    </w:p>
    <w:p>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Footnotesection"/>
      </w:pPr>
      <w:r>
        <w:tab/>
        <w:t>[Section 76 inserted: No. 36 of 2012 s. 17.]</w:t>
      </w:r>
    </w:p>
    <w:p>
      <w:pPr>
        <w:pStyle w:val="Heading5"/>
      </w:pPr>
      <w:bookmarkStart w:id="116" w:name="_Toc131509318"/>
      <w:r>
        <w:rPr>
          <w:rStyle w:val="CharSectno"/>
        </w:rPr>
        <w:t>77A</w:t>
      </w:r>
      <w:r>
        <w:t>.</w:t>
      </w:r>
      <w:r>
        <w:tab/>
        <w:t>Limitation of period for which section 76 applies to certain persons</w:t>
      </w:r>
      <w:bookmarkEnd w:id="116"/>
    </w:p>
    <w:p>
      <w:pPr>
        <w:pStyle w:val="Subsection"/>
      </w:pPr>
      <w:r>
        <w:tab/>
        <w:t>(1)</w:t>
      </w:r>
      <w:r>
        <w:tab/>
        <w:t xml:space="preserve">Section 76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Subsection"/>
      </w:pPr>
      <w:r>
        <w:tab/>
        <w:t>(3)</w:t>
      </w:r>
      <w:r>
        <w:tab/>
        <w:t>Section 76 applies to a person referred to in subsection (1)(d) of that section, in relation to the winding up of a corporation, only for the period of 5 years from the time of that winding up.</w:t>
      </w:r>
    </w:p>
    <w:p>
      <w:pPr>
        <w:pStyle w:val="Footnotesection"/>
      </w:pPr>
      <w:r>
        <w:tab/>
        <w:t>[Section 77A inserted: No. 36 of 2012 s. 17.]</w:t>
      </w:r>
    </w:p>
    <w:p>
      <w:pPr>
        <w:pStyle w:val="Heading5"/>
      </w:pPr>
      <w:bookmarkStart w:id="117" w:name="_Toc131509319"/>
      <w:r>
        <w:rPr>
          <w:rStyle w:val="CharSectno"/>
        </w:rPr>
        <w:lastRenderedPageBreak/>
        <w:t>77B</w:t>
      </w:r>
      <w:r>
        <w:t>.</w:t>
      </w:r>
      <w:r>
        <w:tab/>
        <w:t>Offences by persons involved in administration of retirement village</w:t>
      </w:r>
      <w:bookmarkEnd w:id="117"/>
    </w:p>
    <w:p>
      <w:pPr>
        <w:pStyle w:val="Subsection"/>
      </w:pPr>
      <w:r>
        <w:tab/>
        <w:t>(1)</w:t>
      </w:r>
      <w:r>
        <w:tab/>
        <w:t xml:space="preserve">In this section — </w:t>
      </w:r>
    </w:p>
    <w:p>
      <w:pPr>
        <w:pStyle w:val="Defstart"/>
      </w:pPr>
      <w:r>
        <w:tab/>
      </w:r>
      <w:r>
        <w:rPr>
          <w:rStyle w:val="CharDefText"/>
        </w:rPr>
        <w:t>relevant information</w:t>
      </w:r>
      <w:r>
        <w:t>, in relation to a person, means information as to the application of section 76 to the person.</w:t>
      </w:r>
    </w:p>
    <w:p>
      <w:pPr>
        <w:pStyle w:val="Subsection"/>
        <w:keepNext/>
      </w:pPr>
      <w:r>
        <w:tab/>
        <w:t>(2)</w:t>
      </w:r>
      <w:r>
        <w:tab/>
        <w:t xml:space="preserve">A person — </w:t>
      </w:r>
    </w:p>
    <w:p>
      <w:pPr>
        <w:pStyle w:val="Indenta"/>
      </w:pPr>
      <w:r>
        <w:tab/>
        <w:t>(a)</w:t>
      </w:r>
      <w:r>
        <w:tab/>
        <w:t>whose employment or engagement is in any way, whether directly or indirectly, concerned in the administration of a retirement village; and</w:t>
      </w:r>
    </w:p>
    <w:p>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Subsection"/>
      </w:pPr>
      <w:r>
        <w:tab/>
      </w:r>
      <w:r>
        <w:tab/>
        <w:t>must give relevant information to the person by whom he or she is employed or engaged within 14 days after that occurrence.</w:t>
      </w:r>
    </w:p>
    <w:p>
      <w:pPr>
        <w:pStyle w:val="Penstart"/>
      </w:pPr>
      <w:r>
        <w:tab/>
        <w:t>Penalty: a fine of $20 000.</w:t>
      </w:r>
    </w:p>
    <w:p>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Penstart"/>
      </w:pPr>
      <w:r>
        <w:tab/>
        <w:t>Penalty: a fine of $20 000.</w:t>
      </w:r>
    </w:p>
    <w:p>
      <w:pPr>
        <w:pStyle w:val="Footnotesection"/>
      </w:pPr>
      <w:r>
        <w:tab/>
        <w:t>[Section 77B inserted: No. 36 of 2012 s. 17.]</w:t>
      </w:r>
    </w:p>
    <w:p>
      <w:pPr>
        <w:pStyle w:val="Heading5"/>
      </w:pPr>
      <w:bookmarkStart w:id="118" w:name="_Toc131509320"/>
      <w:r>
        <w:rPr>
          <w:rStyle w:val="CharSectno"/>
        </w:rPr>
        <w:t>77C</w:t>
      </w:r>
      <w:r>
        <w:t>.</w:t>
      </w:r>
      <w:r>
        <w:tab/>
        <w:t>Commissioner may grant exemption certificates</w:t>
      </w:r>
      <w:bookmarkEnd w:id="118"/>
    </w:p>
    <w:p>
      <w:pPr>
        <w:pStyle w:val="Subsection"/>
      </w:pPr>
      <w:r>
        <w:tab/>
        <w:t>(1)</w:t>
      </w:r>
      <w:r>
        <w:tab/>
        <w:t xml:space="preserve">The Commissioner may grant an exemption certificate to a person to whom section 76 applies if — </w:t>
      </w:r>
    </w:p>
    <w:p>
      <w:pPr>
        <w:pStyle w:val="Indenta"/>
      </w:pPr>
      <w:r>
        <w:tab/>
        <w:t>(a)</w:t>
      </w:r>
      <w:r>
        <w:tab/>
        <w:t>the person applies for the certificate in the form approved by the Commissioner and pays the prescribed fee; and</w:t>
      </w:r>
    </w:p>
    <w:p>
      <w:pPr>
        <w:pStyle w:val="Indenta"/>
      </w:pPr>
      <w:r>
        <w:lastRenderedPageBreak/>
        <w:tab/>
        <w:t>(b)</w:t>
      </w:r>
      <w:r>
        <w:tab/>
        <w:t xml:space="preserve">satisfies the Commissioner that neither the wellbeing nor financial interests of the residents of a retirement village will be at risk if the person — </w:t>
      </w:r>
    </w:p>
    <w:p>
      <w:pPr>
        <w:pStyle w:val="Indenti"/>
      </w:pPr>
      <w:r>
        <w:tab/>
        <w:t>(i)</w:t>
      </w:r>
      <w:r>
        <w:tab/>
        <w:t>is the administering body of the retirement village; or</w:t>
      </w:r>
    </w:p>
    <w:p>
      <w:pPr>
        <w:pStyle w:val="Indenti"/>
      </w:pPr>
      <w:r>
        <w:tab/>
        <w:t>(ii)</w:t>
      </w:r>
      <w:r>
        <w:tab/>
        <w:t>is in any way, whether directly or indirectly, concerned in the administration of the retirement village,</w:t>
      </w:r>
    </w:p>
    <w:p>
      <w:pPr>
        <w:pStyle w:val="Indenta"/>
      </w:pPr>
      <w:r>
        <w:tab/>
      </w:r>
      <w:r>
        <w:tab/>
        <w:t>as the case requires.</w:t>
      </w:r>
    </w:p>
    <w:p>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Subsection"/>
      </w:pPr>
      <w:r>
        <w:tab/>
        <w:t>(3)</w:t>
      </w:r>
      <w:r>
        <w:tab/>
        <w:t>The Commissioner may at any time revoke an exemption certificate by written notice given to the person granted the certificate.</w:t>
      </w:r>
    </w:p>
    <w:p>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Subsection"/>
      </w:pPr>
      <w:r>
        <w:tab/>
        <w:t>(5)</w:t>
      </w:r>
      <w:r>
        <w:tab/>
        <w:t>A person must return his or her exemption certificate to the Commissioner within 14 days after the certificate is revoked under subsection (3) or cancelled under subsection (4).</w:t>
      </w:r>
    </w:p>
    <w:p>
      <w:pPr>
        <w:pStyle w:val="Penstart"/>
      </w:pPr>
      <w:r>
        <w:tab/>
        <w:t>Penalty: a fine of $20 000.</w:t>
      </w:r>
    </w:p>
    <w:p>
      <w:pPr>
        <w:pStyle w:val="Footnotesection"/>
      </w:pPr>
      <w:r>
        <w:tab/>
        <w:t>[Section 77C inserted: No. 36 of 2012 s. 17.]</w:t>
      </w:r>
    </w:p>
    <w:p>
      <w:pPr>
        <w:pStyle w:val="Heading5"/>
        <w:rPr>
          <w:snapToGrid w:val="0"/>
        </w:rPr>
      </w:pPr>
      <w:bookmarkStart w:id="119" w:name="_Toc131509321"/>
      <w:r>
        <w:rPr>
          <w:rStyle w:val="CharSectno"/>
        </w:rPr>
        <w:t>77</w:t>
      </w:r>
      <w:r>
        <w:rPr>
          <w:snapToGrid w:val="0"/>
        </w:rPr>
        <w:t>.</w:t>
      </w:r>
      <w:r>
        <w:rPr>
          <w:snapToGrid w:val="0"/>
        </w:rPr>
        <w:tab/>
        <w:t>Non</w:t>
      </w:r>
      <w:r>
        <w:rPr>
          <w:snapToGrid w:val="0"/>
        </w:rPr>
        <w:noBreakHyphen/>
        <w:t>compliance may be excused by Court</w:t>
      </w:r>
      <w:bookmarkEnd w:id="119"/>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lastRenderedPageBreak/>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No. 28 of 2006 s. 144.]</w:t>
      </w:r>
    </w:p>
    <w:p>
      <w:pPr>
        <w:pStyle w:val="Heading5"/>
      </w:pPr>
      <w:bookmarkStart w:id="120" w:name="_Toc130918539"/>
      <w:bookmarkStart w:id="121" w:name="_Toc131509322"/>
      <w:r>
        <w:rPr>
          <w:rStyle w:val="CharSectno"/>
        </w:rPr>
        <w:t>79</w:t>
      </w:r>
      <w:r>
        <w:t>.</w:t>
      </w:r>
      <w:r>
        <w:tab/>
        <w:t>Liability of officers for offence by body corporate</w:t>
      </w:r>
      <w:bookmarkEnd w:id="120"/>
      <w:bookmarkEnd w:id="121"/>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c>
          <w:tcPr>
            <w:tcW w:w="2480" w:type="dxa"/>
            <w:noWrap/>
          </w:tcPr>
          <w:p>
            <w:pPr>
              <w:pStyle w:val="TableNAm"/>
            </w:pPr>
            <w:r>
              <w:t>s. 6(3)</w:t>
            </w:r>
          </w:p>
        </w:tc>
        <w:tc>
          <w:tcPr>
            <w:tcW w:w="2481" w:type="dxa"/>
            <w:noWrap/>
          </w:tcPr>
          <w:p>
            <w:pPr>
              <w:pStyle w:val="TableNAm"/>
            </w:pPr>
            <w:r>
              <w:t>s. 13(2), (3) and (5)</w:t>
            </w:r>
          </w:p>
        </w:tc>
      </w:tr>
      <w:tr>
        <w:tc>
          <w:tcPr>
            <w:tcW w:w="2480" w:type="dxa"/>
            <w:noWrap/>
          </w:tcPr>
          <w:p>
            <w:pPr>
              <w:pStyle w:val="TableNAm"/>
            </w:pPr>
            <w:r>
              <w:t>s. 14A(2)</w:t>
            </w:r>
          </w:p>
        </w:tc>
        <w:tc>
          <w:tcPr>
            <w:tcW w:w="2481" w:type="dxa"/>
            <w:noWrap/>
          </w:tcPr>
          <w:p>
            <w:pPr>
              <w:pStyle w:val="TableNAm"/>
            </w:pPr>
            <w:r>
              <w:t>s. 15(1), (4) and (5)</w:t>
            </w:r>
          </w:p>
        </w:tc>
      </w:tr>
      <w:tr>
        <w:tc>
          <w:tcPr>
            <w:tcW w:w="2480" w:type="dxa"/>
            <w:noWrap/>
          </w:tcPr>
          <w:p>
            <w:pPr>
              <w:pStyle w:val="TableNAm"/>
            </w:pPr>
            <w:r>
              <w:t>s. 16(1) and (2)</w:t>
            </w:r>
          </w:p>
        </w:tc>
        <w:tc>
          <w:tcPr>
            <w:tcW w:w="2481" w:type="dxa"/>
            <w:noWrap/>
          </w:tcPr>
          <w:p>
            <w:pPr>
              <w:pStyle w:val="TableNAm"/>
            </w:pPr>
            <w:r>
              <w:t>s. 18(2A), (3) and (5)</w:t>
            </w:r>
          </w:p>
        </w:tc>
      </w:tr>
      <w:tr>
        <w:tc>
          <w:tcPr>
            <w:tcW w:w="2480" w:type="dxa"/>
            <w:noWrap/>
          </w:tcPr>
          <w:p>
            <w:pPr>
              <w:pStyle w:val="TableNAm"/>
            </w:pPr>
            <w:r>
              <w:t>s. 23(6)</w:t>
            </w:r>
          </w:p>
        </w:tc>
        <w:tc>
          <w:tcPr>
            <w:tcW w:w="2481" w:type="dxa"/>
            <w:noWrap/>
          </w:tcPr>
          <w:p>
            <w:pPr>
              <w:pStyle w:val="TableNAm"/>
            </w:pPr>
            <w:r>
              <w:t>s. 24(9)</w:t>
            </w:r>
          </w:p>
        </w:tc>
      </w:tr>
      <w:tr>
        <w:tc>
          <w:tcPr>
            <w:tcW w:w="2480" w:type="dxa"/>
            <w:noWrap/>
          </w:tcPr>
          <w:p>
            <w:pPr>
              <w:pStyle w:val="TableNAm"/>
            </w:pPr>
            <w:r>
              <w:t>s. 25(1)</w:t>
            </w:r>
          </w:p>
        </w:tc>
        <w:tc>
          <w:tcPr>
            <w:tcW w:w="2481" w:type="dxa"/>
            <w:noWrap/>
          </w:tcPr>
          <w:p>
            <w:pPr>
              <w:pStyle w:val="TableNAm"/>
            </w:pPr>
            <w:r>
              <w:t>s. 75F(2)</w:t>
            </w:r>
          </w:p>
        </w:tc>
      </w:tr>
      <w:tr>
        <w:tc>
          <w:tcPr>
            <w:tcW w:w="2480" w:type="dxa"/>
            <w:noWrap/>
          </w:tcPr>
          <w:p>
            <w:pPr>
              <w:pStyle w:val="TableNAm"/>
            </w:pPr>
            <w:r>
              <w:t>s. 75H(3) and (5)</w:t>
            </w:r>
          </w:p>
        </w:tc>
        <w:tc>
          <w:tcPr>
            <w:tcW w:w="2481" w:type="dxa"/>
            <w:noWrap/>
          </w:tcPr>
          <w:p>
            <w:pPr>
              <w:pStyle w:val="TableNAm"/>
            </w:pPr>
            <w:r>
              <w:t>s. 75(6)</w:t>
            </w:r>
          </w:p>
        </w:tc>
      </w:tr>
    </w:tbl>
    <w:p>
      <w:pPr>
        <w:pStyle w:val="Footnotesection"/>
      </w:pPr>
      <w:r>
        <w:tab/>
        <w:t>[Section 79 inserted: No. 9 of 2023 s. 134.]</w:t>
      </w:r>
    </w:p>
    <w:p>
      <w:pPr>
        <w:pStyle w:val="Heading5"/>
        <w:rPr>
          <w:snapToGrid w:val="0"/>
        </w:rPr>
      </w:pPr>
      <w:bookmarkStart w:id="122" w:name="_Toc131509323"/>
      <w:r>
        <w:rPr>
          <w:rStyle w:val="CharSectno"/>
        </w:rPr>
        <w:t>80</w:t>
      </w:r>
      <w:r>
        <w:rPr>
          <w:snapToGrid w:val="0"/>
        </w:rPr>
        <w:t>.</w:t>
      </w:r>
      <w:r>
        <w:rPr>
          <w:snapToGrid w:val="0"/>
        </w:rPr>
        <w:tab/>
        <w:t>Time for bringing proceedings</w:t>
      </w:r>
      <w:bookmarkEnd w:id="122"/>
    </w:p>
    <w:p>
      <w:pPr>
        <w:pStyle w:val="Subsection"/>
        <w:keepNext/>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pPr>
        <w:pStyle w:val="Footnotesection"/>
      </w:pPr>
      <w:r>
        <w:tab/>
        <w:t>[Section 80 amended: No. 36 of 2012 s. 18.]</w:t>
      </w:r>
    </w:p>
    <w:p>
      <w:pPr>
        <w:pStyle w:val="Ednotesection"/>
      </w:pPr>
      <w:r>
        <w:lastRenderedPageBreak/>
        <w:t>[</w:t>
      </w:r>
      <w:r>
        <w:rPr>
          <w:b/>
        </w:rPr>
        <w:t>81.</w:t>
      </w:r>
      <w:r>
        <w:rPr>
          <w:b/>
        </w:rPr>
        <w:tab/>
      </w:r>
      <w:r>
        <w:t>Deleted: No. 55 of 2004 s. 1042.]</w:t>
      </w:r>
    </w:p>
    <w:p>
      <w:pPr>
        <w:pStyle w:val="Heading5"/>
        <w:rPr>
          <w:snapToGrid w:val="0"/>
        </w:rPr>
      </w:pPr>
      <w:bookmarkStart w:id="123" w:name="_Toc131509324"/>
      <w:r>
        <w:rPr>
          <w:rStyle w:val="CharSectno"/>
        </w:rPr>
        <w:t>82</w:t>
      </w:r>
      <w:r>
        <w:rPr>
          <w:snapToGrid w:val="0"/>
        </w:rPr>
        <w:t>.</w:t>
      </w:r>
      <w:r>
        <w:rPr>
          <w:snapToGrid w:val="0"/>
        </w:rPr>
        <w:tab/>
        <w:t>Regulations</w:t>
      </w:r>
      <w:bookmarkEnd w:id="12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keepNext/>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keepNext/>
        <w:rPr>
          <w:snapToGrid w:val="0"/>
        </w:rPr>
      </w:pPr>
      <w:r>
        <w:rPr>
          <w:snapToGrid w:val="0"/>
        </w:rPr>
        <w:tab/>
        <w:t>(3)</w:t>
      </w:r>
      <w:r>
        <w:rPr>
          <w:snapToGrid w:val="0"/>
        </w:rPr>
        <w:tab/>
        <w:t xml:space="preserve">A regulation may create an offence punishable by a penalty not exceeding </w:t>
      </w:r>
      <w:r>
        <w:t>$5 000.</w:t>
      </w:r>
    </w:p>
    <w:p>
      <w:pPr>
        <w:pStyle w:val="Footnotesection"/>
      </w:pPr>
      <w:r>
        <w:tab/>
        <w:t>[Section 82 amended: No. 55 of 2004 s. 1043; No. 36 of 2012 s. 19.]</w:t>
      </w:r>
    </w:p>
    <w:p>
      <w:pPr>
        <w:pStyle w:val="Heading5"/>
        <w:rPr>
          <w:snapToGrid w:val="0"/>
        </w:rPr>
      </w:pPr>
      <w:bookmarkStart w:id="124" w:name="_Toc131509325"/>
      <w:r>
        <w:rPr>
          <w:rStyle w:val="CharSectno"/>
        </w:rPr>
        <w:t>83</w:t>
      </w:r>
      <w:r>
        <w:rPr>
          <w:snapToGrid w:val="0"/>
        </w:rPr>
        <w:t>.</w:t>
      </w:r>
      <w:r>
        <w:rPr>
          <w:snapToGrid w:val="0"/>
        </w:rPr>
        <w:tab/>
        <w:t>Review of Act</w:t>
      </w:r>
      <w:bookmarkEnd w:id="124"/>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125" w:name="_Toc131509326"/>
      <w:r>
        <w:rPr>
          <w:rStyle w:val="CharSectno"/>
        </w:rPr>
        <w:lastRenderedPageBreak/>
        <w:t>84</w:t>
      </w:r>
      <w:r>
        <w:rPr>
          <w:snapToGrid w:val="0"/>
        </w:rPr>
        <w:t>.</w:t>
      </w:r>
      <w:r>
        <w:rPr>
          <w:snapToGrid w:val="0"/>
        </w:rPr>
        <w:tab/>
        <w:t>Savings and transitional</w:t>
      </w:r>
      <w:bookmarkEnd w:id="125"/>
    </w:p>
    <w:p>
      <w:pPr>
        <w:pStyle w:val="Subsection"/>
        <w:keepNext/>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6" w:name="_Toc75341133"/>
      <w:bookmarkStart w:id="127" w:name="_Toc75342034"/>
      <w:bookmarkStart w:id="128" w:name="_Toc75447531"/>
      <w:bookmarkStart w:id="129" w:name="_Toc131507188"/>
      <w:bookmarkStart w:id="130" w:name="_Toc131507406"/>
      <w:bookmarkStart w:id="131" w:name="_Toc131509327"/>
      <w:r>
        <w:rPr>
          <w:rStyle w:val="CharSchNo"/>
        </w:rPr>
        <w:lastRenderedPageBreak/>
        <w:t>Schedule 1</w:t>
      </w:r>
      <w:r>
        <w:t> — </w:t>
      </w:r>
      <w:r>
        <w:rPr>
          <w:rStyle w:val="CharSchText"/>
        </w:rPr>
        <w:t>Savings and transitional provisions</w:t>
      </w:r>
      <w:bookmarkEnd w:id="126"/>
      <w:bookmarkEnd w:id="127"/>
      <w:bookmarkEnd w:id="128"/>
      <w:bookmarkEnd w:id="129"/>
      <w:bookmarkEnd w:id="130"/>
      <w:bookmarkEnd w:id="131"/>
    </w:p>
    <w:p>
      <w:pPr>
        <w:pStyle w:val="yShoulderClause"/>
        <w:spacing w:before="80"/>
        <w:rPr>
          <w:snapToGrid w:val="0"/>
        </w:rPr>
      </w:pPr>
      <w:r>
        <w:rPr>
          <w:snapToGrid w:val="0"/>
        </w:rPr>
        <w:t>[s. 84]</w:t>
      </w:r>
    </w:p>
    <w:p>
      <w:pPr>
        <w:pStyle w:val="yFootnoteheading"/>
      </w:pPr>
      <w:r>
        <w:tab/>
        <w:t>[Heading amended: No. 19 of 2010 s. 4.]</w:t>
      </w:r>
    </w:p>
    <w:p>
      <w:pPr>
        <w:pStyle w:val="yHeading3"/>
      </w:pPr>
      <w:bookmarkStart w:id="132" w:name="_Toc75341134"/>
      <w:bookmarkStart w:id="133" w:name="_Toc75342035"/>
      <w:bookmarkStart w:id="134" w:name="_Toc75447532"/>
      <w:bookmarkStart w:id="135" w:name="_Toc131507189"/>
      <w:bookmarkStart w:id="136" w:name="_Toc131507407"/>
      <w:bookmarkStart w:id="137" w:name="_Toc131509328"/>
      <w:r>
        <w:rPr>
          <w:rStyle w:val="CharSDivNo"/>
        </w:rPr>
        <w:t>Division 1</w:t>
      </w:r>
      <w:r>
        <w:rPr>
          <w:b w:val="0"/>
        </w:rPr>
        <w:t> — </w:t>
      </w:r>
      <w:r>
        <w:rPr>
          <w:rStyle w:val="CharSDivText"/>
        </w:rPr>
        <w:t>Provisions relating to commencement of Act</w:t>
      </w:r>
      <w:bookmarkEnd w:id="132"/>
      <w:bookmarkEnd w:id="133"/>
      <w:bookmarkEnd w:id="134"/>
      <w:bookmarkEnd w:id="135"/>
      <w:bookmarkEnd w:id="136"/>
      <w:bookmarkEnd w:id="137"/>
    </w:p>
    <w:p>
      <w:pPr>
        <w:pStyle w:val="yFootnoteheading"/>
      </w:pPr>
      <w:r>
        <w:tab/>
        <w:t>[Heading inserted: No. 36 of 2012 s. 20.]</w:t>
      </w:r>
    </w:p>
    <w:p>
      <w:pPr>
        <w:pStyle w:val="yHeading5"/>
        <w:outlineLvl w:val="9"/>
        <w:rPr>
          <w:snapToGrid w:val="0"/>
        </w:rPr>
      </w:pPr>
      <w:bookmarkStart w:id="138" w:name="_Toc131509329"/>
      <w:r>
        <w:rPr>
          <w:rStyle w:val="CharSClsNo"/>
        </w:rPr>
        <w:t>1</w:t>
      </w:r>
      <w:r>
        <w:rPr>
          <w:snapToGrid w:val="0"/>
        </w:rPr>
        <w:t>.</w:t>
      </w:r>
      <w:r>
        <w:rPr>
          <w:snapToGrid w:val="0"/>
        </w:rPr>
        <w:tab/>
        <w:t>Existing disputes and other matters</w:t>
      </w:r>
      <w:bookmarkEnd w:id="138"/>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139" w:name="_Toc131509330"/>
      <w:r>
        <w:rPr>
          <w:rStyle w:val="CharSClsNo"/>
        </w:rPr>
        <w:t>2</w:t>
      </w:r>
      <w:r>
        <w:rPr>
          <w:snapToGrid w:val="0"/>
        </w:rPr>
        <w:t>.</w:t>
      </w:r>
      <w:r>
        <w:rPr>
          <w:snapToGrid w:val="0"/>
        </w:rPr>
        <w:tab/>
        <w:t>Regulations</w:t>
      </w:r>
      <w:bookmarkEnd w:id="139"/>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140" w:name="_Toc131509331"/>
      <w:r>
        <w:rPr>
          <w:rStyle w:val="CharSClsNo"/>
        </w:rPr>
        <w:t>3</w:t>
      </w:r>
      <w:r>
        <w:rPr>
          <w:rFonts w:ascii="Times" w:hAnsi="Times"/>
          <w:snapToGrid w:val="0"/>
        </w:rPr>
        <w:t>.</w:t>
      </w:r>
      <w:r>
        <w:rPr>
          <w:rFonts w:ascii="Times" w:hAnsi="Times"/>
          <w:snapToGrid w:val="0"/>
        </w:rPr>
        <w:tab/>
        <w:t>Exemption</w:t>
      </w:r>
      <w:bookmarkEnd w:id="140"/>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lastRenderedPageBreak/>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yHeading3"/>
      </w:pPr>
      <w:bookmarkStart w:id="141" w:name="_Toc75341138"/>
      <w:bookmarkStart w:id="142" w:name="_Toc75342039"/>
      <w:bookmarkStart w:id="143" w:name="_Toc75447536"/>
      <w:bookmarkStart w:id="144" w:name="_Toc131507193"/>
      <w:bookmarkStart w:id="145" w:name="_Toc131507411"/>
      <w:bookmarkStart w:id="146" w:name="_Toc131509332"/>
      <w:r>
        <w:rPr>
          <w:rStyle w:val="CharSDivNo"/>
        </w:rPr>
        <w:t>Division 2</w:t>
      </w:r>
      <w:r>
        <w:rPr>
          <w:b w:val="0"/>
        </w:rPr>
        <w:t> — </w:t>
      </w:r>
      <w:r>
        <w:rPr>
          <w:rStyle w:val="CharSDivText"/>
        </w:rPr>
        <w:t>Provisions relating to Retirement Villages Amendment Act 2012</w:t>
      </w:r>
      <w:bookmarkEnd w:id="141"/>
      <w:bookmarkEnd w:id="142"/>
      <w:bookmarkEnd w:id="143"/>
      <w:bookmarkEnd w:id="144"/>
      <w:bookmarkEnd w:id="145"/>
      <w:bookmarkEnd w:id="146"/>
    </w:p>
    <w:p>
      <w:pPr>
        <w:pStyle w:val="yFootnoteheading"/>
      </w:pPr>
      <w:r>
        <w:tab/>
        <w:t>[Heading inserted: No. 36 of 2012 s. 21.]</w:t>
      </w:r>
    </w:p>
    <w:p>
      <w:pPr>
        <w:pStyle w:val="yHeading5"/>
      </w:pPr>
      <w:bookmarkStart w:id="147" w:name="_Toc131509333"/>
      <w:r>
        <w:rPr>
          <w:rStyle w:val="CharSClsNo"/>
        </w:rPr>
        <w:t>4</w:t>
      </w:r>
      <w:r>
        <w:t>.</w:t>
      </w:r>
      <w:r>
        <w:tab/>
        <w:t>Exemption certificate taken to have been granted to certain persons</w:t>
      </w:r>
      <w:bookmarkEnd w:id="14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yDefstart"/>
      </w:pPr>
      <w:r>
        <w:tab/>
      </w:r>
      <w:r>
        <w:rPr>
          <w:rStyle w:val="CharDefText"/>
        </w:rPr>
        <w:t>relevant information</w:t>
      </w:r>
      <w:r>
        <w:t>, in relation to a person, means information as to the application of section 76 to the person.</w:t>
      </w:r>
    </w:p>
    <w:p>
      <w:pPr>
        <w:pStyle w:val="ySubsection"/>
      </w:pPr>
      <w:r>
        <w:tab/>
        <w:t>(2)</w:t>
      </w:r>
      <w:r>
        <w:tab/>
        <w:t xml:space="preserve">Subclause (3) applies to a person (a </w:t>
      </w:r>
      <w:r>
        <w:rPr>
          <w:rStyle w:val="CharDefText"/>
        </w:rPr>
        <w:t>relevant person</w:t>
      </w:r>
      <w:r>
        <w:t xml:space="preserve">) who on the commencement day — </w:t>
      </w:r>
    </w:p>
    <w:p>
      <w:pPr>
        <w:pStyle w:val="yIndenta"/>
      </w:pPr>
      <w:r>
        <w:tab/>
        <w:t>(a)</w:t>
      </w:r>
      <w:r>
        <w:tab/>
        <w:t xml:space="preserve">is — </w:t>
      </w:r>
    </w:p>
    <w:p>
      <w:pPr>
        <w:pStyle w:val="yIndenti0"/>
      </w:pPr>
      <w:r>
        <w:tab/>
        <w:t>(i)</w:t>
      </w:r>
      <w:r>
        <w:tab/>
        <w:t>the administering body of a retirement village; or</w:t>
      </w:r>
    </w:p>
    <w:p>
      <w:pPr>
        <w:pStyle w:val="yIndenti0"/>
      </w:pPr>
      <w:r>
        <w:tab/>
        <w:t>(ii)</w:t>
      </w:r>
      <w:r>
        <w:tab/>
        <w:t>in any way, whether directly or indirectly, concerned in the administration of a retirement village;</w:t>
      </w:r>
    </w:p>
    <w:p>
      <w:pPr>
        <w:pStyle w:val="yIndenta"/>
      </w:pPr>
      <w:r>
        <w:tab/>
      </w:r>
      <w:r>
        <w:tab/>
        <w:t>and</w:t>
      </w:r>
    </w:p>
    <w:p>
      <w:pPr>
        <w:pStyle w:val="yIndenta"/>
      </w:pPr>
      <w:r>
        <w:tab/>
        <w:t>(b)</w:t>
      </w:r>
      <w:r>
        <w:tab/>
        <w:t>is a person to whom section 76 applies.</w:t>
      </w:r>
    </w:p>
    <w:p>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ySubsection"/>
      </w:pPr>
      <w:r>
        <w:tab/>
        <w:t>(4)</w:t>
      </w:r>
      <w:r>
        <w:tab/>
        <w:t xml:space="preserve">If — </w:t>
      </w:r>
    </w:p>
    <w:p>
      <w:pPr>
        <w:pStyle w:val="yIndenta"/>
      </w:pPr>
      <w:r>
        <w:tab/>
        <w:t>(a)</w:t>
      </w:r>
      <w:r>
        <w:tab/>
        <w:t>an exemption certificate is to be taken to have been granted to a relevant person; and</w:t>
      </w:r>
    </w:p>
    <w:p>
      <w:pPr>
        <w:pStyle w:val="yIndenta"/>
      </w:pPr>
      <w:r>
        <w:lastRenderedPageBreak/>
        <w:tab/>
        <w:t>(b)</w:t>
      </w:r>
      <w:r>
        <w:tab/>
        <w:t>the person makes an application under section 77C(1) during the period referred to in subclause (3),</w:t>
      </w:r>
    </w:p>
    <w:p>
      <w:pPr>
        <w:pStyle w:val="ySubsection"/>
      </w:pPr>
      <w:r>
        <w:tab/>
      </w:r>
      <w:r>
        <w:tab/>
        <w:t xml:space="preserve">the exemption certificate — </w:t>
      </w:r>
    </w:p>
    <w:p>
      <w:pPr>
        <w:pStyle w:val="yIndenta"/>
      </w:pPr>
      <w:r>
        <w:tab/>
        <w:t>(c)</w:t>
      </w:r>
      <w:r>
        <w:tab/>
        <w:t>continues to have effect, whether or not the period referred to in subclause (3) expires, until the application is determined; and</w:t>
      </w:r>
    </w:p>
    <w:p>
      <w:pPr>
        <w:pStyle w:val="yIndenta"/>
      </w:pPr>
      <w:r>
        <w:tab/>
        <w:t>(d)</w:t>
      </w:r>
      <w:r>
        <w:tab/>
        <w:t>is cancelled by force of this subclause at the time of that determination.</w:t>
      </w:r>
    </w:p>
    <w:p>
      <w:pPr>
        <w:pStyle w:val="ySubsection"/>
      </w:pPr>
      <w:r>
        <w:tab/>
        <w:t>(5)</w:t>
      </w:r>
      <w:r>
        <w:tab/>
        <w:t xml:space="preserve">A person who on the commencement day — </w:t>
      </w:r>
    </w:p>
    <w:p>
      <w:pPr>
        <w:pStyle w:val="yIndenta"/>
      </w:pPr>
      <w:r>
        <w:tab/>
        <w:t>(a)</w:t>
      </w:r>
      <w:r>
        <w:tab/>
        <w:t>is employed or engaged in any way that, whether directly or indirectly, is concerned in the administration of a retirement village; and</w:t>
      </w:r>
    </w:p>
    <w:p>
      <w:pPr>
        <w:pStyle w:val="yIndenta"/>
      </w:pPr>
      <w:r>
        <w:tab/>
        <w:t>(b)</w:t>
      </w:r>
      <w:r>
        <w:tab/>
        <w:t>is a person to whom section 76 applies,</w:t>
      </w:r>
    </w:p>
    <w:p>
      <w:pPr>
        <w:pStyle w:val="ySubsection"/>
      </w:pPr>
      <w:r>
        <w:tab/>
      </w:r>
      <w:r>
        <w:tab/>
        <w:t>must give relevant information to the person by whom he or she is employed or engaged within 14 days after the commencement day.</w:t>
      </w:r>
    </w:p>
    <w:p>
      <w:pPr>
        <w:pStyle w:val="yPenstart"/>
      </w:pPr>
      <w:r>
        <w:tab/>
        <w:t>Penalty: a fine of $20 000.</w:t>
      </w:r>
    </w:p>
    <w:p>
      <w:pPr>
        <w:pStyle w:val="yFootnotesection"/>
      </w:pPr>
      <w:r>
        <w:tab/>
        <w:t>[Clause 4 inserted: No. 36 of 2012 s. 21.]</w:t>
      </w:r>
    </w:p>
    <w:p>
      <w:pPr>
        <w:pStyle w:val="yHeading5"/>
      </w:pPr>
      <w:bookmarkStart w:id="148" w:name="_Toc131509334"/>
      <w:r>
        <w:rPr>
          <w:rStyle w:val="CharSClsNo"/>
        </w:rPr>
        <w:t>5</w:t>
      </w:r>
      <w:r>
        <w:t>.</w:t>
      </w:r>
      <w:r>
        <w:tab/>
        <w:t>Transitional regulations</w:t>
      </w:r>
      <w:bookmarkEnd w:id="148"/>
    </w:p>
    <w:p>
      <w:pPr>
        <w:pStyle w:val="ySubsection"/>
      </w:pPr>
      <w:r>
        <w:tab/>
        <w:t>(1)</w:t>
      </w:r>
      <w:r>
        <w:tab/>
        <w:t xml:space="preserve">In this clause — </w:t>
      </w:r>
    </w:p>
    <w:p>
      <w:pPr>
        <w:pStyle w:val="yDefstart"/>
      </w:pPr>
      <w:r>
        <w:tab/>
      </w:r>
      <w:r>
        <w:rPr>
          <w:rStyle w:val="CharDefText"/>
        </w:rPr>
        <w:t>amending Act</w:t>
      </w:r>
      <w:r>
        <w:t xml:space="preserve"> means the </w:t>
      </w:r>
      <w:r>
        <w:rPr>
          <w:i/>
        </w:rPr>
        <w:t>Retirement Villages Amendment Act 2012</w:t>
      </w:r>
      <w:r>
        <w:t>;</w:t>
      </w:r>
    </w:p>
    <w:p>
      <w:pPr>
        <w:pStyle w:val="yDefstart"/>
      </w:pPr>
      <w:r>
        <w:tab/>
      </w:r>
      <w:r>
        <w:rPr>
          <w:rStyle w:val="CharDefText"/>
        </w:rPr>
        <w:t>commencement day</w:t>
      </w:r>
      <w:r>
        <w:t xml:space="preserve"> means the day on which section 21 of the amending Act comes into operation;</w:t>
      </w:r>
    </w:p>
    <w:p>
      <w:pPr>
        <w:pStyle w:val="yDefstart"/>
      </w:pPr>
      <w:r>
        <w:tab/>
      </w:r>
      <w:r>
        <w:rPr>
          <w:rStyle w:val="CharDefText"/>
        </w:rPr>
        <w:t>Gazettal day</w:t>
      </w:r>
      <w:r>
        <w:t xml:space="preserve"> means the day on which transitional regulations are published in the </w:t>
      </w:r>
      <w:r>
        <w:rPr>
          <w:i/>
        </w:rPr>
        <w:t>Gazette</w:t>
      </w:r>
      <w:r>
        <w:t>;</w:t>
      </w:r>
    </w:p>
    <w:p>
      <w:pPr>
        <w:pStyle w:val="yDefstart"/>
      </w:pPr>
      <w:r>
        <w:tab/>
      </w:r>
      <w:r>
        <w:rPr>
          <w:rStyle w:val="CharDefText"/>
        </w:rPr>
        <w:t>transitional matter</w:t>
      </w:r>
      <w:r>
        <w:t xml:space="preserve"> means a matter of a transitional, savings or application nature;</w:t>
      </w:r>
    </w:p>
    <w:p>
      <w:pPr>
        <w:pStyle w:val="yDefstart"/>
      </w:pPr>
      <w:r>
        <w:tab/>
      </w:r>
      <w:r>
        <w:rPr>
          <w:rStyle w:val="CharDefText"/>
        </w:rPr>
        <w:t>transitional regulations</w:t>
      </w:r>
      <w:r>
        <w:t xml:space="preserve"> means regulations under subclause (2).</w:t>
      </w:r>
    </w:p>
    <w:p>
      <w:pPr>
        <w:pStyle w:val="ySubsection"/>
      </w:pPr>
      <w:r>
        <w:tab/>
        <w:t>(2)</w:t>
      </w:r>
      <w:r>
        <w:tab/>
        <w:t>Regulations may prescribe anything necessary or convenient to be prescribed in relation to a transitional matter in connection with amendments made to this Act by the amending Act.</w:t>
      </w:r>
    </w:p>
    <w:p>
      <w:pPr>
        <w:pStyle w:val="ySubsection"/>
      </w:pPr>
      <w:r>
        <w:lastRenderedPageBreak/>
        <w:tab/>
        <w:t>(3)</w:t>
      </w:r>
      <w:r>
        <w:tab/>
        <w:t>Without limiting subclause (2), transitional regulations may modify the operation of section 6(2) in respect of any matter specified in the regulations.</w:t>
      </w:r>
    </w:p>
    <w:p>
      <w:pPr>
        <w:pStyle w:val="ySubsection"/>
      </w:pPr>
      <w:r>
        <w:tab/>
        <w:t>(4)</w:t>
      </w:r>
      <w:r>
        <w:tab/>
        <w:t>Transitional regulations can only be made before the end of the period of 12 months beginning on commencement day.</w:t>
      </w:r>
    </w:p>
    <w:p>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ySubsection"/>
      </w:pPr>
      <w:r>
        <w:tab/>
        <w:t>(6)</w:t>
      </w:r>
      <w:r>
        <w:tab/>
        <w:t xml:space="preserve">If transitional regulations contain a provision referred to in subclause (5), the provision does not operate so as — </w:t>
      </w:r>
    </w:p>
    <w:p>
      <w:pPr>
        <w:pStyle w:val="yIndenta"/>
      </w:pPr>
      <w:r>
        <w:tab/>
        <w:t>(a)</w:t>
      </w:r>
      <w:r>
        <w:tab/>
        <w:t>to affect in a manner prejudicial to any person (other than the State or an authority of the State), the rights of that person existing before Gazettal day; or</w:t>
      </w:r>
    </w:p>
    <w:p>
      <w:pPr>
        <w:pStyle w:val="yIndenta"/>
      </w:pPr>
      <w:r>
        <w:tab/>
        <w:t>(b)</w:t>
      </w:r>
      <w:r>
        <w:tab/>
        <w:t>to impose liabilities on any person (other than the State or an authority of the State) in respect of anything done or omitted to be done before Gazettal day.</w:t>
      </w:r>
    </w:p>
    <w:p>
      <w:pPr>
        <w:pStyle w:val="yFootnotesection"/>
      </w:pPr>
      <w:r>
        <w:tab/>
        <w:t>[Clause 5 inserted: No. 36 of 2012 s.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0" w:name="_Toc75341141"/>
      <w:bookmarkStart w:id="151" w:name="_Toc75342042"/>
      <w:bookmarkStart w:id="152" w:name="_Toc75447539"/>
      <w:bookmarkStart w:id="153" w:name="_Toc131507196"/>
      <w:bookmarkStart w:id="154" w:name="_Toc131507414"/>
      <w:bookmarkStart w:id="155" w:name="_Toc131509335"/>
      <w:r>
        <w:lastRenderedPageBreak/>
        <w:t>Notes</w:t>
      </w:r>
      <w:bookmarkEnd w:id="150"/>
      <w:bookmarkEnd w:id="151"/>
      <w:bookmarkEnd w:id="152"/>
      <w:bookmarkEnd w:id="153"/>
      <w:bookmarkEnd w:id="154"/>
      <w:bookmarkEnd w:id="155"/>
    </w:p>
    <w:p>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156" w:name="_Toc131509336"/>
      <w: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Retirement Villages Act 1992</w:t>
            </w:r>
          </w:p>
        </w:tc>
        <w:tc>
          <w:tcPr>
            <w:tcW w:w="1134" w:type="dxa"/>
            <w:tcBorders>
              <w:top w:val="single" w:sz="8" w:space="0" w:color="auto"/>
            </w:tcBorders>
          </w:tcPr>
          <w:p>
            <w:pPr>
              <w:pStyle w:val="nTable"/>
              <w:spacing w:after="40"/>
            </w:pPr>
            <w:r>
              <w:t>34 of 1992</w:t>
            </w:r>
          </w:p>
        </w:tc>
        <w:tc>
          <w:tcPr>
            <w:tcW w:w="1136"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s. 1 and 2: 19 Jun 1992;</w:t>
            </w:r>
            <w:r>
              <w:br/>
              <w:t xml:space="preserve">Act other than s. 1 and 2: 10 Jul 1992 (see s. 2 and </w:t>
            </w:r>
            <w:r>
              <w:rPr>
                <w:i/>
              </w:rPr>
              <w:t>Gazette</w:t>
            </w:r>
            <w:r>
              <w:t xml:space="preserve"> 10 Jul 1992 p. 3185)</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1997</w:t>
            </w:r>
            <w:r>
              <w:t xml:space="preserve"> s. 39(10) and 104</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trPr>
          <w:cantSplit/>
        </w:trPr>
        <w:tc>
          <w:tcPr>
            <w:tcW w:w="2268" w:type="dxa"/>
          </w:tcPr>
          <w:p>
            <w:pPr>
              <w:pStyle w:val="nTable"/>
              <w:spacing w:after="40"/>
            </w:pPr>
            <w:r>
              <w:rPr>
                <w:i/>
              </w:rPr>
              <w:t xml:space="preserve">State Superannuation (Transitional and Consequential Provisions) Act 2000 </w:t>
            </w:r>
            <w:r>
              <w:t>s. 60(1)</w:t>
            </w:r>
          </w:p>
        </w:tc>
        <w:tc>
          <w:tcPr>
            <w:tcW w:w="1134" w:type="dxa"/>
          </w:tcPr>
          <w:p>
            <w:pPr>
              <w:pStyle w:val="nTable"/>
              <w:spacing w:after="40"/>
            </w:pPr>
            <w:r>
              <w:t>43 of 2000</w:t>
            </w:r>
          </w:p>
        </w:tc>
        <w:tc>
          <w:tcPr>
            <w:tcW w:w="1136"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rPr>
          <w:cantSplit/>
        </w:trPr>
        <w:tc>
          <w:tcPr>
            <w:tcW w:w="2268" w:type="dxa"/>
          </w:tcPr>
          <w:p>
            <w:pPr>
              <w:pStyle w:val="nTable"/>
              <w:spacing w:after="40"/>
              <w:rPr>
                <w:i/>
              </w:rPr>
            </w:pPr>
            <w:r>
              <w:rPr>
                <w:i/>
              </w:rPr>
              <w:lastRenderedPageBreak/>
              <w:t xml:space="preserve">Corporations (Consequential Amendments) Act 2001 </w:t>
            </w:r>
            <w:r>
              <w:t>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(Equality of Status) Act 2003</w:t>
            </w:r>
            <w:r>
              <w:t xml:space="preserve"> Pt. 52</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Acts Amendment and Repeal (Courts and Legal Practice) Act 2003</w:t>
            </w:r>
            <w:r>
              <w:t xml:space="preserve"> s. 62</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trPr>
          <w:cantSplit/>
        </w:trPr>
        <w:tc>
          <w:tcPr>
            <w:tcW w:w="2268" w:type="dxa"/>
          </w:tcPr>
          <w:p>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pPr>
              <w:pStyle w:val="nTable"/>
              <w:spacing w:after="40"/>
            </w:pPr>
            <w:r>
              <w:t>69 of 2006</w:t>
            </w:r>
          </w:p>
        </w:tc>
        <w:tc>
          <w:tcPr>
            <w:tcW w:w="1136"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110</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pPr>
              <w:pStyle w:val="nTable"/>
              <w:spacing w:after="40"/>
              <w:rPr>
                <w:snapToGrid w:val="0"/>
              </w:rPr>
            </w:pPr>
            <w:r>
              <w:t>58 of 2010</w:t>
            </w:r>
          </w:p>
        </w:tc>
        <w:tc>
          <w:tcPr>
            <w:tcW w:w="1136"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Building Act 2011</w:t>
            </w:r>
            <w:r>
              <w:rPr>
                <w:snapToGrid w:val="0"/>
              </w:rPr>
              <w:t xml:space="preserve"> s. 171</w:t>
            </w:r>
          </w:p>
        </w:tc>
        <w:tc>
          <w:tcPr>
            <w:tcW w:w="1134" w:type="dxa"/>
          </w:tcPr>
          <w:p>
            <w:pPr>
              <w:pStyle w:val="nTable"/>
              <w:spacing w:after="40"/>
            </w:pPr>
            <w:r>
              <w:rPr>
                <w:snapToGrid w:val="0"/>
              </w:rPr>
              <w:t>24 of 2011</w:t>
            </w:r>
          </w:p>
        </w:tc>
        <w:tc>
          <w:tcPr>
            <w:tcW w:w="1136" w:type="dxa"/>
          </w:tcPr>
          <w:p>
            <w:pPr>
              <w:pStyle w:val="nTable"/>
              <w:spacing w:after="40"/>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Pr>
          <w:p>
            <w:pPr>
              <w:pStyle w:val="nTable"/>
              <w:spacing w:after="40"/>
              <w:ind w:right="113"/>
              <w:rPr>
                <w:i/>
                <w:noProof/>
                <w:snapToGrid w:val="0"/>
              </w:rPr>
            </w:pPr>
            <w:r>
              <w:rPr>
                <w:i/>
                <w:snapToGrid w:val="0"/>
              </w:rPr>
              <w:lastRenderedPageBreak/>
              <w:t>Retirement Villages Amendment Act 2012</w:t>
            </w:r>
            <w:r>
              <w:rPr>
                <w:snapToGrid w:val="0"/>
              </w:rPr>
              <w:t xml:space="preserve"> (other than s. 4(4))</w:t>
            </w:r>
          </w:p>
        </w:tc>
        <w:tc>
          <w:tcPr>
            <w:tcW w:w="1134" w:type="dxa"/>
          </w:tcPr>
          <w:p>
            <w:pPr>
              <w:pStyle w:val="nTable"/>
              <w:spacing w:after="40"/>
            </w:pPr>
            <w:r>
              <w:t>36 of 2012</w:t>
            </w:r>
          </w:p>
        </w:tc>
        <w:tc>
          <w:tcPr>
            <w:tcW w:w="1136" w:type="dxa"/>
          </w:tcPr>
          <w:p>
            <w:pPr>
              <w:pStyle w:val="nTable"/>
              <w:spacing w:after="40"/>
            </w:pPr>
            <w:r>
              <w:t>5 Nov 2012</w:t>
            </w:r>
          </w:p>
        </w:tc>
        <w:tc>
          <w:tcPr>
            <w:tcW w:w="2551" w:type="dxa"/>
          </w:tcPr>
          <w:p>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trPr>
          <w:cantSplit/>
        </w:trPr>
        <w:tc>
          <w:tcPr>
            <w:tcW w:w="7089" w:type="dxa"/>
            <w:gridSpan w:val="4"/>
            <w:shd w:val="clear" w:color="auto" w:fill="auto"/>
          </w:tcPr>
          <w:p>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r>
        <w:trPr>
          <w:cantSplit/>
        </w:trPr>
        <w:tc>
          <w:tcPr>
            <w:tcW w:w="2268" w:type="dxa"/>
          </w:tcPr>
          <w:p>
            <w:pPr>
              <w:pStyle w:val="nTable"/>
              <w:spacing w:after="40"/>
              <w:ind w:right="113"/>
              <w:rPr>
                <w:i/>
                <w:noProof/>
                <w:snapToGrid w:val="0"/>
              </w:rPr>
            </w:pPr>
            <w:r>
              <w:rPr>
                <w:i/>
              </w:rPr>
              <w:t>Strata Titles Amendment Act 2018</w:t>
            </w:r>
            <w:r>
              <w:t xml:space="preserve"> Pt. 3 Div. 19</w:t>
            </w:r>
          </w:p>
        </w:tc>
        <w:tc>
          <w:tcPr>
            <w:tcW w:w="1134" w:type="dxa"/>
          </w:tcPr>
          <w:p>
            <w:pPr>
              <w:pStyle w:val="nTable"/>
              <w:spacing w:after="40"/>
            </w:pPr>
            <w:r>
              <w:t>30 of 2018</w:t>
            </w:r>
          </w:p>
        </w:tc>
        <w:tc>
          <w:tcPr>
            <w:tcW w:w="1136" w:type="dxa"/>
          </w:tcPr>
          <w:p>
            <w:pPr>
              <w:pStyle w:val="nTable"/>
              <w:spacing w:after="40"/>
            </w:pPr>
            <w:r>
              <w:t>19 Nov 2018</w:t>
            </w:r>
          </w:p>
        </w:tc>
        <w:tc>
          <w:tcPr>
            <w:tcW w:w="2551" w:type="dxa"/>
          </w:tcPr>
          <w:p>
            <w:pPr>
              <w:pStyle w:val="nTable"/>
              <w:spacing w:after="40"/>
            </w:pPr>
            <w:r>
              <w:rPr>
                <w:snapToGrid w:val="0"/>
              </w:rPr>
              <w:t>1 May 2020 (see s. 2(b) and SL 2020/39 cl. 2)</w:t>
            </w:r>
          </w:p>
        </w:tc>
      </w:tr>
      <w:tr>
        <w:trPr>
          <w:cantSplit/>
        </w:trPr>
        <w:tc>
          <w:tcPr>
            <w:tcW w:w="2268" w:type="dxa"/>
          </w:tcPr>
          <w:p>
            <w:pPr>
              <w:pStyle w:val="nTable"/>
              <w:spacing w:after="40"/>
              <w:ind w:right="113"/>
              <w:rPr>
                <w:i/>
              </w:rPr>
            </w:pPr>
            <w:r>
              <w:rPr>
                <w:i/>
              </w:rPr>
              <w:t>Community Titles Act 2018</w:t>
            </w:r>
            <w:r>
              <w:t xml:space="preserve"> Pt. 14 Div. 19</w:t>
            </w:r>
          </w:p>
        </w:tc>
        <w:tc>
          <w:tcPr>
            <w:tcW w:w="1134" w:type="dxa"/>
          </w:tcPr>
          <w:p>
            <w:pPr>
              <w:pStyle w:val="nTable"/>
              <w:spacing w:after="40"/>
            </w:pPr>
            <w:r>
              <w:t>32 of 2018</w:t>
            </w:r>
          </w:p>
        </w:tc>
        <w:tc>
          <w:tcPr>
            <w:tcW w:w="1136" w:type="dxa"/>
          </w:tcPr>
          <w:p>
            <w:pPr>
              <w:pStyle w:val="nTable"/>
              <w:spacing w:after="40"/>
            </w:pPr>
            <w:r>
              <w:t>19 Nov 2018</w:t>
            </w:r>
          </w:p>
        </w:tc>
        <w:tc>
          <w:tcPr>
            <w:tcW w:w="2551" w:type="dxa"/>
          </w:tcPr>
          <w:p>
            <w:pPr>
              <w:pStyle w:val="nTable"/>
              <w:spacing w:after="40"/>
              <w:rPr>
                <w:snapToGrid w:val="0"/>
              </w:rPr>
            </w:pPr>
            <w:r>
              <w:t>30 Jun 2021 (see s. 2(b) and SL 2021/69 cl. 2)</w:t>
            </w:r>
          </w:p>
        </w:tc>
      </w:tr>
      <w:tr>
        <w:trPr>
          <w:cantSplit/>
        </w:trPr>
        <w:tc>
          <w:tcPr>
            <w:tcW w:w="2268" w:type="dxa"/>
            <w:tcBorders>
              <w:bottom w:val="single" w:sz="4" w:space="0" w:color="auto"/>
            </w:tcBorders>
          </w:tcPr>
          <w:p>
            <w:pPr>
              <w:pStyle w:val="nTable"/>
              <w:spacing w:after="40"/>
              <w:ind w:right="113"/>
            </w:pPr>
            <w:r>
              <w:rPr>
                <w:i/>
              </w:rPr>
              <w:t>Directors’ Liability Reform Act 2023</w:t>
            </w:r>
            <w:r>
              <w:t xml:space="preserve"> Pt. 3 Div. 54</w:t>
            </w:r>
          </w:p>
        </w:tc>
        <w:tc>
          <w:tcPr>
            <w:tcW w:w="1134" w:type="dxa"/>
            <w:tcBorders>
              <w:bottom w:val="single" w:sz="4" w:space="0" w:color="auto"/>
            </w:tcBorders>
          </w:tcPr>
          <w:p>
            <w:pPr>
              <w:pStyle w:val="nTable"/>
              <w:spacing w:after="40"/>
            </w:pPr>
            <w:r>
              <w:t>9 of 2023</w:t>
            </w:r>
          </w:p>
        </w:tc>
        <w:tc>
          <w:tcPr>
            <w:tcW w:w="1136" w:type="dxa"/>
            <w:tcBorders>
              <w:bottom w:val="single" w:sz="4" w:space="0" w:color="auto"/>
            </w:tcBorders>
          </w:tcPr>
          <w:p>
            <w:pPr>
              <w:pStyle w:val="nTable"/>
              <w:spacing w:after="40"/>
            </w:pPr>
            <w:r>
              <w:t>4 Apr 2023</w:t>
            </w:r>
          </w:p>
        </w:tc>
        <w:tc>
          <w:tcPr>
            <w:tcW w:w="2551" w:type="dxa"/>
            <w:tcBorders>
              <w:bottom w:val="single" w:sz="4" w:space="0" w:color="auto"/>
            </w:tcBorders>
          </w:tcPr>
          <w:p>
            <w:pPr>
              <w:pStyle w:val="nTable"/>
              <w:spacing w:after="40"/>
            </w:pPr>
            <w:r>
              <w:t>5 Apr 2023 (see s. 2(j))</w:t>
            </w:r>
          </w:p>
        </w:tc>
      </w:tr>
    </w:tbl>
    <w:p>
      <w:pPr>
        <w:pStyle w:val="nHeading3"/>
      </w:pPr>
      <w:bookmarkStart w:id="157" w:name="_Toc131509337"/>
      <w:r>
        <w:t>Uncommenced provisions table</w:t>
      </w:r>
      <w:bookmarkEnd w:id="15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pPr>
              <w:pStyle w:val="nTable"/>
              <w:keepNext/>
              <w:spacing w:after="40"/>
            </w:pPr>
            <w:r>
              <w:t>43 of 2000</w:t>
            </w:r>
          </w:p>
        </w:tc>
        <w:tc>
          <w:tcPr>
            <w:tcW w:w="1136"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tcBorders>
              <w:bottom w:val="single" w:sz="4" w:space="0" w:color="auto"/>
            </w:tcBorders>
            <w:shd w:val="clear" w:color="auto" w:fill="auto"/>
          </w:tcPr>
          <w:p>
            <w:pPr>
              <w:pStyle w:val="nTable"/>
              <w:keepNext/>
              <w:spacing w:after="40"/>
            </w:pPr>
            <w:r>
              <w:t>36 of 2012</w:t>
            </w:r>
          </w:p>
        </w:tc>
        <w:tc>
          <w:tcPr>
            <w:tcW w:w="1136" w:type="dxa"/>
            <w:tcBorders>
              <w:bottom w:val="single" w:sz="4" w:space="0" w:color="auto"/>
            </w:tcBorders>
            <w:shd w:val="clear" w:color="auto" w:fill="auto"/>
          </w:tcPr>
          <w:p>
            <w:pPr>
              <w:pStyle w:val="nTable"/>
              <w:keepNext/>
              <w:spacing w:after="40"/>
            </w:pPr>
            <w:r>
              <w:t>5 Nov 2012</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Heading3"/>
      </w:pPr>
      <w:bookmarkStart w:id="158" w:name="_Toc131509338"/>
      <w:r>
        <w:t>Other notes</w:t>
      </w:r>
      <w:bookmarkEnd w:id="158"/>
    </w:p>
    <w:p>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spacing w:before="120"/>
      </w:pPr>
      <w:r>
        <w:rPr>
          <w:vertAlign w:val="superscript"/>
        </w:rPr>
        <w:lastRenderedPageBreak/>
        <w:t>3</w:t>
      </w:r>
      <w:r>
        <w:tab/>
        <w:t xml:space="preserve">The </w:t>
      </w:r>
      <w:r>
        <w:rPr>
          <w:i/>
        </w:rPr>
        <w:t>State Administrative Tribunal Regulations 2004</w:t>
      </w:r>
      <w:r>
        <w:t xml:space="preserve"> r. 37 reads as follows:</w:t>
      </w:r>
    </w:p>
    <w:p>
      <w:pPr>
        <w:pStyle w:val="BlankOpen"/>
        <w:rPr>
          <w:snapToGrid w:val="0"/>
        </w:rPr>
      </w:pPr>
    </w:p>
    <w:p>
      <w:pPr>
        <w:pStyle w:val="nzHeading5"/>
        <w:keepLines w:val="0"/>
        <w:spacing w:before="40"/>
      </w:pPr>
      <w:r>
        <w:rPr>
          <w:rStyle w:val="CharSectno"/>
        </w:rPr>
        <w:t>37</w:t>
      </w:r>
      <w:r>
        <w:t>.</w:t>
      </w:r>
      <w:r>
        <w:tab/>
      </w:r>
      <w:r>
        <w:rPr>
          <w:i/>
        </w:rPr>
        <w:t>Retirement Villages Act 1992</w:t>
      </w:r>
    </w:p>
    <w:p>
      <w:pPr>
        <w:pStyle w:val="nzSubsection"/>
        <w:keepNext/>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60" w:name="_Toc75341145"/>
      <w:bookmarkStart w:id="161" w:name="_Toc75342046"/>
      <w:bookmarkStart w:id="162" w:name="_Toc75447543"/>
      <w:bookmarkStart w:id="163" w:name="_Toc131507200"/>
      <w:bookmarkStart w:id="164" w:name="_Toc131507418"/>
      <w:bookmarkStart w:id="165" w:name="_Toc131509339"/>
      <w:r>
        <w:rPr>
          <w:sz w:val="28"/>
        </w:rPr>
        <w:lastRenderedPageBreak/>
        <w:t>Defined terms</w:t>
      </w:r>
      <w:bookmarkEnd w:id="160"/>
      <w:bookmarkEnd w:id="161"/>
      <w:bookmarkEnd w:id="162"/>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3(1)</w:t>
      </w:r>
    </w:p>
    <w:p>
      <w:pPr>
        <w:pStyle w:val="DefinedTerms"/>
      </w:pPr>
      <w:r>
        <w:t>amending Act</w:t>
      </w:r>
      <w:r>
        <w:tab/>
        <w:t>Sch. 1 cl. 5(1)</w:t>
      </w:r>
    </w:p>
    <w:p>
      <w:pPr>
        <w:pStyle w:val="DefinedTerms"/>
      </w:pPr>
      <w:r>
        <w:t>appointed</w:t>
      </w:r>
      <w:r>
        <w:tab/>
        <w:t>75F(1)</w:t>
      </w:r>
    </w:p>
    <w:p>
      <w:pPr>
        <w:pStyle w:val="DefinedTerms"/>
      </w:pPr>
      <w:r>
        <w:t>assets</w:t>
      </w:r>
      <w:r>
        <w:tab/>
        <w:t>75A</w:t>
      </w:r>
    </w:p>
    <w:p>
      <w:pPr>
        <w:pStyle w:val="DefinedTerms"/>
      </w:pPr>
      <w:r>
        <w:t>code</w:t>
      </w:r>
      <w:r>
        <w:tab/>
        <w:t>3(1)</w:t>
      </w:r>
    </w:p>
    <w:p>
      <w:pPr>
        <w:pStyle w:val="DefinedTerms"/>
      </w:pPr>
      <w:r>
        <w:t>commencement date</w:t>
      </w:r>
      <w:r>
        <w:tab/>
        <w:t>Sch. 1 cl. 3(2)</w:t>
      </w:r>
    </w:p>
    <w:p>
      <w:pPr>
        <w:pStyle w:val="DefinedTerms"/>
      </w:pPr>
      <w:r>
        <w:t>commencement day</w:t>
      </w:r>
      <w:r>
        <w:tab/>
        <w:t>Sch. 1 cl. 4(1), Sch. 1 cl. 5(1)</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external administration</w:t>
      </w:r>
      <w:r>
        <w:tab/>
        <w:t>75G(1)</w:t>
      </w:r>
    </w:p>
    <w:p>
      <w:pPr>
        <w:pStyle w:val="DefinedTerms"/>
      </w:pPr>
      <w:r>
        <w:t>external administrator</w:t>
      </w:r>
      <w:r>
        <w:tab/>
        <w:t>75G(1)</w:t>
      </w:r>
    </w:p>
    <w:p>
      <w:pPr>
        <w:pStyle w:val="DefinedTerms"/>
      </w:pPr>
      <w:r>
        <w:t>former resident</w:t>
      </w:r>
      <w:r>
        <w:tab/>
        <w:t>23(1), 24(1)</w:t>
      </w:r>
    </w:p>
    <w:p>
      <w:pPr>
        <w:pStyle w:val="DefinedTerms"/>
      </w:pPr>
      <w:r>
        <w:t>functions</w:t>
      </w:r>
      <w:r>
        <w:tab/>
        <w:t>75A</w:t>
      </w:r>
    </w:p>
    <w:p>
      <w:pPr>
        <w:pStyle w:val="DefinedTerms"/>
      </w:pPr>
      <w:r>
        <w:t>Gazettal day</w:t>
      </w:r>
      <w:r>
        <w:tab/>
        <w:t>Sch. 1 cl. 5(1)</w:t>
      </w:r>
    </w:p>
    <w:p>
      <w:pPr>
        <w:pStyle w:val="DefinedTerms"/>
      </w:pPr>
      <w:r>
        <w:t>information</w:t>
      </w:r>
      <w:r>
        <w:tab/>
        <w:t>11A(3)</w:t>
      </w:r>
    </w:p>
    <w:p>
      <w:pPr>
        <w:pStyle w:val="DefinedTerms"/>
      </w:pPr>
      <w:r>
        <w:t>levy</w:t>
      </w:r>
      <w:r>
        <w:tab/>
        <w:t>3(1)</w:t>
      </w:r>
    </w:p>
    <w:p>
      <w:pPr>
        <w:pStyle w:val="DefinedTerms"/>
      </w:pPr>
      <w:r>
        <w:t>officer</w:t>
      </w:r>
      <w:r>
        <w:tab/>
        <w:t>79(2)</w:t>
      </w:r>
    </w:p>
    <w:p>
      <w:pPr>
        <w:pStyle w:val="DefinedTerms"/>
      </w:pPr>
      <w:r>
        <w:t>operative day</w:t>
      </w:r>
      <w:r>
        <w:tab/>
        <w:t>Sch. 1 cl. 5(5)</w:t>
      </w:r>
    </w:p>
    <w:p>
      <w:pPr>
        <w:pStyle w:val="DefinedTerms"/>
      </w:pPr>
      <w:r>
        <w:t>other persons</w:t>
      </w:r>
      <w:r>
        <w:tab/>
        <w:t>75D(1)</w:t>
      </w:r>
    </w:p>
    <w:p>
      <w:pPr>
        <w:pStyle w:val="DefinedTerms"/>
      </w:pPr>
      <w:r>
        <w:t>owner</w:t>
      </w:r>
      <w:r>
        <w:tab/>
        <w:t>3(1), 13(7)</w:t>
      </w:r>
    </w:p>
    <w:p>
      <w:pPr>
        <w:pStyle w:val="DefinedTerms"/>
      </w:pPr>
      <w:r>
        <w:t>premium</w:t>
      </w:r>
      <w:r>
        <w:tab/>
        <w:t>3(1)</w:t>
      </w:r>
    </w:p>
    <w:p>
      <w:pPr>
        <w:pStyle w:val="DefinedTerms"/>
      </w:pPr>
      <w:r>
        <w:t>property</w:t>
      </w:r>
      <w:r>
        <w:tab/>
        <w:t>75A</w:t>
      </w:r>
    </w:p>
    <w:p>
      <w:pPr>
        <w:pStyle w:val="DefinedTerms"/>
      </w:pPr>
      <w:r>
        <w:t>records</w:t>
      </w:r>
      <w:r>
        <w:tab/>
        <w:t>75H(1)</w:t>
      </w:r>
    </w:p>
    <w:p>
      <w:pPr>
        <w:pStyle w:val="DefinedTerms"/>
      </w:pPr>
      <w:r>
        <w:t>recurrent charge</w:t>
      </w:r>
      <w:r>
        <w:tab/>
        <w:t>3(1)</w:t>
      </w:r>
    </w:p>
    <w:p>
      <w:pPr>
        <w:pStyle w:val="DefinedTerms"/>
      </w:pPr>
      <w:r>
        <w:t>recurrent charges</w:t>
      </w:r>
      <w:r>
        <w:tab/>
        <w:t>23(1), 24(1)</w:t>
      </w:r>
    </w:p>
    <w:p>
      <w:pPr>
        <w:pStyle w:val="DefinedTerms"/>
      </w:pPr>
      <w:r>
        <w:t>Registrar of Titles</w:t>
      </w:r>
      <w:r>
        <w:tab/>
        <w:t>3(1)</w:t>
      </w:r>
    </w:p>
    <w:p>
      <w:pPr>
        <w:pStyle w:val="DefinedTerms"/>
      </w:pPr>
      <w:r>
        <w:t>relevant</w:t>
      </w:r>
      <w:r>
        <w:tab/>
        <w:t>75H(1)</w:t>
      </w:r>
    </w:p>
    <w:p>
      <w:pPr>
        <w:pStyle w:val="DefinedTerms"/>
      </w:pPr>
      <w:r>
        <w:t>relevant information</w:t>
      </w:r>
      <w:r>
        <w:tab/>
        <w:t>77B(1), Sch. 1 cl. 4(1)</w:t>
      </w:r>
    </w:p>
    <w:p>
      <w:pPr>
        <w:pStyle w:val="DefinedTerms"/>
      </w:pPr>
      <w:r>
        <w:t>relevant person</w:t>
      </w:r>
      <w:r>
        <w:tab/>
        <w:t>Sch. 1 cl. 4(2)</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lastRenderedPageBreak/>
        <w:t>service contract</w:t>
      </w:r>
      <w:r>
        <w:tab/>
        <w:t>3(1)</w:t>
      </w:r>
    </w:p>
    <w:p>
      <w:pPr>
        <w:pStyle w:val="DefinedTerms"/>
      </w:pPr>
      <w:r>
        <w:t>special resolution</w:t>
      </w:r>
      <w:r>
        <w:tab/>
        <w:t>57A(3)</w:t>
      </w:r>
    </w:p>
    <w:p>
      <w:pPr>
        <w:pStyle w:val="DefinedTerms"/>
      </w:pPr>
      <w:r>
        <w:t>statutory manager</w:t>
      </w:r>
      <w:r>
        <w:tab/>
        <w:t>11(1), 75A</w:t>
      </w:r>
    </w:p>
    <w:p>
      <w:pPr>
        <w:pStyle w:val="DefinedTerms"/>
      </w:pPr>
      <w:r>
        <w:t>successor in title</w:t>
      </w:r>
      <w:r>
        <w:tab/>
        <w:t>17(3)</w:t>
      </w:r>
    </w:p>
    <w:p>
      <w:pPr>
        <w:pStyle w:val="DefinedTerms"/>
      </w:pPr>
      <w:r>
        <w:t>transitional matter</w:t>
      </w:r>
      <w:r>
        <w:tab/>
        <w:t>Sch. 1 cl. 5(1)</w:t>
      </w:r>
    </w:p>
    <w:p>
      <w:pPr>
        <w:pStyle w:val="DefinedTerms"/>
      </w:pPr>
      <w:r>
        <w:t>transitional regulations</w:t>
      </w:r>
      <w:r>
        <w:tab/>
        <w:t>Sch. 1 cl. 5(1)</w:t>
      </w:r>
    </w:p>
    <w:p>
      <w:pPr>
        <w:pStyle w:val="DefinedTerms"/>
      </w:pPr>
      <w:r>
        <w:t>working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9" w:name="Schedule"/>
    <w:bookmarkEnd w:id="1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4247"/>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2201114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1422_GUID" w:val="8fcab5e6-3e67-4439-bc4e-76a527113c6f"/>
    <w:docVar w:name="WAFER_2021061513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25_GUID" w:val="bf9fdda3-1a09-4092-aa0f-f4e8a5ae0db1"/>
    <w:docVar w:name="WAFER_202106231142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4247_GUID" w:val="d33e55c7-5605-4b62-93a9-7708b750c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DC67-BE6A-452A-80B0-9B814A27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19150</Words>
  <Characters>94794</Characters>
  <Application>Microsoft Office Word</Application>
  <DocSecurity>0</DocSecurity>
  <Lines>2562</Lines>
  <Paragraphs>1340</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1992 - 04-f0-00</dc:title>
  <dc:subject/>
  <dc:creator/>
  <cp:keywords/>
  <dc:description/>
  <cp:lastModifiedBy>Master Repository Process</cp:lastModifiedBy>
  <cp:revision>4</cp:revision>
  <cp:lastPrinted>2021-06-24T09:00:00Z</cp:lastPrinted>
  <dcterms:created xsi:type="dcterms:W3CDTF">2023-04-05T04:27:00Z</dcterms:created>
  <dcterms:modified xsi:type="dcterms:W3CDTF">2023-04-05T04:27:00Z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AsAtDate">
    <vt:lpwstr>05 Apr 2023</vt:lpwstr>
  </property>
  <property fmtid="{D5CDD505-2E9C-101B-9397-08002B2CF9AE}" pid="8" name="Suffix">
    <vt:lpwstr>04-f0-00</vt:lpwstr>
  </property>
  <property fmtid="{D5CDD505-2E9C-101B-9397-08002B2CF9AE}" pid="9" name="CommencementDate">
    <vt:lpwstr>20230405</vt:lpwstr>
  </property>
</Properties>
</file>