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_Toc135127103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_Toc135127104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_Toc135127106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_Toc135127107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_Toc135127108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_Toc135127109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_Toc135127110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_Toc135127112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_Toc135127113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_Toc135127114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_Toc135127117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_Toc135127119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_Toc135127120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_Toc135127122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_Toc135127123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_Toc135127124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_Toc135127125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_Toc135127126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_Toc135127129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_Toc135127132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_Toc135127133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_Toc135127135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_Toc135127136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_Toc135127137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_Toc135127139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_Toc135127140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_Toc135127142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_Toc135127143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_Toc135127145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_Toc135127146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_Toc135127147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_Toc135127148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_Toc135127149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Aboriginal cultural heritage services</w:t>
      </w:r>
    </w:p>
    <w:p>
      <w:pPr>
        <w:pStyle w:val="TOC6"/>
        <w:tabs>
          <w:tab w:val="right" w:leader="dot" w:pos="7077"/>
        </w:tabs>
        <w:rPr>
          <w:rFonts w:asciiTheme="minorHAnsi" w:eastAsiaTheme="minorEastAsia" w:hAnsiTheme="minorHAnsi" w:cstheme="minorBidi"/>
          <w:b w:val="0"/>
          <w:sz w:val="22"/>
          <w:szCs w:val="22"/>
        </w:rPr>
      </w:pPr>
      <w:r>
        <w:t>Subdivision 1 — Purpose and nature of local ACH services</w:t>
      </w:r>
    </w:p>
    <w:p>
      <w:pPr>
        <w:pStyle w:val="TOC8"/>
        <w:rPr>
          <w:rFonts w:asciiTheme="minorHAnsi" w:eastAsiaTheme="minorEastAsia" w:hAnsiTheme="minorHAnsi" w:cstheme="minorBidi"/>
          <w:szCs w:val="22"/>
        </w:rPr>
      </w:pPr>
      <w:r>
        <w:t>34.</w:t>
      </w:r>
      <w:r>
        <w:tab/>
        <w:t>Purpose of local ACH service</w:t>
      </w:r>
      <w:r>
        <w:tab/>
      </w:r>
      <w:r>
        <w:fldChar w:fldCharType="begin"/>
      </w:r>
      <w:r>
        <w:instrText xml:space="preserve"> PAGEREF _Toc135127152 \h </w:instrText>
      </w:r>
      <w:r>
        <w:fldChar w:fldCharType="separate"/>
      </w:r>
      <w:r>
        <w:t>33</w:t>
      </w:r>
      <w:r>
        <w:fldChar w:fldCharType="end"/>
      </w:r>
    </w:p>
    <w:p>
      <w:pPr>
        <w:pStyle w:val="TOC8"/>
        <w:rPr>
          <w:rFonts w:asciiTheme="minorHAnsi" w:eastAsiaTheme="minorEastAsia" w:hAnsiTheme="minorHAnsi" w:cstheme="minorBidi"/>
          <w:szCs w:val="22"/>
        </w:rPr>
      </w:pPr>
      <w:r>
        <w:t>35.</w:t>
      </w:r>
      <w:r>
        <w:tab/>
        <w:t>Nature of local ACH service</w:t>
      </w:r>
      <w:r>
        <w:tab/>
      </w:r>
      <w:r>
        <w:fldChar w:fldCharType="begin"/>
      </w:r>
      <w:r>
        <w:instrText xml:space="preserve"> PAGEREF _Toc135127153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as local ACH service</w:t>
      </w:r>
    </w:p>
    <w:p>
      <w:pPr>
        <w:pStyle w:val="TOC8"/>
        <w:rPr>
          <w:rFonts w:asciiTheme="minorHAnsi" w:eastAsiaTheme="minorEastAsia" w:hAnsiTheme="minorHAnsi" w:cstheme="minorBidi"/>
          <w:szCs w:val="22"/>
        </w:rPr>
      </w:pPr>
      <w:r>
        <w:t>36.</w:t>
      </w:r>
      <w:r>
        <w:tab/>
        <w:t>ACH Council must designate local ACH service</w:t>
      </w:r>
      <w:r>
        <w:tab/>
      </w:r>
      <w:r>
        <w:fldChar w:fldCharType="begin"/>
      </w:r>
      <w:r>
        <w:instrText xml:space="preserve"> PAGEREF _Toc135127155 \h </w:instrText>
      </w:r>
      <w:r>
        <w:fldChar w:fldCharType="separate"/>
      </w:r>
      <w:r>
        <w:t>34</w:t>
      </w:r>
      <w:r>
        <w:fldChar w:fldCharType="end"/>
      </w:r>
    </w:p>
    <w:p>
      <w:pPr>
        <w:pStyle w:val="TOC8"/>
        <w:rPr>
          <w:rFonts w:asciiTheme="minorHAnsi" w:eastAsiaTheme="minorEastAsia" w:hAnsiTheme="minorHAnsi" w:cstheme="minorBidi"/>
          <w:szCs w:val="22"/>
        </w:rPr>
      </w:pPr>
      <w:r>
        <w:t>37.</w:t>
      </w:r>
      <w:r>
        <w:tab/>
        <w:t>Designation of local ACH service</w:t>
      </w:r>
      <w:r>
        <w:tab/>
      </w:r>
      <w:r>
        <w:fldChar w:fldCharType="begin"/>
      </w:r>
      <w:r>
        <w:instrText xml:space="preserve"> PAGEREF _Toc135127156 \h </w:instrText>
      </w:r>
      <w:r>
        <w:fldChar w:fldCharType="separate"/>
      </w:r>
      <w:r>
        <w:t>34</w:t>
      </w:r>
      <w:r>
        <w:fldChar w:fldCharType="end"/>
      </w:r>
    </w:p>
    <w:p>
      <w:pPr>
        <w:pStyle w:val="TOC8"/>
        <w:rPr>
          <w:rFonts w:asciiTheme="minorHAnsi" w:eastAsiaTheme="minorEastAsia" w:hAnsiTheme="minorHAnsi" w:cstheme="minorBidi"/>
          <w:szCs w:val="22"/>
        </w:rPr>
      </w:pPr>
      <w:r>
        <w:t>38.</w:t>
      </w:r>
      <w:r>
        <w:tab/>
        <w:t>Application to be designated as local ACH service</w:t>
      </w:r>
      <w:r>
        <w:tab/>
      </w:r>
      <w:r>
        <w:fldChar w:fldCharType="begin"/>
      </w:r>
      <w:r>
        <w:instrText xml:space="preserve"> PAGEREF _Toc135127157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Requirements for designation as local ACH service</w:t>
      </w:r>
      <w:r>
        <w:tab/>
      </w:r>
      <w:r>
        <w:fldChar w:fldCharType="begin"/>
      </w:r>
      <w:r>
        <w:instrText xml:space="preserve"> PAGEREF _Toc135127158 \h </w:instrText>
      </w:r>
      <w:r>
        <w:fldChar w:fldCharType="separate"/>
      </w:r>
      <w:r>
        <w:t>35</w:t>
      </w:r>
      <w:r>
        <w:fldChar w:fldCharType="end"/>
      </w:r>
    </w:p>
    <w:p>
      <w:pPr>
        <w:pStyle w:val="TOC8"/>
        <w:rPr>
          <w:rFonts w:asciiTheme="minorHAnsi" w:eastAsiaTheme="minorEastAsia" w:hAnsiTheme="minorHAnsi" w:cstheme="minorBidi"/>
          <w:szCs w:val="22"/>
        </w:rPr>
      </w:pPr>
      <w:r>
        <w:t>40.</w:t>
      </w:r>
      <w:r>
        <w:tab/>
        <w:t>Order of priority of designation</w:t>
      </w:r>
      <w:r>
        <w:tab/>
      </w:r>
      <w:r>
        <w:fldChar w:fldCharType="begin"/>
      </w:r>
      <w:r>
        <w:instrText xml:space="preserve"> PAGEREF _Toc135127159 \h </w:instrText>
      </w:r>
      <w:r>
        <w:fldChar w:fldCharType="separate"/>
      </w:r>
      <w:r>
        <w:t>36</w:t>
      </w:r>
      <w:r>
        <w:fldChar w:fldCharType="end"/>
      </w:r>
    </w:p>
    <w:p>
      <w:pPr>
        <w:pStyle w:val="TOC8"/>
        <w:rPr>
          <w:rFonts w:asciiTheme="minorHAnsi" w:eastAsiaTheme="minorEastAsia" w:hAnsiTheme="minorHAnsi" w:cstheme="minorBidi"/>
          <w:szCs w:val="22"/>
        </w:rPr>
      </w:pPr>
      <w:r>
        <w:t>41.</w:t>
      </w:r>
      <w:r>
        <w:tab/>
        <w:t>ACH Council must give public notice of designation</w:t>
      </w:r>
      <w:r>
        <w:tab/>
      </w:r>
      <w:r>
        <w:fldChar w:fldCharType="begin"/>
      </w:r>
      <w:r>
        <w:instrText xml:space="preserve"> PAGEREF _Toc135127160 \h </w:instrText>
      </w:r>
      <w:r>
        <w:fldChar w:fldCharType="separate"/>
      </w:r>
      <w:r>
        <w:t>37</w:t>
      </w:r>
      <w:r>
        <w:fldChar w:fldCharType="end"/>
      </w:r>
    </w:p>
    <w:p>
      <w:pPr>
        <w:pStyle w:val="TOC8"/>
        <w:rPr>
          <w:rFonts w:asciiTheme="minorHAnsi" w:eastAsiaTheme="minorEastAsia" w:hAnsiTheme="minorHAnsi" w:cstheme="minorBidi"/>
          <w:szCs w:val="22"/>
        </w:rPr>
      </w:pPr>
      <w:r>
        <w:t>42.</w:t>
      </w:r>
      <w:r>
        <w:tab/>
        <w:t>Duration of designation as local ACH service for area</w:t>
      </w:r>
      <w:r>
        <w:tab/>
      </w:r>
      <w:r>
        <w:fldChar w:fldCharType="begin"/>
      </w:r>
      <w:r>
        <w:instrText xml:space="preserve"> PAGEREF _Toc135127161 \h </w:instrText>
      </w:r>
      <w:r>
        <w:fldChar w:fldCharType="separate"/>
      </w:r>
      <w:r>
        <w:t>38</w:t>
      </w:r>
      <w:r>
        <w:fldChar w:fldCharType="end"/>
      </w:r>
    </w:p>
    <w:p>
      <w:pPr>
        <w:pStyle w:val="TOC8"/>
        <w:rPr>
          <w:rFonts w:asciiTheme="minorHAnsi" w:eastAsiaTheme="minorEastAsia" w:hAnsiTheme="minorHAnsi" w:cstheme="minorBidi"/>
          <w:szCs w:val="22"/>
        </w:rPr>
      </w:pPr>
      <w:r>
        <w:t>43.</w:t>
      </w:r>
      <w:r>
        <w:tab/>
        <w:t>Suspension or cancellation of designation as local ACH service for area or part of area</w:t>
      </w:r>
      <w:r>
        <w:tab/>
      </w:r>
      <w:r>
        <w:fldChar w:fldCharType="begin"/>
      </w:r>
      <w:r>
        <w:instrText xml:space="preserve"> PAGEREF _Toc135127162 \h </w:instrText>
      </w:r>
      <w:r>
        <w:fldChar w:fldCharType="separate"/>
      </w:r>
      <w:r>
        <w:t>38</w:t>
      </w:r>
      <w:r>
        <w:fldChar w:fldCharType="end"/>
      </w:r>
    </w:p>
    <w:p>
      <w:pPr>
        <w:pStyle w:val="TOC8"/>
        <w:rPr>
          <w:rFonts w:asciiTheme="minorHAnsi" w:eastAsiaTheme="minorEastAsia" w:hAnsiTheme="minorHAnsi" w:cstheme="minorBidi"/>
          <w:szCs w:val="22"/>
        </w:rPr>
      </w:pPr>
      <w:r>
        <w:t>44.</w:t>
      </w:r>
      <w:r>
        <w:tab/>
        <w:t>Change to area for local ACH service</w:t>
      </w:r>
      <w:r>
        <w:tab/>
      </w:r>
      <w:r>
        <w:fldChar w:fldCharType="begin"/>
      </w:r>
      <w:r>
        <w:instrText xml:space="preserve"> PAGEREF _Toc135127163 \h </w:instrText>
      </w:r>
      <w:r>
        <w:fldChar w:fldCharType="separate"/>
      </w:r>
      <w:r>
        <w:t>40</w:t>
      </w:r>
      <w:r>
        <w:fldChar w:fldCharType="end"/>
      </w:r>
    </w:p>
    <w:p>
      <w:pPr>
        <w:pStyle w:val="TOC8"/>
        <w:rPr>
          <w:rFonts w:asciiTheme="minorHAnsi" w:eastAsiaTheme="minorEastAsia" w:hAnsiTheme="minorHAnsi" w:cstheme="minorBidi"/>
          <w:szCs w:val="22"/>
        </w:rPr>
      </w:pPr>
      <w:r>
        <w:t>45.</w:t>
      </w:r>
      <w:r>
        <w:tab/>
        <w:t>Change to local ACH service</w:t>
      </w:r>
      <w:r>
        <w:tab/>
      </w:r>
      <w:r>
        <w:fldChar w:fldCharType="begin"/>
      </w:r>
      <w:r>
        <w:instrText xml:space="preserve"> PAGEREF _Toc135127164 \h </w:instrText>
      </w:r>
      <w:r>
        <w:fldChar w:fldCharType="separate"/>
      </w:r>
      <w:r>
        <w:t>41</w:t>
      </w:r>
      <w:r>
        <w:fldChar w:fldCharType="end"/>
      </w:r>
    </w:p>
    <w:p>
      <w:pPr>
        <w:pStyle w:val="TOC8"/>
        <w:rPr>
          <w:rFonts w:asciiTheme="minorHAnsi" w:eastAsiaTheme="minorEastAsia" w:hAnsiTheme="minorHAnsi" w:cstheme="minorBidi"/>
          <w:szCs w:val="22"/>
        </w:rPr>
      </w:pPr>
      <w:r>
        <w:t>46.</w:t>
      </w:r>
      <w:r>
        <w:tab/>
        <w:t>Objection to decision of ACH Council</w:t>
      </w:r>
      <w:r>
        <w:tab/>
      </w:r>
      <w:r>
        <w:fldChar w:fldCharType="begin"/>
      </w:r>
      <w:r>
        <w:instrText xml:space="preserve"> PAGEREF _Toc135127165 \h </w:instrText>
      </w:r>
      <w:r>
        <w:fldChar w:fldCharType="separate"/>
      </w:r>
      <w:r>
        <w:t>42</w:t>
      </w:r>
      <w:r>
        <w:fldChar w:fldCharType="end"/>
      </w:r>
    </w:p>
    <w:p>
      <w:pPr>
        <w:pStyle w:val="TOC8"/>
        <w:rPr>
          <w:rFonts w:asciiTheme="minorHAnsi" w:eastAsiaTheme="minorEastAsia" w:hAnsiTheme="minorHAnsi" w:cstheme="minorBidi"/>
          <w:szCs w:val="22"/>
        </w:rPr>
      </w:pPr>
      <w:r>
        <w:t>47.</w:t>
      </w:r>
      <w:r>
        <w:tab/>
        <w:t>Notice of decision must be given</w:t>
      </w:r>
      <w:r>
        <w:tab/>
      </w:r>
      <w:r>
        <w:fldChar w:fldCharType="begin"/>
      </w:r>
      <w:r>
        <w:instrText xml:space="preserve"> PAGEREF _Toc135127166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ACH service functions and related provisions</w:t>
      </w:r>
    </w:p>
    <w:p>
      <w:pPr>
        <w:pStyle w:val="TOC8"/>
        <w:rPr>
          <w:rFonts w:asciiTheme="minorHAnsi" w:eastAsiaTheme="minorEastAsia" w:hAnsiTheme="minorHAnsi" w:cstheme="minorBidi"/>
          <w:szCs w:val="22"/>
        </w:rPr>
      </w:pPr>
      <w:r>
        <w:t>50.</w:t>
      </w:r>
      <w:r>
        <w:tab/>
        <w:t>Variation of fee structure for services provided by local ACH service</w:t>
      </w:r>
      <w:r>
        <w:tab/>
      </w:r>
      <w:r>
        <w:fldChar w:fldCharType="begin"/>
      </w:r>
      <w:r>
        <w:instrText xml:space="preserve"> PAGEREF _Toc135127168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Protected areas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_Toc135127171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Declaration of protected area</w:t>
      </w:r>
    </w:p>
    <w:p>
      <w:pPr>
        <w:pStyle w:val="TOC8"/>
        <w:rPr>
          <w:rFonts w:asciiTheme="minorHAnsi" w:eastAsiaTheme="minorEastAsia" w:hAnsiTheme="minorHAnsi" w:cstheme="minorBidi"/>
          <w:szCs w:val="22"/>
        </w:rPr>
      </w:pPr>
      <w:r>
        <w:t>86.</w:t>
      </w:r>
      <w:r>
        <w:tab/>
        <w:t>Provisions about protected area orders</w:t>
      </w:r>
      <w:r>
        <w:tab/>
      </w:r>
      <w:r>
        <w:fldChar w:fldCharType="begin"/>
      </w:r>
      <w:r>
        <w:instrText xml:space="preserve"> PAGEREF _Toc135127173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Offences about harming Aboriginal cultural heritage and </w:t>
      </w:r>
      <w:r>
        <w:lastRenderedPageBreak/>
        <w:t>compensation for harm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Meaning of harm to Aboriginal cultural heritage</w:t>
      </w:r>
      <w:r>
        <w:tab/>
      </w:r>
      <w:r>
        <w:fldChar w:fldCharType="begin"/>
      </w:r>
      <w:r>
        <w:instrText xml:space="preserve"> PAGEREF _Toc135127176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_Toc135127179 \h </w:instrText>
      </w:r>
      <w:r>
        <w:fldChar w:fldCharType="separate"/>
      </w:r>
      <w:r>
        <w:t>48</w:t>
      </w:r>
      <w:r>
        <w:fldChar w:fldCharType="end"/>
      </w:r>
    </w:p>
    <w:p>
      <w:pPr>
        <w:pStyle w:val="TOC8"/>
        <w:rPr>
          <w:rFonts w:asciiTheme="minorHAnsi" w:eastAsiaTheme="minorEastAsia" w:hAnsiTheme="minorHAnsi" w:cstheme="minorBidi"/>
          <w:szCs w:val="22"/>
        </w:rPr>
      </w:pPr>
      <w:r>
        <w:t>101.</w:t>
      </w:r>
      <w:r>
        <w:tab/>
        <w:t>Consultation about proposed activities</w:t>
      </w:r>
      <w:r>
        <w:tab/>
      </w:r>
      <w:r>
        <w:fldChar w:fldCharType="begin"/>
      </w:r>
      <w:r>
        <w:instrText xml:space="preserve"> PAGEREF _Toc135127180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Persons to be notified or persons to be consulted about activities or proposed activities</w:t>
      </w:r>
    </w:p>
    <w:p>
      <w:pPr>
        <w:pStyle w:val="TOC8"/>
        <w:rPr>
          <w:rFonts w:asciiTheme="minorHAnsi" w:eastAsiaTheme="minorEastAsia" w:hAnsiTheme="minorHAnsi" w:cstheme="minorBidi"/>
          <w:szCs w:val="22"/>
        </w:rPr>
      </w:pPr>
      <w:r>
        <w:t>107.</w:t>
      </w:r>
      <w:r>
        <w:tab/>
        <w:t>Persons to be notified or persons to be consulted about activities or proposed activities</w:t>
      </w:r>
      <w:r>
        <w:tab/>
      </w:r>
      <w:r>
        <w:fldChar w:fldCharType="begin"/>
      </w:r>
      <w:r>
        <w:instrText xml:space="preserve"> PAGEREF _Toc135127182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ACH management plans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139.</w:t>
      </w:r>
      <w:r>
        <w:tab/>
        <w:t>Obligation to consult on ACH management plan</w:t>
      </w:r>
      <w:r>
        <w:tab/>
      </w:r>
      <w:r>
        <w:fldChar w:fldCharType="begin"/>
      </w:r>
      <w:r>
        <w:instrText xml:space="preserve"> PAGEREF _Toc135127185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_Toc135127188 \h </w:instrText>
      </w:r>
      <w:r>
        <w:fldChar w:fldCharType="separate"/>
      </w:r>
      <w:r>
        <w:t>54</w:t>
      </w:r>
      <w:r>
        <w:fldChar w:fldCharType="end"/>
      </w:r>
    </w:p>
    <w:p>
      <w:pPr>
        <w:pStyle w:val="TOC8"/>
        <w:rPr>
          <w:rFonts w:asciiTheme="minorHAnsi" w:eastAsiaTheme="minorEastAsia" w:hAnsiTheme="minorHAnsi" w:cstheme="minorBidi"/>
          <w:szCs w:val="22"/>
        </w:rPr>
      </w:pPr>
      <w:r>
        <w:t>283.</w:t>
      </w:r>
      <w:r>
        <w:tab/>
        <w:t>Giving notice generally</w:t>
      </w:r>
      <w:r>
        <w:tab/>
      </w:r>
      <w:r>
        <w:fldChar w:fldCharType="begin"/>
      </w:r>
      <w:r>
        <w:instrText xml:space="preserve"> PAGEREF _Toc135127189 \h </w:instrText>
      </w:r>
      <w:r>
        <w:fldChar w:fldCharType="separate"/>
      </w:r>
      <w:r>
        <w:t>54</w:t>
      </w:r>
      <w:r>
        <w:fldChar w:fldCharType="end"/>
      </w:r>
    </w:p>
    <w:p>
      <w:pPr>
        <w:pStyle w:val="TOC8"/>
        <w:rPr>
          <w:rFonts w:asciiTheme="minorHAnsi" w:eastAsiaTheme="minorEastAsia" w:hAnsiTheme="minorHAnsi" w:cstheme="minorBidi"/>
          <w:szCs w:val="22"/>
        </w:rPr>
      </w:pPr>
      <w:r>
        <w:t>286.</w:t>
      </w:r>
      <w:r>
        <w:tab/>
        <w:t>Defects in notice</w:t>
      </w:r>
      <w:r>
        <w:tab/>
      </w:r>
      <w:r>
        <w:fldChar w:fldCharType="begin"/>
      </w:r>
      <w:r>
        <w:instrText xml:space="preserve"> PAGEREF _Toc135127190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_Toc135127193 \h </w:instrText>
      </w:r>
      <w:r>
        <w:fldChar w:fldCharType="separate"/>
      </w:r>
      <w:r>
        <w:t>56</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_Toc135127194 \h </w:instrText>
      </w:r>
      <w:r>
        <w:fldChar w:fldCharType="separate"/>
      </w:r>
      <w:r>
        <w:t>56</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_Toc135127195 \h </w:instrText>
      </w:r>
      <w:r>
        <w:fldChar w:fldCharType="separate"/>
      </w:r>
      <w:r>
        <w:t>57</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_Toc135127196 \h </w:instrText>
      </w:r>
      <w:r>
        <w:fldChar w:fldCharType="separate"/>
      </w:r>
      <w:r>
        <w:t>58</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_Toc135127197 \h </w:instrText>
      </w:r>
      <w:r>
        <w:fldChar w:fldCharType="separate"/>
      </w:r>
      <w:r>
        <w:t>58</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_Toc135127198 \h </w:instrText>
      </w:r>
      <w:r>
        <w:fldChar w:fldCharType="separate"/>
      </w:r>
      <w:r>
        <w:t>58</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_Toc135127199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Guidelines</w:t>
      </w:r>
    </w:p>
    <w:p>
      <w:pPr>
        <w:pStyle w:val="TOC8"/>
        <w:rPr>
          <w:rFonts w:asciiTheme="minorHAnsi" w:eastAsiaTheme="minorEastAsia" w:hAnsiTheme="minorHAnsi" w:cstheme="minorBidi"/>
          <w:szCs w:val="22"/>
        </w:rPr>
      </w:pPr>
      <w:r>
        <w:t>294.</w:t>
      </w:r>
      <w:r>
        <w:tab/>
        <w:t>Guidelines</w:t>
      </w:r>
      <w:r>
        <w:tab/>
      </w:r>
      <w:r>
        <w:fldChar w:fldCharType="begin"/>
      </w:r>
      <w:r>
        <w:instrText xml:space="preserve"> PAGEREF _Toc135127201 \h </w:instrText>
      </w:r>
      <w:r>
        <w:fldChar w:fldCharType="separate"/>
      </w:r>
      <w:r>
        <w:t>61</w:t>
      </w:r>
      <w:r>
        <w:fldChar w:fldCharType="end"/>
      </w:r>
    </w:p>
    <w:p>
      <w:pPr>
        <w:pStyle w:val="TOC8"/>
        <w:rPr>
          <w:rFonts w:asciiTheme="minorHAnsi" w:eastAsiaTheme="minorEastAsia" w:hAnsiTheme="minorHAnsi" w:cstheme="minorBidi"/>
          <w:szCs w:val="22"/>
        </w:rPr>
      </w:pPr>
      <w:r>
        <w:t>295.</w:t>
      </w:r>
      <w:r>
        <w:tab/>
        <w:t>Preparation of guidelines</w:t>
      </w:r>
      <w:r>
        <w:tab/>
      </w:r>
      <w:r>
        <w:fldChar w:fldCharType="begin"/>
      </w:r>
      <w:r>
        <w:instrText xml:space="preserve"> PAGEREF _Toc135127202 \h </w:instrText>
      </w:r>
      <w:r>
        <w:fldChar w:fldCharType="separate"/>
      </w:r>
      <w:r>
        <w:t>62</w:t>
      </w:r>
      <w:r>
        <w:fldChar w:fldCharType="end"/>
      </w:r>
    </w:p>
    <w:p>
      <w:pPr>
        <w:pStyle w:val="TOC8"/>
        <w:rPr>
          <w:rFonts w:asciiTheme="minorHAnsi" w:eastAsiaTheme="minorEastAsia" w:hAnsiTheme="minorHAnsi" w:cstheme="minorBidi"/>
          <w:szCs w:val="22"/>
        </w:rPr>
      </w:pPr>
      <w:r>
        <w:t>296.</w:t>
      </w:r>
      <w:r>
        <w:tab/>
        <w:t>Consultation on proposed guidelines</w:t>
      </w:r>
      <w:r>
        <w:tab/>
      </w:r>
      <w:r>
        <w:fldChar w:fldCharType="begin"/>
      </w:r>
      <w:r>
        <w:instrText xml:space="preserve"> PAGEREF _Toc135127203 \h </w:instrText>
      </w:r>
      <w:r>
        <w:fldChar w:fldCharType="separate"/>
      </w:r>
      <w:r>
        <w:t>62</w:t>
      </w:r>
      <w:r>
        <w:fldChar w:fldCharType="end"/>
      </w:r>
    </w:p>
    <w:p>
      <w:pPr>
        <w:pStyle w:val="TOC8"/>
        <w:rPr>
          <w:rFonts w:asciiTheme="minorHAnsi" w:eastAsiaTheme="minorEastAsia" w:hAnsiTheme="minorHAnsi" w:cstheme="minorBidi"/>
          <w:szCs w:val="22"/>
        </w:rPr>
      </w:pPr>
      <w:r>
        <w:t>297.</w:t>
      </w:r>
      <w:r>
        <w:tab/>
        <w:t>Approval of Minister</w:t>
      </w:r>
      <w:r>
        <w:tab/>
      </w:r>
      <w:r>
        <w:fldChar w:fldCharType="begin"/>
      </w:r>
      <w:r>
        <w:instrText xml:space="preserve"> PAGEREF _Toc135127204 \h </w:instrText>
      </w:r>
      <w:r>
        <w:fldChar w:fldCharType="separate"/>
      </w:r>
      <w:r>
        <w:t>63</w:t>
      </w:r>
      <w:r>
        <w:fldChar w:fldCharType="end"/>
      </w:r>
    </w:p>
    <w:p>
      <w:pPr>
        <w:pStyle w:val="TOC8"/>
        <w:rPr>
          <w:rFonts w:asciiTheme="minorHAnsi" w:eastAsiaTheme="minorEastAsia" w:hAnsiTheme="minorHAnsi" w:cstheme="minorBidi"/>
          <w:szCs w:val="22"/>
        </w:rPr>
      </w:pPr>
      <w:r>
        <w:t>298.</w:t>
      </w:r>
      <w:r>
        <w:tab/>
        <w:t>Provisions about guidelines</w:t>
      </w:r>
      <w:r>
        <w:tab/>
      </w:r>
      <w:r>
        <w:fldChar w:fldCharType="begin"/>
      </w:r>
      <w:r>
        <w:instrText xml:space="preserve"> PAGEREF _Toc135127205 \h </w:instrText>
      </w:r>
      <w:r>
        <w:fldChar w:fldCharType="separate"/>
      </w:r>
      <w:r>
        <w:t>63</w:t>
      </w:r>
      <w:r>
        <w:fldChar w:fldCharType="end"/>
      </w:r>
    </w:p>
    <w:p>
      <w:pPr>
        <w:pStyle w:val="TOC8"/>
        <w:rPr>
          <w:rFonts w:asciiTheme="minorHAnsi" w:eastAsiaTheme="minorEastAsia" w:hAnsiTheme="minorHAnsi" w:cstheme="minorBidi"/>
          <w:szCs w:val="22"/>
        </w:rPr>
      </w:pPr>
      <w:r>
        <w:t>299.</w:t>
      </w:r>
      <w:r>
        <w:tab/>
        <w:t>Amending or repealing guidelines</w:t>
      </w:r>
      <w:r>
        <w:tab/>
      </w:r>
      <w:r>
        <w:fldChar w:fldCharType="begin"/>
      </w:r>
      <w:r>
        <w:instrText xml:space="preserve"> PAGEREF _Toc135127206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307.</w:t>
      </w:r>
      <w:r>
        <w:tab/>
        <w:t>CEO may approve forms</w:t>
      </w:r>
      <w:r>
        <w:tab/>
      </w:r>
      <w:r>
        <w:fldChar w:fldCharType="begin"/>
      </w:r>
      <w:r>
        <w:instrText xml:space="preserve"> PAGEREF _Toc135127208 \h </w:instrText>
      </w:r>
      <w:r>
        <w:fldChar w:fldCharType="separate"/>
      </w:r>
      <w:r>
        <w:t>64</w:t>
      </w:r>
      <w:r>
        <w:fldChar w:fldCharType="end"/>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_Toc135127209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_Toc135127213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areas</w:t>
      </w:r>
    </w:p>
    <w:p>
      <w:pPr>
        <w:pStyle w:val="TOC8"/>
        <w:rPr>
          <w:rFonts w:asciiTheme="minorHAnsi" w:eastAsiaTheme="minorEastAsia" w:hAnsiTheme="minorHAnsi" w:cstheme="minorBidi"/>
          <w:szCs w:val="22"/>
        </w:rPr>
      </w:pPr>
      <w:r>
        <w:t>314.</w:t>
      </w:r>
      <w:r>
        <w:tab/>
        <w:t>Terms used</w:t>
      </w:r>
      <w:r>
        <w:tab/>
      </w:r>
      <w:r>
        <w:fldChar w:fldCharType="begin"/>
      </w:r>
      <w:r>
        <w:instrText xml:space="preserve"> PAGEREF _Toc135127215 \h </w:instrText>
      </w:r>
      <w:r>
        <w:fldChar w:fldCharType="separate"/>
      </w:r>
      <w:r>
        <w:t>66</w:t>
      </w:r>
      <w:r>
        <w:fldChar w:fldCharType="end"/>
      </w:r>
    </w:p>
    <w:p>
      <w:pPr>
        <w:pStyle w:val="TOC8"/>
        <w:rPr>
          <w:rFonts w:asciiTheme="minorHAnsi" w:eastAsiaTheme="minorEastAsia" w:hAnsiTheme="minorHAnsi" w:cstheme="minorBidi"/>
          <w:szCs w:val="22"/>
        </w:rPr>
      </w:pPr>
      <w:r>
        <w:t>315.</w:t>
      </w:r>
      <w:r>
        <w:tab/>
        <w:t>Historical protected area orders</w:t>
      </w:r>
      <w:r>
        <w:tab/>
      </w:r>
      <w:r>
        <w:fldChar w:fldCharType="begin"/>
      </w:r>
      <w:r>
        <w:instrText xml:space="preserve"> PAGEREF _Toc135127216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Marandoo Act area</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_Toc135127218 \h </w:instrText>
      </w:r>
      <w:r>
        <w:fldChar w:fldCharType="separate"/>
      </w:r>
      <w:r>
        <w:t>67</w:t>
      </w:r>
      <w:r>
        <w:fldChar w:fldCharType="end"/>
      </w:r>
    </w:p>
    <w:p>
      <w:pPr>
        <w:pStyle w:val="TOC8"/>
        <w:rPr>
          <w:rFonts w:asciiTheme="minorHAnsi" w:eastAsiaTheme="minorEastAsia" w:hAnsiTheme="minorHAnsi" w:cstheme="minorBidi"/>
          <w:szCs w:val="22"/>
        </w:rPr>
      </w:pPr>
      <w:r>
        <w:t>328.</w:t>
      </w:r>
      <w:r>
        <w:tab/>
        <w:t>Historical AH Act section 18 consent taken to be held</w:t>
      </w:r>
      <w:r>
        <w:tab/>
      </w:r>
      <w:r>
        <w:fldChar w:fldCharType="begin"/>
      </w:r>
      <w:r>
        <w:instrText xml:space="preserve"> PAGEREF _Toc135127219 \h </w:instrText>
      </w:r>
      <w:r>
        <w:fldChar w:fldCharType="separate"/>
      </w:r>
      <w:r>
        <w:t>68</w:t>
      </w:r>
      <w:r>
        <w:fldChar w:fldCharType="end"/>
      </w:r>
    </w:p>
    <w:p>
      <w:pPr>
        <w:pStyle w:val="TOC8"/>
        <w:rPr>
          <w:rFonts w:asciiTheme="minorHAnsi" w:eastAsiaTheme="minorEastAsia" w:hAnsiTheme="minorHAnsi" w:cstheme="minorBidi"/>
          <w:szCs w:val="22"/>
        </w:rPr>
      </w:pPr>
      <w:r>
        <w:t>329.</w:t>
      </w:r>
      <w:r>
        <w:tab/>
        <w:t>Minister may approve reduced area</w:t>
      </w:r>
      <w:r>
        <w:tab/>
      </w:r>
      <w:r>
        <w:fldChar w:fldCharType="begin"/>
      </w:r>
      <w:r>
        <w:instrText xml:space="preserve"> PAGEREF _Toc135127220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336.</w:t>
      </w:r>
      <w:r>
        <w:tab/>
        <w:t>Transitional regulations</w:t>
      </w:r>
      <w:r>
        <w:tab/>
      </w:r>
      <w:r>
        <w:fldChar w:fldCharType="begin"/>
      </w:r>
      <w:r>
        <w:instrText xml:space="preserve"> PAGEREF _Toc135127222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_Toc135127225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_Toc135127227 \h </w:instrText>
      </w:r>
      <w:r>
        <w:fldChar w:fldCharType="separate"/>
      </w:r>
      <w:r>
        <w:t>72</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_Toc135127228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_Toc135127230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_Toc135127231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034558"/>
      <w:bookmarkStart w:id="5" w:name="_Toc135036199"/>
      <w:bookmarkStart w:id="6" w:name="_Toc135127101"/>
      <w:r>
        <w:rPr>
          <w:rStyle w:val="CharPartNo"/>
        </w:rPr>
        <w:lastRenderedPageBreak/>
        <w:t>Part 1</w:t>
      </w:r>
      <w:r>
        <w:t> — </w:t>
      </w:r>
      <w:r>
        <w:rPr>
          <w:rStyle w:val="CharPartText"/>
        </w:rPr>
        <w:t>Preliminary</w:t>
      </w:r>
      <w:bookmarkEnd w:id="4"/>
      <w:bookmarkEnd w:id="5"/>
      <w:bookmarkEnd w:id="6"/>
    </w:p>
    <w:p>
      <w:pPr>
        <w:pStyle w:val="Heading3"/>
      </w:pPr>
      <w:bookmarkStart w:id="7" w:name="_Toc135034559"/>
      <w:bookmarkStart w:id="8" w:name="_Toc135036200"/>
      <w:bookmarkStart w:id="9" w:name="_Toc135127102"/>
      <w:r>
        <w:rPr>
          <w:rStyle w:val="CharDivNo"/>
        </w:rPr>
        <w:t>Division 1</w:t>
      </w:r>
      <w:r>
        <w:t> — </w:t>
      </w:r>
      <w:r>
        <w:rPr>
          <w:rStyle w:val="CharDivText"/>
        </w:rPr>
        <w:t>Introduction</w:t>
      </w:r>
      <w:bookmarkEnd w:id="7"/>
      <w:bookmarkEnd w:id="8"/>
      <w:bookmarkEnd w:id="9"/>
    </w:p>
    <w:p>
      <w:pPr>
        <w:pStyle w:val="Heading5"/>
      </w:pPr>
      <w:bookmarkStart w:id="10" w:name="_Toc135127103"/>
      <w:r>
        <w:rPr>
          <w:rStyle w:val="CharSectno"/>
        </w:rPr>
        <w:t>1</w:t>
      </w:r>
      <w:r>
        <w:t>.</w:t>
      </w:r>
      <w:r>
        <w:tab/>
        <w:t>Short title</w:t>
      </w:r>
      <w:bookmarkEnd w:id="10"/>
    </w:p>
    <w:p>
      <w:pPr>
        <w:pStyle w:val="Subsection"/>
      </w:pPr>
      <w:r>
        <w:tab/>
      </w:r>
      <w:r>
        <w:tab/>
        <w:t>This is the</w:t>
      </w:r>
      <w:r>
        <w:rPr>
          <w:i/>
        </w:rPr>
        <w:t xml:space="preserve"> Aboriginal Cultural Heritage Act 2021</w:t>
      </w:r>
      <w:r>
        <w:t>.</w:t>
      </w:r>
    </w:p>
    <w:p>
      <w:pPr>
        <w:pStyle w:val="Heading5"/>
      </w:pPr>
      <w:bookmarkStart w:id="11" w:name="_Toc135127104"/>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2" w:name="_Toc135034562"/>
      <w:bookmarkStart w:id="13" w:name="_Toc135036203"/>
      <w:bookmarkStart w:id="14" w:name="_Toc135127105"/>
      <w:r>
        <w:rPr>
          <w:rStyle w:val="CharDivNo"/>
        </w:rPr>
        <w:t>Division 2</w:t>
      </w:r>
      <w:r>
        <w:t> — </w:t>
      </w:r>
      <w:r>
        <w:rPr>
          <w:rStyle w:val="CharDivText"/>
        </w:rPr>
        <w:t>Overview of Act</w:t>
      </w:r>
      <w:bookmarkEnd w:id="12"/>
      <w:bookmarkEnd w:id="13"/>
      <w:bookmarkEnd w:id="14"/>
    </w:p>
    <w:p>
      <w:pPr>
        <w:pStyle w:val="Heading5"/>
      </w:pPr>
      <w:bookmarkStart w:id="15" w:name="_Toc135127106"/>
      <w:r>
        <w:rPr>
          <w:rStyle w:val="CharSectno"/>
        </w:rPr>
        <w:t>3</w:t>
      </w:r>
      <w:r>
        <w:t>.</w:t>
      </w:r>
      <w:r>
        <w:tab/>
        <w:t>Overview of Act</w:t>
      </w:r>
      <w:bookmarkEnd w:id="15"/>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6" w:name="_Toc135127107"/>
      <w:r>
        <w:rPr>
          <w:rStyle w:val="CharSectno"/>
        </w:rPr>
        <w:lastRenderedPageBreak/>
        <w:t>4</w:t>
      </w:r>
      <w:r>
        <w:t>.</w:t>
      </w:r>
      <w:r>
        <w:tab/>
        <w:t>What Act is about</w:t>
      </w:r>
      <w:bookmarkEnd w:id="16"/>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7" w:name="_Toc135127108"/>
      <w:r>
        <w:rPr>
          <w:rStyle w:val="CharSectno"/>
        </w:rPr>
        <w:t>5</w:t>
      </w:r>
      <w:r>
        <w:t>.</w:t>
      </w:r>
      <w:r>
        <w:tab/>
        <w:t>Main topics dealt with in Act and where to find them</w:t>
      </w:r>
      <w:bookmarkEnd w:id="17"/>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8" w:name="_Toc135127109"/>
      <w:r>
        <w:rPr>
          <w:rStyle w:val="CharSectno"/>
        </w:rPr>
        <w:lastRenderedPageBreak/>
        <w:t>6</w:t>
      </w:r>
      <w:r>
        <w:t>.</w:t>
      </w:r>
      <w:r>
        <w:tab/>
        <w:t>Other things dealt with in Act and where to find them</w:t>
      </w:r>
      <w:bookmarkEnd w:id="18"/>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9" w:name="_Toc135127110"/>
      <w:r>
        <w:rPr>
          <w:rStyle w:val="CharSectno"/>
        </w:rPr>
        <w:t>7</w:t>
      </w:r>
      <w:r>
        <w:t>.</w:t>
      </w:r>
      <w:r>
        <w:tab/>
        <w:t>Overview is a guide</w:t>
      </w:r>
      <w:bookmarkEnd w:id="19"/>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0" w:name="_Toc135034568"/>
      <w:bookmarkStart w:id="21" w:name="_Toc135036209"/>
      <w:bookmarkStart w:id="22" w:name="_Toc135127111"/>
      <w:r>
        <w:rPr>
          <w:rStyle w:val="CharDivNo"/>
        </w:rPr>
        <w:lastRenderedPageBreak/>
        <w:t>Division 3</w:t>
      </w:r>
      <w:r>
        <w:t> — </w:t>
      </w:r>
      <w:r>
        <w:rPr>
          <w:rStyle w:val="CharDivText"/>
        </w:rPr>
        <w:t>Objects and principles</w:t>
      </w:r>
      <w:bookmarkEnd w:id="20"/>
      <w:bookmarkEnd w:id="21"/>
      <w:bookmarkEnd w:id="22"/>
    </w:p>
    <w:p>
      <w:pPr>
        <w:pStyle w:val="Heading5"/>
      </w:pPr>
      <w:bookmarkStart w:id="23" w:name="_Toc135127112"/>
      <w:r>
        <w:rPr>
          <w:rStyle w:val="CharSectno"/>
        </w:rPr>
        <w:t>8</w:t>
      </w:r>
      <w:r>
        <w:t>.</w:t>
      </w:r>
      <w:r>
        <w:tab/>
        <w:t>Objects of Act</w:t>
      </w:r>
      <w:bookmarkEnd w:id="23"/>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24" w:name="_Toc135127113"/>
      <w:r>
        <w:rPr>
          <w:rStyle w:val="CharSectno"/>
        </w:rPr>
        <w:t>9</w:t>
      </w:r>
      <w:r>
        <w:t>.</w:t>
      </w:r>
      <w:r>
        <w:tab/>
        <w:t>Principles relating to Aboriginal cultural heritage</w:t>
      </w:r>
      <w:bookmarkEnd w:id="2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25" w:name="_Toc135127114"/>
      <w:r>
        <w:rPr>
          <w:rStyle w:val="CharSectno"/>
        </w:rPr>
        <w:lastRenderedPageBreak/>
        <w:t>10</w:t>
      </w:r>
      <w:r>
        <w:t>.</w:t>
      </w:r>
      <w:r>
        <w:tab/>
        <w:t>Principles relating to management of activities that may harm Aboriginal cultural heritage</w:t>
      </w:r>
      <w:bookmarkEnd w:id="25"/>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26" w:name="_Toc135034572"/>
      <w:bookmarkStart w:id="27" w:name="_Toc135036213"/>
      <w:bookmarkStart w:id="28" w:name="_Toc135127115"/>
      <w:r>
        <w:rPr>
          <w:rStyle w:val="CharDivNo"/>
        </w:rPr>
        <w:t>Division 4</w:t>
      </w:r>
      <w:r>
        <w:t> — </w:t>
      </w:r>
      <w:r>
        <w:rPr>
          <w:rStyle w:val="CharDivText"/>
        </w:rPr>
        <w:t>Interpretation</w:t>
      </w:r>
      <w:bookmarkEnd w:id="26"/>
      <w:bookmarkEnd w:id="27"/>
      <w:bookmarkEnd w:id="28"/>
    </w:p>
    <w:p>
      <w:pPr>
        <w:pStyle w:val="Heading4"/>
      </w:pPr>
      <w:bookmarkStart w:id="29" w:name="_Toc135034573"/>
      <w:bookmarkStart w:id="30" w:name="_Toc135036214"/>
      <w:bookmarkStart w:id="31" w:name="_Toc135127116"/>
      <w:r>
        <w:t>Subdivision 1 — Terms used</w:t>
      </w:r>
      <w:bookmarkEnd w:id="29"/>
      <w:bookmarkEnd w:id="30"/>
      <w:bookmarkEnd w:id="31"/>
    </w:p>
    <w:p>
      <w:pPr>
        <w:pStyle w:val="Heading5"/>
      </w:pPr>
      <w:bookmarkStart w:id="32" w:name="_Toc135127117"/>
      <w:r>
        <w:rPr>
          <w:rStyle w:val="CharSectno"/>
        </w:rPr>
        <w:t>11</w:t>
      </w:r>
      <w:r>
        <w:t>.</w:t>
      </w:r>
      <w:r>
        <w:tab/>
        <w:t>Terms used</w:t>
      </w:r>
      <w:bookmarkEnd w:id="32"/>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33" w:name="_Toc135034575"/>
      <w:bookmarkStart w:id="34" w:name="_Toc135036216"/>
      <w:bookmarkStart w:id="35" w:name="_Toc135127118"/>
      <w:r>
        <w:t>Subdivision 2 — Other key terms</w:t>
      </w:r>
      <w:bookmarkEnd w:id="33"/>
      <w:bookmarkEnd w:id="34"/>
      <w:bookmarkEnd w:id="35"/>
    </w:p>
    <w:p>
      <w:pPr>
        <w:pStyle w:val="Heading5"/>
      </w:pPr>
      <w:bookmarkStart w:id="36" w:name="_Toc135127119"/>
      <w:r>
        <w:rPr>
          <w:rStyle w:val="CharSectno"/>
        </w:rPr>
        <w:t>12</w:t>
      </w:r>
      <w:r>
        <w:t>.</w:t>
      </w:r>
      <w:r>
        <w:tab/>
        <w:t>Meaning of Aboriginal cultural heritage and related terms</w:t>
      </w:r>
      <w:bookmarkEnd w:id="36"/>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37" w:name="_Toc135127120"/>
      <w:r>
        <w:rPr>
          <w:rStyle w:val="CharSectno"/>
        </w:rPr>
        <w:lastRenderedPageBreak/>
        <w:t>13</w:t>
      </w:r>
      <w:r>
        <w:t>.</w:t>
      </w:r>
      <w:r>
        <w:tab/>
        <w:t>Meaning of located in relation to Aboriginal cultural heritage</w:t>
      </w:r>
      <w:bookmarkEnd w:id="37"/>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38" w:name="_Toc135034578"/>
      <w:bookmarkStart w:id="39" w:name="_Toc135036219"/>
      <w:bookmarkStart w:id="40" w:name="_Toc135127121"/>
      <w:r>
        <w:rPr>
          <w:rStyle w:val="CharDivNo"/>
        </w:rPr>
        <w:t>Division 5</w:t>
      </w:r>
      <w:r>
        <w:t> — </w:t>
      </w:r>
      <w:r>
        <w:rPr>
          <w:rStyle w:val="CharDivText"/>
        </w:rPr>
        <w:t>Other provisions of general application</w:t>
      </w:r>
      <w:bookmarkEnd w:id="38"/>
      <w:bookmarkEnd w:id="39"/>
      <w:bookmarkEnd w:id="40"/>
    </w:p>
    <w:p>
      <w:pPr>
        <w:pStyle w:val="Heading5"/>
      </w:pPr>
      <w:bookmarkStart w:id="41" w:name="_Toc135127122"/>
      <w:r>
        <w:rPr>
          <w:rStyle w:val="CharSectno"/>
        </w:rPr>
        <w:t>14</w:t>
      </w:r>
      <w:r>
        <w:t>.</w:t>
      </w:r>
      <w:r>
        <w:tab/>
        <w:t>Act binds Crown</w:t>
      </w:r>
      <w:bookmarkEnd w:id="41"/>
    </w:p>
    <w:p>
      <w:pPr>
        <w:pStyle w:val="Subsection"/>
      </w:pPr>
      <w:r>
        <w:tab/>
      </w:r>
      <w:r>
        <w:tab/>
        <w:t>This Act binds the Crown in right of Western Australia and, so far as the legislative power of the Parliament permits, the Crown in all its other capacities.</w:t>
      </w:r>
    </w:p>
    <w:p>
      <w:pPr>
        <w:pStyle w:val="Heading5"/>
      </w:pPr>
      <w:bookmarkStart w:id="42" w:name="_Toc135127123"/>
      <w:r>
        <w:rPr>
          <w:rStyle w:val="CharSectno"/>
        </w:rPr>
        <w:t>15</w:t>
      </w:r>
      <w:r>
        <w:t>.</w:t>
      </w:r>
      <w:r>
        <w:tab/>
        <w:t>Act does not apply to certain objects</w:t>
      </w:r>
      <w:bookmarkEnd w:id="42"/>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43" w:name="_Toc135127124"/>
      <w:r>
        <w:rPr>
          <w:rStyle w:val="CharSectno"/>
        </w:rPr>
        <w:t>16</w:t>
      </w:r>
      <w:r>
        <w:t>.</w:t>
      </w:r>
      <w:r>
        <w:tab/>
        <w:t>Native title rights and interests</w:t>
      </w:r>
      <w:bookmarkEnd w:id="43"/>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44" w:name="_Toc135127125"/>
      <w:r>
        <w:rPr>
          <w:rStyle w:val="CharSectno"/>
        </w:rPr>
        <w:lastRenderedPageBreak/>
        <w:t>17</w:t>
      </w:r>
      <w:r>
        <w:t>.</w:t>
      </w:r>
      <w:r>
        <w:tab/>
      </w:r>
      <w:r>
        <w:rPr>
          <w:i/>
        </w:rPr>
        <w:t>Coroners Act 1996</w:t>
      </w:r>
      <w:r>
        <w:t xml:space="preserve"> not affected</w:t>
      </w:r>
      <w:bookmarkEnd w:id="44"/>
    </w:p>
    <w:p>
      <w:pPr>
        <w:pStyle w:val="Subsection"/>
      </w:pPr>
      <w:r>
        <w:tab/>
      </w:r>
      <w:r>
        <w:tab/>
        <w:t xml:space="preserve">Subject to section 59, nothing in this Act affects the operation of the </w:t>
      </w:r>
      <w:r>
        <w:rPr>
          <w:i/>
        </w:rPr>
        <w:t>Coroners Act 1996</w:t>
      </w:r>
      <w:r>
        <w:t>.</w:t>
      </w:r>
    </w:p>
    <w:p>
      <w:pPr>
        <w:pStyle w:val="Heading5"/>
      </w:pPr>
      <w:bookmarkStart w:id="45" w:name="_Toc135127126"/>
      <w:r>
        <w:rPr>
          <w:rStyle w:val="CharSectno"/>
        </w:rPr>
        <w:t>18</w:t>
      </w:r>
      <w:r>
        <w:t>.</w:t>
      </w:r>
      <w:r>
        <w:tab/>
      </w:r>
      <w:r>
        <w:rPr>
          <w:i/>
        </w:rPr>
        <w:t>Freedom of Information Act 1992</w:t>
      </w:r>
      <w:r>
        <w:t xml:space="preserve"> does not apply to culturally sensitive information</w:t>
      </w:r>
      <w:bookmarkEnd w:id="45"/>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46" w:name="_Toc135034584"/>
      <w:bookmarkStart w:id="47" w:name="_Toc135036225"/>
      <w:bookmarkStart w:id="48" w:name="_Toc135127127"/>
      <w:r>
        <w:rPr>
          <w:rStyle w:val="CharPartNo"/>
        </w:rPr>
        <w:lastRenderedPageBreak/>
        <w:t>Part 2</w:t>
      </w:r>
      <w:r>
        <w:t> — </w:t>
      </w:r>
      <w:r>
        <w:rPr>
          <w:rStyle w:val="CharPartText"/>
        </w:rPr>
        <w:t>Aboriginal Cultural Heritage Council and local Aboriginal cultural heritage services</w:t>
      </w:r>
      <w:bookmarkEnd w:id="46"/>
      <w:bookmarkEnd w:id="47"/>
      <w:bookmarkEnd w:id="48"/>
    </w:p>
    <w:p>
      <w:pPr>
        <w:pStyle w:val="Heading3"/>
      </w:pPr>
      <w:bookmarkStart w:id="49" w:name="_Toc135034585"/>
      <w:bookmarkStart w:id="50" w:name="_Toc135036226"/>
      <w:bookmarkStart w:id="51" w:name="_Toc135127128"/>
      <w:r>
        <w:rPr>
          <w:rStyle w:val="CharDivNo"/>
        </w:rPr>
        <w:t>Division 1</w:t>
      </w:r>
      <w:r>
        <w:t> — </w:t>
      </w:r>
      <w:r>
        <w:rPr>
          <w:rStyle w:val="CharDivText"/>
        </w:rPr>
        <w:t>Interpretation</w:t>
      </w:r>
      <w:bookmarkEnd w:id="49"/>
      <w:bookmarkEnd w:id="50"/>
      <w:bookmarkEnd w:id="51"/>
    </w:p>
    <w:p>
      <w:pPr>
        <w:pStyle w:val="Heading5"/>
      </w:pPr>
      <w:bookmarkStart w:id="52" w:name="_Toc135127129"/>
      <w:r>
        <w:rPr>
          <w:rStyle w:val="CharSectno"/>
        </w:rPr>
        <w:t>19</w:t>
      </w:r>
      <w:r>
        <w:t>.</w:t>
      </w:r>
      <w:r>
        <w:tab/>
        <w:t>Terms used</w:t>
      </w:r>
      <w:bookmarkEnd w:id="5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53" w:name="_Toc135034587"/>
      <w:bookmarkStart w:id="54" w:name="_Toc135036228"/>
      <w:bookmarkStart w:id="55" w:name="_Toc135127130"/>
      <w:r>
        <w:rPr>
          <w:rStyle w:val="CharDivNo"/>
        </w:rPr>
        <w:t>Division 2</w:t>
      </w:r>
      <w:r>
        <w:t> — </w:t>
      </w:r>
      <w:r>
        <w:rPr>
          <w:rStyle w:val="CharDivText"/>
        </w:rPr>
        <w:t>Aboriginal Cultural Heritage Council</w:t>
      </w:r>
      <w:bookmarkEnd w:id="53"/>
      <w:bookmarkEnd w:id="54"/>
      <w:bookmarkEnd w:id="55"/>
    </w:p>
    <w:p>
      <w:pPr>
        <w:pStyle w:val="Heading4"/>
      </w:pPr>
      <w:bookmarkStart w:id="56" w:name="_Toc135034588"/>
      <w:bookmarkStart w:id="57" w:name="_Toc135036229"/>
      <w:bookmarkStart w:id="58" w:name="_Toc135127131"/>
      <w:r>
        <w:t>Subdivision 1 — ACH Council established</w:t>
      </w:r>
      <w:bookmarkEnd w:id="56"/>
      <w:bookmarkEnd w:id="57"/>
      <w:bookmarkEnd w:id="58"/>
    </w:p>
    <w:p>
      <w:pPr>
        <w:pStyle w:val="Heading5"/>
      </w:pPr>
      <w:bookmarkStart w:id="59" w:name="_Toc135127132"/>
      <w:r>
        <w:rPr>
          <w:rStyle w:val="CharSectno"/>
        </w:rPr>
        <w:t>20</w:t>
      </w:r>
      <w:r>
        <w:t>.</w:t>
      </w:r>
      <w:r>
        <w:tab/>
        <w:t>ACH Council established</w:t>
      </w:r>
      <w:bookmarkEnd w:id="59"/>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60" w:name="_Toc135127133"/>
      <w:r>
        <w:rPr>
          <w:rStyle w:val="CharSectno"/>
        </w:rPr>
        <w:lastRenderedPageBreak/>
        <w:t>21</w:t>
      </w:r>
      <w:r>
        <w:t>.</w:t>
      </w:r>
      <w:r>
        <w:tab/>
        <w:t>Composition of ACH Council</w:t>
      </w:r>
      <w:bookmarkEnd w:id="60"/>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61" w:name="_Toc135034591"/>
      <w:bookmarkStart w:id="62" w:name="_Toc135036232"/>
      <w:bookmarkStart w:id="63" w:name="_Toc135127134"/>
      <w:r>
        <w:t>Subdivision 2 — Functions and powers</w:t>
      </w:r>
      <w:bookmarkEnd w:id="61"/>
      <w:bookmarkEnd w:id="62"/>
      <w:bookmarkEnd w:id="63"/>
    </w:p>
    <w:p>
      <w:pPr>
        <w:pStyle w:val="Heading5"/>
      </w:pPr>
      <w:bookmarkStart w:id="64" w:name="_Toc135127135"/>
      <w:r>
        <w:rPr>
          <w:rStyle w:val="CharSectno"/>
        </w:rPr>
        <w:t>22</w:t>
      </w:r>
      <w:r>
        <w:t>.</w:t>
      </w:r>
      <w:r>
        <w:tab/>
        <w:t>Functions of ACH Council</w:t>
      </w:r>
      <w:bookmarkEnd w:id="64"/>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65" w:name="_Toc135127136"/>
      <w:r>
        <w:rPr>
          <w:rStyle w:val="CharSectno"/>
        </w:rPr>
        <w:t>23</w:t>
      </w:r>
      <w:r>
        <w:t>.</w:t>
      </w:r>
      <w:r>
        <w:tab/>
        <w:t>Powers of ACH Council</w:t>
      </w:r>
      <w:bookmarkEnd w:id="65"/>
    </w:p>
    <w:p>
      <w:pPr>
        <w:pStyle w:val="Subsection"/>
        <w:spacing w:before="240"/>
      </w:pPr>
      <w:r>
        <w:tab/>
      </w:r>
      <w:r>
        <w:tab/>
        <w:t>The ACH Council has all the powers it needs to perform its functions.</w:t>
      </w:r>
    </w:p>
    <w:p>
      <w:pPr>
        <w:pStyle w:val="Heading5"/>
      </w:pPr>
      <w:bookmarkStart w:id="66" w:name="_Toc135127137"/>
      <w:r>
        <w:rPr>
          <w:rStyle w:val="CharSectno"/>
        </w:rPr>
        <w:t>24</w:t>
      </w:r>
      <w:r>
        <w:t>.</w:t>
      </w:r>
      <w:r>
        <w:tab/>
        <w:t>Delegation by ACH Council</w:t>
      </w:r>
      <w:bookmarkEnd w:id="66"/>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67" w:name="_Toc135034595"/>
      <w:bookmarkStart w:id="68" w:name="_Toc135036236"/>
      <w:bookmarkStart w:id="69" w:name="_Toc135127138"/>
      <w:r>
        <w:t>Subdivision 3 — Staff and assistance</w:t>
      </w:r>
      <w:bookmarkEnd w:id="67"/>
      <w:bookmarkEnd w:id="68"/>
      <w:bookmarkEnd w:id="69"/>
    </w:p>
    <w:p>
      <w:pPr>
        <w:pStyle w:val="Heading5"/>
      </w:pPr>
      <w:bookmarkStart w:id="70" w:name="_Toc135127139"/>
      <w:r>
        <w:rPr>
          <w:rStyle w:val="CharSectno"/>
        </w:rPr>
        <w:t>25</w:t>
      </w:r>
      <w:r>
        <w:t>.</w:t>
      </w:r>
      <w:r>
        <w:tab/>
        <w:t>Facilities and services</w:t>
      </w:r>
      <w:bookmarkEnd w:id="70"/>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71" w:name="_Toc135127140"/>
      <w:r>
        <w:rPr>
          <w:rStyle w:val="CharSectno"/>
        </w:rPr>
        <w:t>26</w:t>
      </w:r>
      <w:r>
        <w:t>.</w:t>
      </w:r>
      <w:r>
        <w:tab/>
        <w:t>Assistance</w:t>
      </w:r>
      <w:bookmarkEnd w:id="71"/>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72" w:name="_Toc135034598"/>
      <w:bookmarkStart w:id="73" w:name="_Toc135036239"/>
      <w:bookmarkStart w:id="74" w:name="_Toc135127141"/>
      <w:r>
        <w:t>Subdivision 4 — Accountability and financial arrangements</w:t>
      </w:r>
      <w:bookmarkEnd w:id="72"/>
      <w:bookmarkEnd w:id="73"/>
      <w:bookmarkEnd w:id="74"/>
    </w:p>
    <w:p>
      <w:pPr>
        <w:pStyle w:val="Heading5"/>
      </w:pPr>
      <w:bookmarkStart w:id="75" w:name="_Toc135127142"/>
      <w:r>
        <w:rPr>
          <w:rStyle w:val="CharSectno"/>
        </w:rPr>
        <w:t>27</w:t>
      </w:r>
      <w:r>
        <w:t>.</w:t>
      </w:r>
      <w:r>
        <w:tab/>
        <w:t>Minister may give directions</w:t>
      </w:r>
      <w:bookmarkEnd w:id="75"/>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76" w:name="_Toc135127143"/>
      <w:r>
        <w:rPr>
          <w:rStyle w:val="CharSectno"/>
        </w:rPr>
        <w:t>28</w:t>
      </w:r>
      <w:r>
        <w:t>.</w:t>
      </w:r>
      <w:r>
        <w:tab/>
        <w:t>Minister to have access to information</w:t>
      </w:r>
      <w:bookmarkEnd w:id="7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77" w:name="_Toc135034601"/>
      <w:bookmarkStart w:id="78" w:name="_Toc135036242"/>
      <w:bookmarkStart w:id="79" w:name="_Toc135127144"/>
      <w:r>
        <w:t>Subdivision 5 — Other matters</w:t>
      </w:r>
      <w:bookmarkEnd w:id="77"/>
      <w:bookmarkEnd w:id="78"/>
      <w:bookmarkEnd w:id="79"/>
    </w:p>
    <w:p>
      <w:pPr>
        <w:pStyle w:val="Heading5"/>
      </w:pPr>
      <w:bookmarkStart w:id="80" w:name="_Toc135127145"/>
      <w:r>
        <w:rPr>
          <w:rStyle w:val="CharSectno"/>
        </w:rPr>
        <w:t>29</w:t>
      </w:r>
      <w:r>
        <w:t>.</w:t>
      </w:r>
      <w:r>
        <w:tab/>
        <w:t>Annual report of ACH Council</w:t>
      </w:r>
      <w:bookmarkEnd w:id="80"/>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81" w:name="_Toc135127146"/>
      <w:r>
        <w:rPr>
          <w:rStyle w:val="CharSectno"/>
        </w:rPr>
        <w:t>30</w:t>
      </w:r>
      <w:r>
        <w:t>.</w:t>
      </w:r>
      <w:r>
        <w:tab/>
        <w:t>Committees</w:t>
      </w:r>
      <w:bookmarkEnd w:id="81"/>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82" w:name="_Toc135127147"/>
      <w:r>
        <w:rPr>
          <w:rStyle w:val="CharSectno"/>
        </w:rPr>
        <w:t>31</w:t>
      </w:r>
      <w:r>
        <w:t>.</w:t>
      </w:r>
      <w:r>
        <w:tab/>
        <w:t>Procedures</w:t>
      </w:r>
      <w:bookmarkEnd w:id="82"/>
    </w:p>
    <w:p>
      <w:pPr>
        <w:pStyle w:val="Subsection"/>
      </w:pPr>
      <w:r>
        <w:tab/>
      </w:r>
      <w:r>
        <w:tab/>
        <w:t>Subject to the regulations, the ACH Council may determine its own procedures.</w:t>
      </w:r>
    </w:p>
    <w:p>
      <w:pPr>
        <w:pStyle w:val="Heading5"/>
      </w:pPr>
      <w:bookmarkStart w:id="83" w:name="_Toc135127148"/>
      <w:r>
        <w:rPr>
          <w:rStyle w:val="CharSectno"/>
        </w:rPr>
        <w:t>32</w:t>
      </w:r>
      <w:r>
        <w:t>.</w:t>
      </w:r>
      <w:r>
        <w:tab/>
        <w:t>Remuneration of members of ACH Council or committee</w:t>
      </w:r>
      <w:bookmarkEnd w:id="83"/>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84" w:name="_Toc135127149"/>
      <w:r>
        <w:rPr>
          <w:rStyle w:val="CharSectno"/>
        </w:rPr>
        <w:lastRenderedPageBreak/>
        <w:t>33</w:t>
      </w:r>
      <w:r>
        <w:t>.</w:t>
      </w:r>
      <w:r>
        <w:tab/>
        <w:t>Impersonating member of ACH Council</w:t>
      </w:r>
      <w:bookmarkEnd w:id="84"/>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85" w:name="_Toc135034607"/>
      <w:bookmarkStart w:id="86" w:name="_Toc135036248"/>
      <w:bookmarkStart w:id="87" w:name="_Toc135127150"/>
      <w:r>
        <w:rPr>
          <w:rStyle w:val="CharDivNo"/>
        </w:rPr>
        <w:t>Division 3</w:t>
      </w:r>
      <w:r>
        <w:t> — </w:t>
      </w:r>
      <w:r>
        <w:rPr>
          <w:rStyle w:val="CharDivText"/>
        </w:rPr>
        <w:t>Local Aboriginal cultural heritage services</w:t>
      </w:r>
      <w:bookmarkEnd w:id="85"/>
      <w:bookmarkEnd w:id="86"/>
      <w:bookmarkEnd w:id="87"/>
    </w:p>
    <w:p>
      <w:pPr>
        <w:pStyle w:val="Heading4"/>
      </w:pPr>
      <w:bookmarkStart w:id="88" w:name="_Toc135034608"/>
      <w:bookmarkStart w:id="89" w:name="_Toc135036249"/>
      <w:bookmarkStart w:id="90" w:name="_Toc135127151"/>
      <w:r>
        <w:t>Subdivision 1 — Purpose and nature of local ACH services</w:t>
      </w:r>
      <w:bookmarkEnd w:id="88"/>
      <w:bookmarkEnd w:id="89"/>
      <w:bookmarkEnd w:id="90"/>
    </w:p>
    <w:p>
      <w:pPr>
        <w:pStyle w:val="Heading5"/>
      </w:pPr>
      <w:bookmarkStart w:id="91" w:name="_Toc135127152"/>
      <w:r>
        <w:rPr>
          <w:rStyle w:val="CharSectno"/>
        </w:rPr>
        <w:t>34</w:t>
      </w:r>
      <w:r>
        <w:t>.</w:t>
      </w:r>
      <w:r>
        <w:tab/>
        <w:t>Purpose of local ACH service</w:t>
      </w:r>
      <w:bookmarkEnd w:id="91"/>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92" w:name="_Toc135127153"/>
      <w:r>
        <w:rPr>
          <w:rStyle w:val="CharSectno"/>
        </w:rPr>
        <w:t>35</w:t>
      </w:r>
      <w:r>
        <w:t>.</w:t>
      </w:r>
      <w:r>
        <w:tab/>
        <w:t>Nature of local ACH service</w:t>
      </w:r>
      <w:bookmarkEnd w:id="92"/>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93" w:name="_Toc135034611"/>
      <w:bookmarkStart w:id="94" w:name="_Toc135036252"/>
      <w:bookmarkStart w:id="95" w:name="_Toc135127154"/>
      <w:r>
        <w:lastRenderedPageBreak/>
        <w:t>Subdivision 2 — Designation as local ACH service</w:t>
      </w:r>
      <w:bookmarkEnd w:id="93"/>
      <w:bookmarkEnd w:id="94"/>
      <w:bookmarkEnd w:id="95"/>
    </w:p>
    <w:p>
      <w:pPr>
        <w:pStyle w:val="Heading5"/>
      </w:pPr>
      <w:bookmarkStart w:id="96" w:name="_Toc135127155"/>
      <w:r>
        <w:rPr>
          <w:rStyle w:val="CharSectno"/>
        </w:rPr>
        <w:t>36</w:t>
      </w:r>
      <w:r>
        <w:t>.</w:t>
      </w:r>
      <w:r>
        <w:tab/>
        <w:t>ACH Council must designate local ACH service</w:t>
      </w:r>
      <w:bookmarkEnd w:id="96"/>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97" w:name="_Toc135127156"/>
      <w:r>
        <w:rPr>
          <w:rStyle w:val="CharSectno"/>
        </w:rPr>
        <w:t>37</w:t>
      </w:r>
      <w:r>
        <w:t>.</w:t>
      </w:r>
      <w:r>
        <w:tab/>
        <w:t>Designation of local ACH service</w:t>
      </w:r>
      <w:bookmarkEnd w:id="97"/>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98" w:name="_Toc135127157"/>
      <w:r>
        <w:rPr>
          <w:rStyle w:val="CharSectno"/>
        </w:rPr>
        <w:t>38</w:t>
      </w:r>
      <w:r>
        <w:t>.</w:t>
      </w:r>
      <w:r>
        <w:tab/>
        <w:t>Application to be designated as local ACH service</w:t>
      </w:r>
      <w:bookmarkEnd w:id="98"/>
    </w:p>
    <w:p>
      <w:pPr>
        <w:pStyle w:val="Subsection"/>
      </w:pPr>
      <w:r>
        <w:tab/>
      </w:r>
      <w:r>
        <w:tab/>
        <w:t>A person described in section 40(1) may apply, in the approved form, to the ACH Council to be designated as the local ACH service for an area.</w:t>
      </w:r>
    </w:p>
    <w:p>
      <w:pPr>
        <w:pStyle w:val="Heading5"/>
      </w:pPr>
      <w:bookmarkStart w:id="99" w:name="_Toc135127158"/>
      <w:r>
        <w:rPr>
          <w:rStyle w:val="CharSectno"/>
        </w:rPr>
        <w:lastRenderedPageBreak/>
        <w:t>39</w:t>
      </w:r>
      <w:r>
        <w:t>.</w:t>
      </w:r>
      <w:r>
        <w:tab/>
        <w:t>Requirements for designation as local ACH service</w:t>
      </w:r>
      <w:bookmarkEnd w:id="99"/>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00" w:name="_Toc135127159"/>
      <w:r>
        <w:rPr>
          <w:rStyle w:val="CharSectno"/>
        </w:rPr>
        <w:lastRenderedPageBreak/>
        <w:t>40</w:t>
      </w:r>
      <w:r>
        <w:t>.</w:t>
      </w:r>
      <w:r>
        <w:tab/>
        <w:t>Order of priority of designation</w:t>
      </w:r>
      <w:bookmarkEnd w:id="100"/>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lastRenderedPageBreak/>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01" w:name="_Toc135127160"/>
      <w:r>
        <w:rPr>
          <w:rStyle w:val="CharSectno"/>
        </w:rPr>
        <w:t>41</w:t>
      </w:r>
      <w:r>
        <w:t>.</w:t>
      </w:r>
      <w:r>
        <w:tab/>
        <w:t>ACH Council must give public notice of designation</w:t>
      </w:r>
      <w:bookmarkEnd w:id="101"/>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lastRenderedPageBreak/>
        <w:tab/>
        <w:t>(c)</w:t>
      </w:r>
      <w:r>
        <w:tab/>
        <w:t>details of how the person may be contacted;</w:t>
      </w:r>
    </w:p>
    <w:p>
      <w:pPr>
        <w:pStyle w:val="Indenta"/>
      </w:pPr>
      <w:r>
        <w:tab/>
        <w:t>(d)</w:t>
      </w:r>
      <w:r>
        <w:tab/>
        <w:t>the other information, if any, prescribed for the purposes of this paragraph.</w:t>
      </w:r>
    </w:p>
    <w:p>
      <w:pPr>
        <w:pStyle w:val="Heading5"/>
      </w:pPr>
      <w:bookmarkStart w:id="102" w:name="_Toc135127161"/>
      <w:r>
        <w:rPr>
          <w:rStyle w:val="CharSectno"/>
        </w:rPr>
        <w:t>42</w:t>
      </w:r>
      <w:r>
        <w:t>.</w:t>
      </w:r>
      <w:r>
        <w:tab/>
        <w:t>Duration of designation as local ACH service for area</w:t>
      </w:r>
      <w:bookmarkEnd w:id="102"/>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03" w:name="_Toc135127162"/>
      <w:r>
        <w:rPr>
          <w:rStyle w:val="CharSectno"/>
        </w:rPr>
        <w:t>43</w:t>
      </w:r>
      <w:r>
        <w:t>.</w:t>
      </w:r>
      <w:r>
        <w:tab/>
        <w:t>Suspension or cancellation of designation as local ACH service for area or part of area</w:t>
      </w:r>
      <w:bookmarkEnd w:id="103"/>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lastRenderedPageBreak/>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lastRenderedPageBreak/>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04" w:name="_Toc135127163"/>
      <w:r>
        <w:rPr>
          <w:rStyle w:val="CharSectno"/>
        </w:rPr>
        <w:t>44</w:t>
      </w:r>
      <w:r>
        <w:t>.</w:t>
      </w:r>
      <w:r>
        <w:tab/>
        <w:t>Change to area for local ACH service</w:t>
      </w:r>
      <w:bookmarkEnd w:id="104"/>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lastRenderedPageBreak/>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05" w:name="_Toc135127164"/>
      <w:r>
        <w:rPr>
          <w:rStyle w:val="CharSectno"/>
        </w:rPr>
        <w:t>45</w:t>
      </w:r>
      <w:r>
        <w:t>.</w:t>
      </w:r>
      <w:r>
        <w:tab/>
        <w:t>Change to local ACH service</w:t>
      </w:r>
      <w:bookmarkEnd w:id="105"/>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06" w:name="_Toc135127165"/>
      <w:r>
        <w:rPr>
          <w:rStyle w:val="CharSectno"/>
        </w:rPr>
        <w:lastRenderedPageBreak/>
        <w:t>46</w:t>
      </w:r>
      <w:r>
        <w:t>.</w:t>
      </w:r>
      <w:r>
        <w:tab/>
        <w:t>Objection to decision of ACH Council</w:t>
      </w:r>
      <w:bookmarkEnd w:id="106"/>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lastRenderedPageBreak/>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07" w:name="_Toc135127166"/>
      <w:r>
        <w:rPr>
          <w:rStyle w:val="CharSectno"/>
        </w:rPr>
        <w:t>47</w:t>
      </w:r>
      <w:r>
        <w:t>.</w:t>
      </w:r>
      <w:r>
        <w:tab/>
        <w:t>Notice of decision must be given</w:t>
      </w:r>
      <w:bookmarkEnd w:id="107"/>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08" w:name="_Toc135034624"/>
      <w:bookmarkStart w:id="109" w:name="_Toc135036265"/>
      <w:bookmarkStart w:id="110" w:name="_Toc135127167"/>
      <w:r>
        <w:lastRenderedPageBreak/>
        <w:t>Subdivision 3 — Local ACH service functions and related provisions</w:t>
      </w:r>
      <w:bookmarkEnd w:id="108"/>
      <w:bookmarkEnd w:id="109"/>
      <w:bookmarkEnd w:id="110"/>
    </w:p>
    <w:p>
      <w:pPr>
        <w:pStyle w:val="Ednotesection"/>
        <w:keepNext/>
      </w:pPr>
      <w:r>
        <w:t>[</w:t>
      </w:r>
      <w:r>
        <w:rPr>
          <w:b/>
        </w:rPr>
        <w:t>48, 49.</w:t>
      </w:r>
      <w:r>
        <w:tab/>
        <w:t>Have not come into operation.]</w:t>
      </w:r>
    </w:p>
    <w:p>
      <w:pPr>
        <w:pStyle w:val="Heading5"/>
      </w:pPr>
      <w:bookmarkStart w:id="111" w:name="_Toc135127168"/>
      <w:r>
        <w:rPr>
          <w:rStyle w:val="CharSectno"/>
        </w:rPr>
        <w:t>50</w:t>
      </w:r>
      <w:r>
        <w:t>.</w:t>
      </w:r>
      <w:r>
        <w:tab/>
        <w:t>Variation of fee structure for services provided by local ACH service</w:t>
      </w:r>
      <w:bookmarkEnd w:id="111"/>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Ednotesubdivision"/>
        <w:ind w:left="1560" w:hanging="1560"/>
      </w:pPr>
      <w:r>
        <w:t>[Subdivision 4 has not come into operation.]</w:t>
      </w:r>
    </w:p>
    <w:p>
      <w:pPr>
        <w:pStyle w:val="Ednotepart"/>
      </w:pPr>
      <w:r>
        <w:t>[Part 3 has not come into operation.]</w:t>
      </w:r>
    </w:p>
    <w:p>
      <w:pPr>
        <w:pStyle w:val="Heading2"/>
      </w:pPr>
      <w:bookmarkStart w:id="112" w:name="_Toc135034626"/>
      <w:bookmarkStart w:id="113" w:name="_Toc135036267"/>
      <w:bookmarkStart w:id="114" w:name="_Toc135127169"/>
      <w:r>
        <w:rPr>
          <w:rStyle w:val="CharPartNo"/>
        </w:rPr>
        <w:lastRenderedPageBreak/>
        <w:t>Part 4</w:t>
      </w:r>
      <w:r>
        <w:t> — </w:t>
      </w:r>
      <w:r>
        <w:rPr>
          <w:rStyle w:val="CharPartText"/>
        </w:rPr>
        <w:t>Protected areas</w:t>
      </w:r>
      <w:bookmarkEnd w:id="112"/>
      <w:bookmarkEnd w:id="113"/>
      <w:bookmarkEnd w:id="114"/>
    </w:p>
    <w:p>
      <w:pPr>
        <w:pStyle w:val="Heading3"/>
      </w:pPr>
      <w:bookmarkStart w:id="115" w:name="_Toc135034627"/>
      <w:bookmarkStart w:id="116" w:name="_Toc135036268"/>
      <w:bookmarkStart w:id="117" w:name="_Toc135127170"/>
      <w:r>
        <w:rPr>
          <w:rStyle w:val="CharDivNo"/>
        </w:rPr>
        <w:t>Division 1</w:t>
      </w:r>
      <w:r>
        <w:t> — </w:t>
      </w:r>
      <w:r>
        <w:rPr>
          <w:rStyle w:val="CharDivText"/>
        </w:rPr>
        <w:t>Preliminary</w:t>
      </w:r>
      <w:bookmarkEnd w:id="115"/>
      <w:bookmarkEnd w:id="116"/>
      <w:bookmarkEnd w:id="117"/>
    </w:p>
    <w:p>
      <w:pPr>
        <w:pStyle w:val="Heading5"/>
      </w:pPr>
      <w:bookmarkStart w:id="118" w:name="_Toc135127171"/>
      <w:r>
        <w:rPr>
          <w:rStyle w:val="CharSectno"/>
        </w:rPr>
        <w:t>69</w:t>
      </w:r>
      <w:r>
        <w:t>.</w:t>
      </w:r>
      <w:r>
        <w:tab/>
        <w:t>Terms used</w:t>
      </w:r>
      <w:bookmarkEnd w:id="118"/>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Ednotesection"/>
      </w:pPr>
      <w:r>
        <w:t>[</w:t>
      </w:r>
      <w:r>
        <w:rPr>
          <w:b/>
        </w:rPr>
        <w:t>70, 71.</w:t>
      </w:r>
      <w:r>
        <w:tab/>
        <w:t>Have not come into operation.]</w:t>
      </w:r>
    </w:p>
    <w:p>
      <w:pPr>
        <w:pStyle w:val="Ednotedivision"/>
      </w:pPr>
      <w:r>
        <w:t>[Divisions 2</w:t>
      </w:r>
      <w:r>
        <w:noBreakHyphen/>
        <w:t>4 have not come into operation.]</w:t>
      </w:r>
    </w:p>
    <w:p>
      <w:pPr>
        <w:pStyle w:val="Heading3"/>
      </w:pPr>
      <w:bookmarkStart w:id="119" w:name="_Toc135034629"/>
      <w:bookmarkStart w:id="120" w:name="_Toc135036270"/>
      <w:bookmarkStart w:id="121" w:name="_Toc135127172"/>
      <w:r>
        <w:rPr>
          <w:rStyle w:val="CharDivNo"/>
        </w:rPr>
        <w:t>Division 5</w:t>
      </w:r>
      <w:r>
        <w:t> — </w:t>
      </w:r>
      <w:r>
        <w:rPr>
          <w:rStyle w:val="CharDivText"/>
        </w:rPr>
        <w:t>Declaration of protected area</w:t>
      </w:r>
      <w:bookmarkEnd w:id="119"/>
      <w:bookmarkEnd w:id="120"/>
      <w:bookmarkEnd w:id="121"/>
    </w:p>
    <w:p>
      <w:pPr>
        <w:pStyle w:val="Ednotesection"/>
      </w:pPr>
      <w:r>
        <w:t>[</w:t>
      </w:r>
      <w:r>
        <w:rPr>
          <w:b/>
        </w:rPr>
        <w:t>82</w:t>
      </w:r>
      <w:r>
        <w:rPr>
          <w:b/>
        </w:rPr>
        <w:noBreakHyphen/>
        <w:t>85.</w:t>
      </w:r>
      <w:r>
        <w:tab/>
        <w:t>Have not come into operation.]</w:t>
      </w:r>
    </w:p>
    <w:p>
      <w:pPr>
        <w:pStyle w:val="Heading5"/>
      </w:pPr>
      <w:bookmarkStart w:id="122" w:name="_Toc135127173"/>
      <w:r>
        <w:rPr>
          <w:rStyle w:val="CharSectno"/>
        </w:rPr>
        <w:t>86</w:t>
      </w:r>
      <w:r>
        <w:t>.</w:t>
      </w:r>
      <w:r>
        <w:tab/>
        <w:t>Provisions about protected area orders</w:t>
      </w:r>
      <w:bookmarkEnd w:id="122"/>
    </w:p>
    <w:p>
      <w:pPr>
        <w:pStyle w:val="Ednotesubsection"/>
      </w:pPr>
      <w:r>
        <w:tab/>
        <w:t>[(1)</w:t>
      </w:r>
      <w:r>
        <w:tab/>
        <w:t>has not come into operation]</w:t>
      </w:r>
    </w:p>
    <w:p>
      <w:pPr>
        <w:pStyle w:val="Subsection"/>
      </w:pPr>
      <w:r>
        <w:tab/>
        <w:t>(2)</w:t>
      </w:r>
      <w:r>
        <w:tab/>
        <w:t xml:space="preserve">A protected area order is not subsidiary legislation for the purposes of the </w:t>
      </w:r>
      <w:r>
        <w:rPr>
          <w:i/>
        </w:rPr>
        <w:t>Interpretation Act 1984</w:t>
      </w:r>
      <w:r>
        <w:t>.</w:t>
      </w:r>
    </w:p>
    <w:p>
      <w:pPr>
        <w:pStyle w:val="Subsection"/>
      </w:pPr>
      <w:r>
        <w:lastRenderedPageBreak/>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tab/>
        <w:t>(4)</w:t>
      </w:r>
      <w:r>
        <w:tab/>
        <w:t>The CEO must ensure that public notice is given of a protected area order.</w:t>
      </w:r>
    </w:p>
    <w:p>
      <w:pPr>
        <w:pStyle w:val="Ednotesubsection"/>
      </w:pPr>
      <w:r>
        <w:tab/>
        <w:t>[(5)</w:t>
      </w:r>
      <w:r>
        <w:tab/>
        <w:t>has not come into operation]</w:t>
      </w:r>
    </w:p>
    <w:p>
      <w:pPr>
        <w:pStyle w:val="Ednotesection"/>
      </w:pPr>
      <w:r>
        <w:t>[</w:t>
      </w:r>
      <w:r>
        <w:rPr>
          <w:b/>
        </w:rPr>
        <w:t>87.</w:t>
      </w:r>
      <w:r>
        <w:tab/>
        <w:t>Has not come into operation.]</w:t>
      </w:r>
    </w:p>
    <w:p>
      <w:pPr>
        <w:pStyle w:val="Ednotedivision"/>
      </w:pPr>
      <w:r>
        <w:t>[Division 6 has not come into operation.]</w:t>
      </w:r>
    </w:p>
    <w:p>
      <w:pPr>
        <w:pStyle w:val="Heading2"/>
      </w:pPr>
      <w:bookmarkStart w:id="123" w:name="_Toc135034631"/>
      <w:bookmarkStart w:id="124" w:name="_Toc135036272"/>
      <w:bookmarkStart w:id="125" w:name="_Toc135127174"/>
      <w:r>
        <w:rPr>
          <w:rStyle w:val="CharPartNo"/>
        </w:rPr>
        <w:lastRenderedPageBreak/>
        <w:t>Part 5</w:t>
      </w:r>
      <w:r>
        <w:t> — </w:t>
      </w:r>
      <w:r>
        <w:rPr>
          <w:rStyle w:val="CharPartText"/>
        </w:rPr>
        <w:t>Offences about harming Aboriginal cultural heritage and compensation for harm to Aboriginal cultural heritage</w:t>
      </w:r>
      <w:bookmarkEnd w:id="123"/>
      <w:bookmarkEnd w:id="124"/>
      <w:bookmarkEnd w:id="125"/>
    </w:p>
    <w:p>
      <w:pPr>
        <w:pStyle w:val="Heading3"/>
      </w:pPr>
      <w:bookmarkStart w:id="126" w:name="_Toc135034632"/>
      <w:bookmarkStart w:id="127" w:name="_Toc135036273"/>
      <w:bookmarkStart w:id="128" w:name="_Toc135127175"/>
      <w:r>
        <w:rPr>
          <w:rStyle w:val="CharDivNo"/>
        </w:rPr>
        <w:t>Division 1</w:t>
      </w:r>
      <w:r>
        <w:t> — </w:t>
      </w:r>
      <w:r>
        <w:rPr>
          <w:rStyle w:val="CharDivText"/>
        </w:rPr>
        <w:t>Preliminary</w:t>
      </w:r>
      <w:bookmarkEnd w:id="126"/>
      <w:bookmarkEnd w:id="127"/>
      <w:bookmarkEnd w:id="128"/>
    </w:p>
    <w:p>
      <w:pPr>
        <w:pStyle w:val="Ednotesection"/>
      </w:pPr>
      <w:r>
        <w:t>[</w:t>
      </w:r>
      <w:r>
        <w:rPr>
          <w:b/>
        </w:rPr>
        <w:t>89.</w:t>
      </w:r>
      <w:r>
        <w:tab/>
        <w:t>Has not come into operation.]</w:t>
      </w:r>
    </w:p>
    <w:p>
      <w:pPr>
        <w:pStyle w:val="Heading5"/>
      </w:pPr>
      <w:bookmarkStart w:id="129" w:name="_Toc135127176"/>
      <w:r>
        <w:rPr>
          <w:rStyle w:val="CharSectno"/>
        </w:rPr>
        <w:t>90</w:t>
      </w:r>
      <w:r>
        <w:t>.</w:t>
      </w:r>
      <w:r>
        <w:tab/>
        <w:t>Meaning of harm to Aboriginal cultural heritage</w:t>
      </w:r>
      <w:bookmarkEnd w:id="129"/>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Ednotesection"/>
      </w:pPr>
      <w:r>
        <w:t>[</w:t>
      </w:r>
      <w:r>
        <w:rPr>
          <w:b/>
        </w:rPr>
        <w:t>91.</w:t>
      </w:r>
      <w:r>
        <w:tab/>
        <w:t>Has not come into operation.]</w:t>
      </w:r>
    </w:p>
    <w:p>
      <w:pPr>
        <w:pStyle w:val="Ednotedivision"/>
      </w:pPr>
      <w:r>
        <w:t>[Divisions 2</w:t>
      </w:r>
      <w:r>
        <w:noBreakHyphen/>
        <w:t>4 have not come into operation.]</w:t>
      </w:r>
    </w:p>
    <w:p>
      <w:pPr>
        <w:pStyle w:val="Heading2"/>
      </w:pPr>
      <w:bookmarkStart w:id="130" w:name="_Toc135034634"/>
      <w:bookmarkStart w:id="131" w:name="_Toc135036275"/>
      <w:bookmarkStart w:id="132" w:name="_Toc135127177"/>
      <w:r>
        <w:rPr>
          <w:rStyle w:val="CharPartNo"/>
        </w:rPr>
        <w:lastRenderedPageBreak/>
        <w:t>Part 6</w:t>
      </w:r>
      <w:r>
        <w:t> — </w:t>
      </w:r>
      <w:r>
        <w:rPr>
          <w:rStyle w:val="CharPartText"/>
        </w:rPr>
        <w:t>Managing activities that may harm Aboriginal cultural heritage</w:t>
      </w:r>
      <w:bookmarkEnd w:id="130"/>
      <w:bookmarkEnd w:id="131"/>
      <w:bookmarkEnd w:id="132"/>
    </w:p>
    <w:p>
      <w:pPr>
        <w:pStyle w:val="Heading3"/>
      </w:pPr>
      <w:bookmarkStart w:id="133" w:name="_Toc135034635"/>
      <w:bookmarkStart w:id="134" w:name="_Toc135036276"/>
      <w:bookmarkStart w:id="135" w:name="_Toc135127178"/>
      <w:r>
        <w:rPr>
          <w:rStyle w:val="CharDivNo"/>
        </w:rPr>
        <w:t>Division 1</w:t>
      </w:r>
      <w:r>
        <w:t> — </w:t>
      </w:r>
      <w:r>
        <w:rPr>
          <w:rStyle w:val="CharDivText"/>
        </w:rPr>
        <w:t>Preliminary</w:t>
      </w:r>
      <w:bookmarkEnd w:id="133"/>
      <w:bookmarkEnd w:id="134"/>
      <w:bookmarkEnd w:id="135"/>
    </w:p>
    <w:p>
      <w:pPr>
        <w:pStyle w:val="Heading5"/>
      </w:pPr>
      <w:bookmarkStart w:id="136" w:name="_Toc135127179"/>
      <w:r>
        <w:rPr>
          <w:rStyle w:val="CharSectno"/>
        </w:rPr>
        <w:t>100</w:t>
      </w:r>
      <w:r>
        <w:t>.</w:t>
      </w:r>
      <w:r>
        <w:tab/>
        <w:t>Terms used</w:t>
      </w:r>
      <w:bookmarkEnd w:id="136"/>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137" w:name="_Toc135127180"/>
      <w:r>
        <w:rPr>
          <w:rStyle w:val="CharSectno"/>
        </w:rPr>
        <w:t>101</w:t>
      </w:r>
      <w:r>
        <w:t>.</w:t>
      </w:r>
      <w:r>
        <w:tab/>
        <w:t>Consultation about proposed activities</w:t>
      </w:r>
      <w:bookmarkEnd w:id="137"/>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Ednotedivision"/>
      </w:pPr>
      <w:r>
        <w:t>[Division 2 has not come into operation.]</w:t>
      </w:r>
    </w:p>
    <w:p>
      <w:pPr>
        <w:pStyle w:val="Heading3"/>
      </w:pPr>
      <w:bookmarkStart w:id="138" w:name="_Toc135034638"/>
      <w:bookmarkStart w:id="139" w:name="_Toc135036279"/>
      <w:bookmarkStart w:id="140" w:name="_Toc135127181"/>
      <w:r>
        <w:rPr>
          <w:rStyle w:val="CharDivNo"/>
        </w:rPr>
        <w:t>Division 3</w:t>
      </w:r>
      <w:r>
        <w:t> — </w:t>
      </w:r>
      <w:r>
        <w:rPr>
          <w:rStyle w:val="CharDivText"/>
        </w:rPr>
        <w:t>Persons to be notified or persons to be consulted about activities or proposed activities</w:t>
      </w:r>
      <w:bookmarkEnd w:id="138"/>
      <w:bookmarkEnd w:id="139"/>
      <w:bookmarkEnd w:id="140"/>
    </w:p>
    <w:p>
      <w:pPr>
        <w:pStyle w:val="Heading5"/>
      </w:pPr>
      <w:bookmarkStart w:id="141" w:name="_Toc135127182"/>
      <w:r>
        <w:rPr>
          <w:rStyle w:val="CharSectno"/>
        </w:rPr>
        <w:t>107</w:t>
      </w:r>
      <w:r>
        <w:t>.</w:t>
      </w:r>
      <w:r>
        <w:tab/>
        <w:t>Persons to be notified or persons to be consulted about activities or proposed activities</w:t>
      </w:r>
      <w:bookmarkEnd w:id="141"/>
    </w:p>
    <w:p>
      <w:pPr>
        <w:pStyle w:val="Subsection"/>
      </w:pPr>
      <w:r>
        <w:tab/>
        <w:t>(1)</w:t>
      </w:r>
      <w:r>
        <w:tab/>
        <w:t xml:space="preserve">The persons to be notified or the persons to be consulted about an activity that a proponent is carrying out, or a proposed </w:t>
      </w:r>
      <w:r>
        <w:lastRenderedPageBreak/>
        <w:t xml:space="preserve">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Ednotesection"/>
      </w:pPr>
      <w:r>
        <w:t>[</w:t>
      </w:r>
      <w:r>
        <w:rPr>
          <w:b/>
        </w:rPr>
        <w:t>108.</w:t>
      </w:r>
      <w:r>
        <w:tab/>
        <w:t>Has not come into operation.]</w:t>
      </w:r>
    </w:p>
    <w:p>
      <w:pPr>
        <w:pStyle w:val="Ednotedivision"/>
      </w:pPr>
      <w:r>
        <w:t>[Divisions 4 and 5 have not come into operation.]</w:t>
      </w:r>
    </w:p>
    <w:p>
      <w:pPr>
        <w:pStyle w:val="Heading3"/>
      </w:pPr>
      <w:bookmarkStart w:id="142" w:name="_Toc135034640"/>
      <w:bookmarkStart w:id="143" w:name="_Toc135036281"/>
      <w:bookmarkStart w:id="144" w:name="_Toc135127183"/>
      <w:r>
        <w:rPr>
          <w:rStyle w:val="CharDivNo"/>
        </w:rPr>
        <w:t>Division 6</w:t>
      </w:r>
      <w:r>
        <w:t> — </w:t>
      </w:r>
      <w:r>
        <w:rPr>
          <w:rStyle w:val="CharDivText"/>
        </w:rPr>
        <w:t>ACH management plans</w:t>
      </w:r>
      <w:bookmarkEnd w:id="142"/>
      <w:bookmarkEnd w:id="143"/>
      <w:bookmarkEnd w:id="144"/>
    </w:p>
    <w:p>
      <w:pPr>
        <w:pStyle w:val="Heading4"/>
      </w:pPr>
      <w:bookmarkStart w:id="145" w:name="_Toc135034641"/>
      <w:bookmarkStart w:id="146" w:name="_Toc135036282"/>
      <w:bookmarkStart w:id="147" w:name="_Toc135127184"/>
      <w:r>
        <w:t>Subdivision 1 — Preliminary</w:t>
      </w:r>
      <w:bookmarkEnd w:id="145"/>
      <w:bookmarkEnd w:id="146"/>
      <w:bookmarkEnd w:id="147"/>
    </w:p>
    <w:p>
      <w:pPr>
        <w:pStyle w:val="Ednotesection"/>
      </w:pPr>
      <w:r>
        <w:t>[</w:t>
      </w:r>
      <w:r>
        <w:rPr>
          <w:b/>
        </w:rPr>
        <w:t>134</w:t>
      </w:r>
      <w:r>
        <w:rPr>
          <w:b/>
        </w:rPr>
        <w:noBreakHyphen/>
        <w:t>138.</w:t>
      </w:r>
      <w:r>
        <w:tab/>
        <w:t>Have not come into operation.]</w:t>
      </w:r>
    </w:p>
    <w:p>
      <w:pPr>
        <w:pStyle w:val="Heading5"/>
      </w:pPr>
      <w:bookmarkStart w:id="148" w:name="_Toc135127185"/>
      <w:r>
        <w:rPr>
          <w:rStyle w:val="CharSectno"/>
        </w:rPr>
        <w:t>139</w:t>
      </w:r>
      <w:r>
        <w:t>.</w:t>
      </w:r>
      <w:r>
        <w:tab/>
        <w:t>Obligation to consult on ACH management plan</w:t>
      </w:r>
      <w:bookmarkEnd w:id="148"/>
    </w:p>
    <w:p>
      <w:pPr>
        <w:pStyle w:val="Subsection"/>
      </w:pPr>
      <w:r>
        <w:tab/>
        <w:t>(1)</w:t>
      </w:r>
      <w:r>
        <w:tab/>
        <w:t>A proponent who intends to carry out an activity under an ACH management plan must consult with each of the persons to be consulted about the proposed activity.</w:t>
      </w:r>
    </w:p>
    <w:p>
      <w:pPr>
        <w:pStyle w:val="Subsection"/>
      </w:pPr>
      <w:r>
        <w:lastRenderedPageBreak/>
        <w:tab/>
        <w:t>(2)</w:t>
      </w:r>
      <w:r>
        <w:tab/>
        <w:t>Consultation must be carried out within a reasonable time and in accordance with the consultation guidelines.</w:t>
      </w:r>
    </w:p>
    <w:p>
      <w:pPr>
        <w:pStyle w:val="Ednotesection"/>
      </w:pPr>
      <w:r>
        <w:t>[</w:t>
      </w:r>
      <w:r>
        <w:rPr>
          <w:b/>
        </w:rPr>
        <w:t>140</w:t>
      </w:r>
      <w:r>
        <w:rPr>
          <w:b/>
        </w:rPr>
        <w:noBreakHyphen/>
        <w:t>145.</w:t>
      </w:r>
      <w:r>
        <w:tab/>
        <w:t>Have not come into operation.]</w:t>
      </w:r>
    </w:p>
    <w:p>
      <w:pPr>
        <w:pStyle w:val="Ednotedivision"/>
      </w:pPr>
      <w:r>
        <w:t>[Subdivisions 2</w:t>
      </w:r>
      <w:r>
        <w:noBreakHyphen/>
        <w:t>5 have not come into operation.]</w:t>
      </w:r>
    </w:p>
    <w:p>
      <w:pPr>
        <w:pStyle w:val="Ednotepart"/>
      </w:pPr>
      <w:r>
        <w:t>[Parts 7</w:t>
      </w:r>
      <w:r>
        <w:noBreakHyphen/>
        <w:t>12 have not come into operation.]</w:t>
      </w:r>
    </w:p>
    <w:p>
      <w:pPr>
        <w:pStyle w:val="Heading2"/>
      </w:pPr>
      <w:bookmarkStart w:id="149" w:name="_Toc135034643"/>
      <w:bookmarkStart w:id="150" w:name="_Toc135036284"/>
      <w:bookmarkStart w:id="151" w:name="_Toc135127186"/>
      <w:r>
        <w:rPr>
          <w:rStyle w:val="CharPartNo"/>
        </w:rPr>
        <w:lastRenderedPageBreak/>
        <w:t>Part 13</w:t>
      </w:r>
      <w:r>
        <w:t> — </w:t>
      </w:r>
      <w:r>
        <w:rPr>
          <w:rStyle w:val="CharPartText"/>
        </w:rPr>
        <w:t>Miscellaneous</w:t>
      </w:r>
      <w:bookmarkEnd w:id="149"/>
      <w:bookmarkEnd w:id="150"/>
      <w:bookmarkEnd w:id="151"/>
    </w:p>
    <w:p>
      <w:pPr>
        <w:pStyle w:val="Ednotedivision"/>
      </w:pPr>
      <w:r>
        <w:t>[Division 1 has not come into operation.]</w:t>
      </w:r>
    </w:p>
    <w:p>
      <w:pPr>
        <w:pStyle w:val="Heading3"/>
      </w:pPr>
      <w:bookmarkStart w:id="152" w:name="_Toc135034644"/>
      <w:bookmarkStart w:id="153" w:name="_Toc135036285"/>
      <w:bookmarkStart w:id="154" w:name="_Toc135127187"/>
      <w:r>
        <w:rPr>
          <w:rStyle w:val="CharDivNo"/>
        </w:rPr>
        <w:t>Division 2</w:t>
      </w:r>
      <w:r>
        <w:t> — </w:t>
      </w:r>
      <w:r>
        <w:rPr>
          <w:rStyle w:val="CharDivText"/>
        </w:rPr>
        <w:t>Giving notice</w:t>
      </w:r>
      <w:bookmarkEnd w:id="152"/>
      <w:bookmarkEnd w:id="153"/>
      <w:bookmarkEnd w:id="154"/>
    </w:p>
    <w:p>
      <w:pPr>
        <w:pStyle w:val="Heading5"/>
      </w:pPr>
      <w:bookmarkStart w:id="155" w:name="_Toc135127188"/>
      <w:r>
        <w:rPr>
          <w:rStyle w:val="CharSectno"/>
        </w:rPr>
        <w:t>282</w:t>
      </w:r>
      <w:r>
        <w:t>.</w:t>
      </w:r>
      <w:r>
        <w:tab/>
        <w:t>Public notice</w:t>
      </w:r>
      <w:bookmarkEnd w:id="155"/>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156" w:name="_Toc135127189"/>
      <w:r>
        <w:rPr>
          <w:rStyle w:val="CharSectno"/>
        </w:rPr>
        <w:t>283</w:t>
      </w:r>
      <w:r>
        <w:t>.</w:t>
      </w:r>
      <w:r>
        <w:tab/>
        <w:t>Giving notice generally</w:t>
      </w:r>
      <w:bookmarkEnd w:id="156"/>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lastRenderedPageBreak/>
        <w:tab/>
        <w:t>(d)</w:t>
      </w:r>
      <w:r>
        <w:tab/>
        <w:t>emailing it to an email address or faxing it to a fax number —</w:t>
      </w:r>
    </w:p>
    <w:p>
      <w:pPr>
        <w:pStyle w:val="Indenti"/>
      </w:pPr>
      <w:r>
        <w:tab/>
        <w:t>(i)</w:t>
      </w:r>
      <w:r>
        <w:tab/>
        <w:t>provided by the person for the giving or service of notice; or</w:t>
      </w:r>
    </w:p>
    <w:p>
      <w:pPr>
        <w:pStyle w:val="Indenti"/>
      </w:pPr>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Ednotesection"/>
      </w:pPr>
      <w:r>
        <w:t>[</w:t>
      </w:r>
      <w:r>
        <w:rPr>
          <w:b/>
        </w:rPr>
        <w:t>284, 285.</w:t>
      </w:r>
      <w:r>
        <w:tab/>
        <w:t>Have not come into operation.]</w:t>
      </w:r>
    </w:p>
    <w:p>
      <w:pPr>
        <w:pStyle w:val="Heading5"/>
      </w:pPr>
      <w:bookmarkStart w:id="157" w:name="_Toc135127190"/>
      <w:r>
        <w:rPr>
          <w:rStyle w:val="CharSectno"/>
        </w:rPr>
        <w:lastRenderedPageBreak/>
        <w:t>286</w:t>
      </w:r>
      <w:r>
        <w:t>.</w:t>
      </w:r>
      <w:r>
        <w:tab/>
        <w:t>Defects in notice</w:t>
      </w:r>
      <w:bookmarkEnd w:id="157"/>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158" w:name="_Toc135034648"/>
      <w:bookmarkStart w:id="159" w:name="_Toc135036289"/>
      <w:bookmarkStart w:id="160" w:name="_Toc135127191"/>
      <w:r>
        <w:rPr>
          <w:rStyle w:val="CharDivNo"/>
        </w:rPr>
        <w:t>Division 3</w:t>
      </w:r>
      <w:r>
        <w:t> — </w:t>
      </w:r>
      <w:r>
        <w:rPr>
          <w:rStyle w:val="CharDivText"/>
        </w:rPr>
        <w:t>Regulations and guidelines</w:t>
      </w:r>
      <w:bookmarkEnd w:id="158"/>
      <w:bookmarkEnd w:id="159"/>
      <w:bookmarkEnd w:id="160"/>
    </w:p>
    <w:p>
      <w:pPr>
        <w:pStyle w:val="Heading4"/>
      </w:pPr>
      <w:bookmarkStart w:id="161" w:name="_Toc135034649"/>
      <w:bookmarkStart w:id="162" w:name="_Toc135036290"/>
      <w:bookmarkStart w:id="163" w:name="_Toc135127192"/>
      <w:r>
        <w:t>Subdivision 1 — Regulations</w:t>
      </w:r>
      <w:bookmarkEnd w:id="161"/>
      <w:bookmarkEnd w:id="162"/>
      <w:bookmarkEnd w:id="163"/>
    </w:p>
    <w:p>
      <w:pPr>
        <w:pStyle w:val="Heading5"/>
      </w:pPr>
      <w:bookmarkStart w:id="164" w:name="_Toc135127193"/>
      <w:r>
        <w:rPr>
          <w:rStyle w:val="CharSectno"/>
        </w:rPr>
        <w:t>287</w:t>
      </w:r>
      <w:r>
        <w:t>.</w:t>
      </w:r>
      <w:r>
        <w:tab/>
        <w:t>Regulations</w:t>
      </w:r>
      <w:bookmarkEnd w:id="164"/>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165" w:name="_Toc135127194"/>
      <w:r>
        <w:rPr>
          <w:rStyle w:val="CharSectno"/>
        </w:rPr>
        <w:t>288</w:t>
      </w:r>
      <w:r>
        <w:t>.</w:t>
      </w:r>
      <w:r>
        <w:tab/>
        <w:t>Regulations about ACH Council and local ACH services</w:t>
      </w:r>
      <w:bookmarkEnd w:id="165"/>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lastRenderedPageBreak/>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166" w:name="_Toc135127195"/>
      <w:r>
        <w:rPr>
          <w:rStyle w:val="CharSectno"/>
        </w:rPr>
        <w:t>289</w:t>
      </w:r>
      <w:r>
        <w:t>.</w:t>
      </w:r>
      <w:r>
        <w:tab/>
        <w:t>Regulations about protected areas</w:t>
      </w:r>
      <w:bookmarkEnd w:id="166"/>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lastRenderedPageBreak/>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167" w:name="_Toc135127196"/>
      <w:r>
        <w:rPr>
          <w:rStyle w:val="CharSectno"/>
        </w:rPr>
        <w:t>290</w:t>
      </w:r>
      <w:r>
        <w:t>.</w:t>
      </w:r>
      <w:r>
        <w:tab/>
        <w:t>Regulations about ACH Directory</w:t>
      </w:r>
      <w:bookmarkEnd w:id="167"/>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168" w:name="_Toc135127197"/>
      <w:r>
        <w:rPr>
          <w:rStyle w:val="CharSectno"/>
        </w:rPr>
        <w:t>291</w:t>
      </w:r>
      <w:r>
        <w:t>.</w:t>
      </w:r>
      <w:r>
        <w:tab/>
        <w:t>Regulations about determining whether information is culturally sensitive information</w:t>
      </w:r>
      <w:bookmarkEnd w:id="168"/>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169" w:name="_Toc135127198"/>
      <w:r>
        <w:rPr>
          <w:rStyle w:val="CharSectno"/>
        </w:rPr>
        <w:t>292</w:t>
      </w:r>
      <w:r>
        <w:t>.</w:t>
      </w:r>
      <w:r>
        <w:tab/>
        <w:t>Regulations about fees and charges</w:t>
      </w:r>
      <w:bookmarkEnd w:id="169"/>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lastRenderedPageBreak/>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w:t>
      </w:r>
      <w:r>
        <w:lastRenderedPageBreak/>
        <w:t xml:space="preserve">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170" w:name="_Toc135127199"/>
      <w:r>
        <w:rPr>
          <w:rStyle w:val="CharSectno"/>
        </w:rPr>
        <w:t>293</w:t>
      </w:r>
      <w:r>
        <w:t>.</w:t>
      </w:r>
      <w:r>
        <w:tab/>
        <w:t>Other regulations</w:t>
      </w:r>
      <w:bookmarkEnd w:id="170"/>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lastRenderedPageBreak/>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171" w:name="_Toc135034657"/>
      <w:bookmarkStart w:id="172" w:name="_Toc135036298"/>
      <w:bookmarkStart w:id="173" w:name="_Toc135127200"/>
      <w:r>
        <w:t>Subdivision 2 — Guidelines</w:t>
      </w:r>
      <w:bookmarkEnd w:id="171"/>
      <w:bookmarkEnd w:id="172"/>
      <w:bookmarkEnd w:id="173"/>
    </w:p>
    <w:p>
      <w:pPr>
        <w:pStyle w:val="Heading5"/>
      </w:pPr>
      <w:bookmarkStart w:id="174" w:name="_Toc135127201"/>
      <w:r>
        <w:rPr>
          <w:rStyle w:val="CharSectno"/>
        </w:rPr>
        <w:t>294</w:t>
      </w:r>
      <w:r>
        <w:t>.</w:t>
      </w:r>
      <w:r>
        <w:tab/>
        <w:t>Guidelines</w:t>
      </w:r>
      <w:bookmarkEnd w:id="174"/>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175" w:name="_Toc135127202"/>
      <w:r>
        <w:rPr>
          <w:rStyle w:val="CharSectno"/>
        </w:rPr>
        <w:lastRenderedPageBreak/>
        <w:t>295</w:t>
      </w:r>
      <w:r>
        <w:t>.</w:t>
      </w:r>
      <w:r>
        <w:tab/>
        <w:t>Preparation of guidelines</w:t>
      </w:r>
      <w:bookmarkEnd w:id="175"/>
    </w:p>
    <w:p>
      <w:pPr>
        <w:pStyle w:val="Subsection"/>
      </w:pPr>
      <w:r>
        <w:tab/>
      </w:r>
      <w:r>
        <w:tab/>
        <w:t>The ACH Council may, with the approval or on the direction of the Minister, prepare proposed guidelines.</w:t>
      </w:r>
    </w:p>
    <w:p>
      <w:pPr>
        <w:pStyle w:val="Heading5"/>
      </w:pPr>
      <w:bookmarkStart w:id="176" w:name="_Toc135127203"/>
      <w:r>
        <w:rPr>
          <w:rStyle w:val="CharSectno"/>
        </w:rPr>
        <w:t>296</w:t>
      </w:r>
      <w:r>
        <w:t>.</w:t>
      </w:r>
      <w:r>
        <w:tab/>
        <w:t>Consultation on proposed guidelines</w:t>
      </w:r>
      <w:bookmarkEnd w:id="176"/>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177" w:name="_Toc135127204"/>
      <w:r>
        <w:rPr>
          <w:rStyle w:val="CharSectno"/>
        </w:rPr>
        <w:lastRenderedPageBreak/>
        <w:t>297</w:t>
      </w:r>
      <w:r>
        <w:t>.</w:t>
      </w:r>
      <w:r>
        <w:tab/>
        <w:t>Approval of Minister</w:t>
      </w:r>
      <w:bookmarkEnd w:id="177"/>
    </w:p>
    <w:p>
      <w:pPr>
        <w:pStyle w:val="Subsection"/>
      </w:pPr>
      <w:r>
        <w:tab/>
      </w:r>
      <w:r>
        <w:tab/>
        <w:t>The Minister may approve proposed guidelines prepared by the ACH Council with or without any modifications that the Minister thinks fit.</w:t>
      </w:r>
    </w:p>
    <w:p>
      <w:pPr>
        <w:pStyle w:val="Heading5"/>
      </w:pPr>
      <w:bookmarkStart w:id="178" w:name="_Toc135127205"/>
      <w:r>
        <w:rPr>
          <w:rStyle w:val="CharSectno"/>
        </w:rPr>
        <w:t>298</w:t>
      </w:r>
      <w:r>
        <w:t>.</w:t>
      </w:r>
      <w:r>
        <w:tab/>
        <w:t>Provisions about guidelines</w:t>
      </w:r>
      <w:bookmarkEnd w:id="178"/>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179" w:name="_Toc135127206"/>
      <w:r>
        <w:rPr>
          <w:rStyle w:val="CharSectno"/>
        </w:rPr>
        <w:t>299</w:t>
      </w:r>
      <w:r>
        <w:t>.</w:t>
      </w:r>
      <w:r>
        <w:tab/>
        <w:t>Amending or repealing guidelines</w:t>
      </w:r>
      <w:bookmarkEnd w:id="179"/>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lastRenderedPageBreak/>
        <w:tab/>
        <w:t>(ii)</w:t>
      </w:r>
      <w:r>
        <w:tab/>
        <w:t xml:space="preserve">approved by the Minister and published in the </w:t>
      </w:r>
      <w:r>
        <w:rPr>
          <w:i/>
        </w:rPr>
        <w:t>Gazette</w:t>
      </w:r>
      <w:r>
        <w:t>.</w:t>
      </w:r>
    </w:p>
    <w:p>
      <w:pPr>
        <w:pStyle w:val="Heading3"/>
      </w:pPr>
      <w:bookmarkStart w:id="180" w:name="_Toc135034664"/>
      <w:bookmarkStart w:id="181" w:name="_Toc135036305"/>
      <w:bookmarkStart w:id="182" w:name="_Toc135127207"/>
      <w:r>
        <w:rPr>
          <w:rStyle w:val="CharDivNo"/>
        </w:rPr>
        <w:t>Division 4</w:t>
      </w:r>
      <w:r>
        <w:t> — </w:t>
      </w:r>
      <w:r>
        <w:rPr>
          <w:rStyle w:val="CharDivText"/>
        </w:rPr>
        <w:t>General provisions</w:t>
      </w:r>
      <w:bookmarkEnd w:id="180"/>
      <w:bookmarkEnd w:id="181"/>
      <w:bookmarkEnd w:id="182"/>
    </w:p>
    <w:p>
      <w:pPr>
        <w:pStyle w:val="Ednotesection"/>
      </w:pPr>
      <w:r>
        <w:t>[</w:t>
      </w:r>
      <w:r>
        <w:rPr>
          <w:b/>
        </w:rPr>
        <w:t>300</w:t>
      </w:r>
      <w:r>
        <w:rPr>
          <w:b/>
        </w:rPr>
        <w:noBreakHyphen/>
        <w:t>306.</w:t>
      </w:r>
      <w:r>
        <w:tab/>
        <w:t>Have not come into operation.]</w:t>
      </w:r>
    </w:p>
    <w:p>
      <w:pPr>
        <w:pStyle w:val="Heading5"/>
      </w:pPr>
      <w:bookmarkStart w:id="183" w:name="_Toc135127208"/>
      <w:r>
        <w:rPr>
          <w:rStyle w:val="CharSectno"/>
        </w:rPr>
        <w:t>307</w:t>
      </w:r>
      <w:r>
        <w:t>.</w:t>
      </w:r>
      <w:r>
        <w:tab/>
        <w:t>CEO may approve forms</w:t>
      </w:r>
      <w:bookmarkEnd w:id="183"/>
    </w:p>
    <w:p>
      <w:pPr>
        <w:pStyle w:val="Subsection"/>
      </w:pPr>
      <w:r>
        <w:tab/>
      </w:r>
      <w:r>
        <w:tab/>
        <w:t>The CEO may approve forms for use under this Act.</w:t>
      </w:r>
    </w:p>
    <w:p>
      <w:pPr>
        <w:pStyle w:val="Heading5"/>
      </w:pPr>
      <w:bookmarkStart w:id="184" w:name="_Toc135127209"/>
      <w:r>
        <w:rPr>
          <w:rStyle w:val="CharSectno"/>
        </w:rPr>
        <w:t>308</w:t>
      </w:r>
      <w:r>
        <w:t>.</w:t>
      </w:r>
      <w:r>
        <w:tab/>
        <w:t>Laying documents before House of Parliament not sitting</w:t>
      </w:r>
      <w:bookmarkEnd w:id="184"/>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185" w:name="_Toc135034667"/>
      <w:bookmarkStart w:id="186" w:name="_Toc135036308"/>
      <w:bookmarkStart w:id="187" w:name="_Toc135127210"/>
      <w:r>
        <w:rPr>
          <w:rStyle w:val="CharPartNo"/>
        </w:rPr>
        <w:lastRenderedPageBreak/>
        <w:t>Part 14</w:t>
      </w:r>
      <w:r>
        <w:t> — </w:t>
      </w:r>
      <w:r>
        <w:rPr>
          <w:rStyle w:val="CharPartText"/>
        </w:rPr>
        <w:t>Repeals and transitional matters</w:t>
      </w:r>
      <w:bookmarkEnd w:id="185"/>
      <w:bookmarkEnd w:id="186"/>
      <w:bookmarkEnd w:id="187"/>
    </w:p>
    <w:p>
      <w:pPr>
        <w:pStyle w:val="Ednotedivision"/>
      </w:pPr>
      <w:r>
        <w:t>[Division 1 has not come into operation.]</w:t>
      </w:r>
    </w:p>
    <w:p>
      <w:pPr>
        <w:pStyle w:val="Heading3"/>
      </w:pPr>
      <w:bookmarkStart w:id="188" w:name="_Toc135034668"/>
      <w:bookmarkStart w:id="189" w:name="_Toc135036309"/>
      <w:bookmarkStart w:id="190" w:name="_Toc135127211"/>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188"/>
      <w:bookmarkEnd w:id="189"/>
      <w:bookmarkEnd w:id="190"/>
    </w:p>
    <w:p>
      <w:pPr>
        <w:pStyle w:val="Heading4"/>
      </w:pPr>
      <w:bookmarkStart w:id="191" w:name="_Toc135034669"/>
      <w:bookmarkStart w:id="192" w:name="_Toc135036310"/>
      <w:bookmarkStart w:id="193" w:name="_Toc135127212"/>
      <w:r>
        <w:t>Subdivision 1 — Interpretation</w:t>
      </w:r>
      <w:bookmarkEnd w:id="191"/>
      <w:bookmarkEnd w:id="192"/>
      <w:bookmarkEnd w:id="193"/>
    </w:p>
    <w:p>
      <w:pPr>
        <w:pStyle w:val="Heading5"/>
      </w:pPr>
      <w:bookmarkStart w:id="194" w:name="_Toc135127213"/>
      <w:r>
        <w:rPr>
          <w:rStyle w:val="CharSectno"/>
        </w:rPr>
        <w:t>313</w:t>
      </w:r>
      <w:r>
        <w:t>.</w:t>
      </w:r>
      <w:r>
        <w:tab/>
        <w:t>Terms used</w:t>
      </w:r>
      <w:bookmarkEnd w:id="194"/>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195" w:name="_Toc135034671"/>
      <w:bookmarkStart w:id="196" w:name="_Toc135036312"/>
      <w:bookmarkStart w:id="197" w:name="_Toc135127214"/>
      <w:r>
        <w:lastRenderedPageBreak/>
        <w:t>Subdivision 2 — Protected areas</w:t>
      </w:r>
      <w:bookmarkEnd w:id="195"/>
      <w:bookmarkEnd w:id="196"/>
      <w:bookmarkEnd w:id="197"/>
    </w:p>
    <w:p>
      <w:pPr>
        <w:pStyle w:val="Heading5"/>
      </w:pPr>
      <w:bookmarkStart w:id="198" w:name="_Toc135127215"/>
      <w:r>
        <w:rPr>
          <w:rStyle w:val="CharSectno"/>
        </w:rPr>
        <w:t>314</w:t>
      </w:r>
      <w:r>
        <w:t>.</w:t>
      </w:r>
      <w:r>
        <w:tab/>
        <w:t>Terms used</w:t>
      </w:r>
      <w:bookmarkEnd w:id="198"/>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199" w:name="_Toc135127216"/>
      <w:r>
        <w:rPr>
          <w:rStyle w:val="CharSectno"/>
        </w:rPr>
        <w:t>315</w:t>
      </w:r>
      <w:r>
        <w:t>.</w:t>
      </w:r>
      <w:r>
        <w:tab/>
        <w:t>Historical protected area orders</w:t>
      </w:r>
      <w:bookmarkEnd w:id="199"/>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lastRenderedPageBreak/>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Ednotesection"/>
      </w:pPr>
      <w:r>
        <w:t>[</w:t>
      </w:r>
      <w:r>
        <w:rPr>
          <w:b/>
        </w:rPr>
        <w:t>316, 317.</w:t>
      </w:r>
      <w:r>
        <w:tab/>
        <w:t>Have not come into operation.]</w:t>
      </w:r>
    </w:p>
    <w:p>
      <w:pPr>
        <w:pStyle w:val="Ednotesubdivision"/>
      </w:pPr>
      <w:r>
        <w:t>[Subdivision 3 has not come into operation.]</w:t>
      </w:r>
    </w:p>
    <w:p>
      <w:pPr>
        <w:pStyle w:val="Heading4"/>
      </w:pPr>
      <w:bookmarkStart w:id="200" w:name="_Toc135034674"/>
      <w:bookmarkStart w:id="201" w:name="_Toc135036315"/>
      <w:bookmarkStart w:id="202" w:name="_Toc135127217"/>
      <w:r>
        <w:t>Subdivision 4 — Marandoo Act area</w:t>
      </w:r>
      <w:bookmarkEnd w:id="200"/>
      <w:bookmarkEnd w:id="201"/>
      <w:bookmarkEnd w:id="202"/>
    </w:p>
    <w:p>
      <w:pPr>
        <w:pStyle w:val="Heading5"/>
      </w:pPr>
      <w:bookmarkStart w:id="203" w:name="_Toc135127218"/>
      <w:r>
        <w:rPr>
          <w:rStyle w:val="CharSectno"/>
        </w:rPr>
        <w:t>327</w:t>
      </w:r>
      <w:r>
        <w:t>.</w:t>
      </w:r>
      <w:r>
        <w:tab/>
        <w:t>Terms used</w:t>
      </w:r>
      <w:bookmarkEnd w:id="203"/>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lastRenderedPageBreak/>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204" w:name="_Toc135127219"/>
      <w:r>
        <w:rPr>
          <w:rStyle w:val="CharSectno"/>
        </w:rPr>
        <w:t>328</w:t>
      </w:r>
      <w:r>
        <w:t>.</w:t>
      </w:r>
      <w:r>
        <w:tab/>
        <w:t>Historical AH Act section 18 consent taken to be held</w:t>
      </w:r>
      <w:bookmarkEnd w:id="204"/>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205" w:name="_Toc135127220"/>
      <w:r>
        <w:rPr>
          <w:rStyle w:val="CharSectno"/>
        </w:rPr>
        <w:t>329</w:t>
      </w:r>
      <w:r>
        <w:t>.</w:t>
      </w:r>
      <w:r>
        <w:tab/>
        <w:t>Minister may approve reduced area</w:t>
      </w:r>
      <w:bookmarkEnd w:id="205"/>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lastRenderedPageBreak/>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Ednotesection"/>
      </w:pPr>
      <w:r>
        <w:t>[</w:t>
      </w:r>
      <w:r>
        <w:rPr>
          <w:b/>
        </w:rPr>
        <w:t>330.</w:t>
      </w:r>
      <w:r>
        <w:tab/>
        <w:t>Has not come into operation.]</w:t>
      </w:r>
    </w:p>
    <w:p>
      <w:pPr>
        <w:pStyle w:val="Heading4"/>
      </w:pPr>
      <w:bookmarkStart w:id="206" w:name="_Toc135034678"/>
      <w:bookmarkStart w:id="207" w:name="_Toc135036319"/>
      <w:bookmarkStart w:id="208" w:name="_Toc135127221"/>
      <w:r>
        <w:t>Subdivision 5 — Other matters</w:t>
      </w:r>
      <w:bookmarkEnd w:id="206"/>
      <w:bookmarkEnd w:id="207"/>
      <w:bookmarkEnd w:id="208"/>
    </w:p>
    <w:p>
      <w:pPr>
        <w:pStyle w:val="Ednotesection"/>
      </w:pPr>
      <w:r>
        <w:t>[</w:t>
      </w:r>
      <w:r>
        <w:rPr>
          <w:b/>
        </w:rPr>
        <w:t>331</w:t>
      </w:r>
      <w:r>
        <w:rPr>
          <w:b/>
        </w:rPr>
        <w:noBreakHyphen/>
        <w:t>335.</w:t>
      </w:r>
      <w:r>
        <w:tab/>
        <w:t>Have not come into operation.]</w:t>
      </w:r>
    </w:p>
    <w:p>
      <w:pPr>
        <w:pStyle w:val="Heading5"/>
      </w:pPr>
      <w:bookmarkStart w:id="209" w:name="_Toc135127222"/>
      <w:r>
        <w:rPr>
          <w:rStyle w:val="CharSectno"/>
        </w:rPr>
        <w:t>336</w:t>
      </w:r>
      <w:r>
        <w:t>.</w:t>
      </w:r>
      <w:r>
        <w:tab/>
        <w:t>Transitional regulations</w:t>
      </w:r>
      <w:bookmarkEnd w:id="209"/>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lastRenderedPageBreak/>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Ednotesection"/>
      </w:pPr>
      <w:r>
        <w:t>[</w:t>
      </w:r>
      <w:r>
        <w:rPr>
          <w:b/>
        </w:rPr>
        <w:t>337.</w:t>
      </w:r>
      <w:r>
        <w:tab/>
        <w:t>Has not come into operation.]</w:t>
      </w:r>
    </w:p>
    <w:p>
      <w:pPr>
        <w:pStyle w:val="Heading2"/>
      </w:pPr>
      <w:bookmarkStart w:id="210" w:name="_Toc135034680"/>
      <w:bookmarkStart w:id="211" w:name="_Toc135036321"/>
      <w:bookmarkStart w:id="212" w:name="_Toc135127223"/>
      <w:r>
        <w:rPr>
          <w:rStyle w:val="CharPartNo"/>
        </w:rPr>
        <w:lastRenderedPageBreak/>
        <w:t>Part 15</w:t>
      </w:r>
      <w:r>
        <w:t> — </w:t>
      </w:r>
      <w:r>
        <w:rPr>
          <w:rStyle w:val="CharPartText"/>
          <w:i/>
        </w:rPr>
        <w:t>Aboriginal Heritage Act 1972</w:t>
      </w:r>
      <w:r>
        <w:rPr>
          <w:rStyle w:val="CharPartText"/>
        </w:rPr>
        <w:t xml:space="preserve"> amended</w:t>
      </w:r>
      <w:bookmarkEnd w:id="210"/>
      <w:bookmarkEnd w:id="211"/>
      <w:bookmarkEnd w:id="212"/>
    </w:p>
    <w:p>
      <w:pPr>
        <w:pStyle w:val="Heading3"/>
      </w:pPr>
      <w:bookmarkStart w:id="213" w:name="_Toc135034681"/>
      <w:bookmarkStart w:id="214" w:name="_Toc135036322"/>
      <w:bookmarkStart w:id="215" w:name="_Toc135127224"/>
      <w:r>
        <w:rPr>
          <w:rStyle w:val="CharDivNo"/>
        </w:rPr>
        <w:t>Division 1</w:t>
      </w:r>
      <w:r>
        <w:t> — </w:t>
      </w:r>
      <w:r>
        <w:rPr>
          <w:rStyle w:val="CharDivText"/>
        </w:rPr>
        <w:t>Act amended</w:t>
      </w:r>
      <w:bookmarkEnd w:id="213"/>
      <w:bookmarkEnd w:id="214"/>
      <w:bookmarkEnd w:id="215"/>
    </w:p>
    <w:p>
      <w:pPr>
        <w:pStyle w:val="Heading5"/>
        <w:spacing w:before="200"/>
      </w:pPr>
      <w:bookmarkStart w:id="216" w:name="_Toc135127225"/>
      <w:r>
        <w:rPr>
          <w:rStyle w:val="CharSectno"/>
        </w:rPr>
        <w:t>338</w:t>
      </w:r>
      <w:r>
        <w:t>.</w:t>
      </w:r>
      <w:r>
        <w:tab/>
      </w:r>
      <w:r>
        <w:rPr>
          <w:i/>
        </w:rPr>
        <w:t>Aboriginal Heritage Act 1972</w:t>
      </w:r>
      <w:r>
        <w:t xml:space="preserve"> amended</w:t>
      </w:r>
      <w:bookmarkEnd w:id="216"/>
    </w:p>
    <w:p>
      <w:pPr>
        <w:pStyle w:val="Subsection"/>
        <w:spacing w:before="120"/>
      </w:pPr>
      <w:r>
        <w:tab/>
      </w:r>
      <w:r>
        <w:tab/>
        <w:t xml:space="preserve">This Part amends the </w:t>
      </w:r>
      <w:r>
        <w:rPr>
          <w:i/>
        </w:rPr>
        <w:t>Aboriginal Heritage Act 1972</w:t>
      </w:r>
      <w:r>
        <w:t>.</w:t>
      </w:r>
    </w:p>
    <w:p>
      <w:pPr>
        <w:pStyle w:val="Heading3"/>
      </w:pPr>
      <w:bookmarkStart w:id="217" w:name="_Toc135034683"/>
      <w:bookmarkStart w:id="218" w:name="_Toc135036324"/>
      <w:bookmarkStart w:id="219" w:name="_Toc135127226"/>
      <w:r>
        <w:rPr>
          <w:rStyle w:val="CharDivNo"/>
        </w:rPr>
        <w:t>Division 2</w:t>
      </w:r>
      <w:r>
        <w:t> — </w:t>
      </w:r>
      <w:r>
        <w:rPr>
          <w:rStyle w:val="CharDivText"/>
        </w:rPr>
        <w:t>Amendments commencing on day after assent day</w:t>
      </w:r>
      <w:bookmarkEnd w:id="217"/>
      <w:bookmarkEnd w:id="218"/>
      <w:bookmarkEnd w:id="219"/>
    </w:p>
    <w:p>
      <w:pPr>
        <w:pStyle w:val="Heading5"/>
        <w:spacing w:before="200"/>
      </w:pPr>
      <w:bookmarkStart w:id="220" w:name="_Toc135127227"/>
      <w:r>
        <w:rPr>
          <w:rStyle w:val="CharSectno"/>
        </w:rPr>
        <w:t>339</w:t>
      </w:r>
      <w:r>
        <w:t>.</w:t>
      </w:r>
      <w:r>
        <w:tab/>
        <w:t>Section 4 amended</w:t>
      </w:r>
      <w:bookmarkEnd w:id="220"/>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221" w:name="_Toc135127228"/>
      <w:r>
        <w:rPr>
          <w:rStyle w:val="CharSectno"/>
        </w:rPr>
        <w:t>340</w:t>
      </w:r>
      <w:r>
        <w:t>.</w:t>
      </w:r>
      <w:r>
        <w:tab/>
        <w:t>Section 18 amended</w:t>
      </w:r>
      <w:bookmarkEnd w:id="221"/>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 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22" w:name="_Toc135034686"/>
      <w:bookmarkStart w:id="223" w:name="_Toc135036327"/>
      <w:bookmarkStart w:id="224" w:name="_Toc135127229"/>
      <w:r>
        <w:lastRenderedPageBreak/>
        <w:t>Notes</w:t>
      </w:r>
      <w:bookmarkEnd w:id="222"/>
      <w:bookmarkEnd w:id="223"/>
      <w:bookmarkEnd w:id="224"/>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25" w:name="_Toc135127230"/>
      <w:r>
        <w:t>Compilation table</w:t>
      </w:r>
      <w:bookmarkEnd w:id="22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and 2, Div. 3 Subdiv. 1 and 2 and Subdiv. 3 (s. 50 only), Pt. 4 Div. 1 (s. 69 only) and Div. 5 (s. 86(2)-(4) only), Pt. 5 Div. 1 (s. 90 only), Pt. 6 Div. 1, Div. 3 (s. 107 only) and Div. 6 Subdiv. 1 (s. 139 only), Pt. 13 Div. 2 (s. 282, 283 and 286 only), Div. 3 and Div. 4 (s. 307 and 308 only), Pt. 14 Div. 2 Subdiv. 1, Subdiv. 2 (s. 314 and 315 only), Subdiv. 4 (s. 327-329 only) and Subdiv. 5 (s. 336 only)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226" w:name="_Toc135127231"/>
      <w:r>
        <w:lastRenderedPageBreak/>
        <w:t>Uncommenced provisions table</w:t>
      </w:r>
      <w:bookmarkEnd w:id="22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and 309, Pt. 14 Div. 1, s. 316 and 317, Pt. 14 Div. 2 Subdiv. 3, s. 330-335 and 337, Pt. 15 Div. 3 and Pt. 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rPr>
                <w:noProof/>
              </w:rPr>
              <w:t>s. 316(3): 30 Jun 2023 (see s. 2(e) and SL 2023/40 cl. 2(a));</w:t>
            </w:r>
            <w:r>
              <w:rPr>
                <w:noProof/>
              </w:rPr>
              <w:br/>
              <w:t>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r>
              <w:br/>
              <w:t>s. 310 and 311: 1 Jan 2024 (see s. 2(d))</w:t>
            </w:r>
          </w:p>
        </w:tc>
      </w:tr>
      <w:tr>
        <w:tc>
          <w:tcPr>
            <w:tcW w:w="2268" w:type="dxa"/>
            <w:tcBorders>
              <w:top w:val="nil"/>
              <w:bottom w:val="single" w:sz="4" w:space="0" w:color="auto"/>
            </w:tcBorders>
          </w:tcPr>
          <w:p>
            <w:pPr>
              <w:pStyle w:val="nTable"/>
              <w:spacing w:after="40"/>
              <w:rPr>
                <w:i/>
                <w:noProof/>
              </w:rPr>
            </w:pPr>
            <w:r>
              <w:rPr>
                <w:i/>
                <w:noProof/>
              </w:rPr>
              <w:t>Directors’ Liability Reform Act 2023</w:t>
            </w:r>
            <w:r>
              <w:rPr>
                <w:noProof/>
              </w:rPr>
              <w:t xml:space="preserve"> Pt. 3 Div. 1</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noProof/>
              </w:rPr>
            </w:pPr>
            <w:r>
              <w:rPr>
                <w:noProof/>
              </w:rPr>
              <w:t>1 Jul 2023 (see s. 2(b)(ii) and SL 2023/40 cl.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28" w:name="_Toc135034689"/>
      <w:bookmarkStart w:id="229" w:name="_Toc135036330"/>
      <w:bookmarkStart w:id="230" w:name="_Toc135127232"/>
      <w:r>
        <w:rPr>
          <w:sz w:val="28"/>
        </w:rPr>
        <w:lastRenderedPageBreak/>
        <w:t>Defined terms</w:t>
      </w:r>
      <w:bookmarkEnd w:id="228"/>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w:t>
      </w:r>
    </w:p>
    <w:p>
      <w:pPr>
        <w:pStyle w:val="DefinedTerms"/>
      </w:pPr>
      <w:r>
        <w:t>Aboriginal person</w:t>
      </w:r>
      <w:r>
        <w:tab/>
        <w:t>11</w:t>
      </w:r>
    </w:p>
    <w:p>
      <w:pPr>
        <w:pStyle w:val="DefinedTerms"/>
      </w:pPr>
      <w:r>
        <w:t>Aboriginal place</w:t>
      </w:r>
      <w:r>
        <w:tab/>
        <w:t>11, 12</w:t>
      </w:r>
    </w:p>
    <w:p>
      <w:pPr>
        <w:pStyle w:val="DefinedTerms"/>
      </w:pPr>
      <w:r>
        <w:t>Aboriginal site</w:t>
      </w:r>
      <w:r>
        <w:tab/>
        <w:t>314</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100, 294</w:t>
      </w:r>
    </w:p>
    <w:p>
      <w:pPr>
        <w:pStyle w:val="DefinedTerms"/>
      </w:pPr>
      <w:r>
        <w:t>ACH management plan</w:t>
      </w:r>
      <w:r>
        <w:tab/>
        <w:t>11, 100</w:t>
      </w:r>
    </w:p>
    <w:p>
      <w:pPr>
        <w:pStyle w:val="DefinedTerms"/>
      </w:pPr>
      <w:r>
        <w:t>ACH permit</w:t>
      </w:r>
      <w:r>
        <w:tab/>
        <w:t>11, 100</w:t>
      </w:r>
    </w:p>
    <w:p>
      <w:pPr>
        <w:pStyle w:val="DefinedTerms"/>
      </w:pPr>
      <w:r>
        <w:t>ACH protection agreement</w:t>
      </w:r>
      <w:r>
        <w:tab/>
        <w:t>11</w:t>
      </w:r>
    </w:p>
    <w:p>
      <w:pPr>
        <w:pStyle w:val="DefinedTerms"/>
      </w:pPr>
      <w:r>
        <w:t>ACMC</w:t>
      </w:r>
      <w:r>
        <w:tab/>
        <w:t>313</w:t>
      </w:r>
    </w:p>
    <w:p>
      <w:pPr>
        <w:pStyle w:val="DefinedTerms"/>
      </w:pPr>
      <w:r>
        <w:t>affect</w:t>
      </w:r>
      <w:r>
        <w:tab/>
        <w:t>16(1)</w:t>
      </w:r>
    </w:p>
    <w:p>
      <w:pPr>
        <w:pStyle w:val="DefinedTerms"/>
      </w:pPr>
      <w:r>
        <w:t>AH Act</w:t>
      </w:r>
      <w:r>
        <w:tab/>
        <w:t>313</w:t>
      </w:r>
    </w:p>
    <w:p>
      <w:pPr>
        <w:pStyle w:val="DefinedTerms"/>
      </w:pPr>
      <w:r>
        <w:t>AH Act protected area order</w:t>
      </w:r>
      <w:r>
        <w:tab/>
        <w:t>314</w:t>
      </w:r>
    </w:p>
    <w:p>
      <w:pPr>
        <w:pStyle w:val="DefinedTerms"/>
      </w:pPr>
      <w:r>
        <w:t>AH Act section 18 consent</w:t>
      </w:r>
      <w:r>
        <w:tab/>
        <w:t>313</w:t>
      </w:r>
    </w:p>
    <w:p>
      <w:pPr>
        <w:pStyle w:val="DefinedTerms"/>
      </w:pPr>
      <w:r>
        <w:t>application area</w:t>
      </w:r>
      <w:r>
        <w:tab/>
        <w:t>69</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w:t>
      </w:r>
      <w:r>
        <w:tab/>
        <w:t>19</w:t>
      </w:r>
    </w:p>
    <w:p>
      <w:pPr>
        <w:pStyle w:val="DefinedTerms"/>
      </w:pPr>
      <w:r>
        <w:t>CATSI Act corporation</w:t>
      </w:r>
      <w:r>
        <w:tab/>
        <w:t>11, 19</w:t>
      </w:r>
    </w:p>
    <w:p>
      <w:pPr>
        <w:pStyle w:val="DefinedTerms"/>
      </w:pPr>
      <w:r>
        <w:t>CEO</w:t>
      </w:r>
      <w:r>
        <w:tab/>
        <w:t>11</w:t>
      </w:r>
    </w:p>
    <w:p>
      <w:pPr>
        <w:pStyle w:val="DefinedTerms"/>
      </w:pPr>
      <w:r>
        <w:t>committee</w:t>
      </w:r>
      <w:r>
        <w:tab/>
        <w:t>19</w:t>
      </w:r>
    </w:p>
    <w:p>
      <w:pPr>
        <w:pStyle w:val="DefinedTerms"/>
      </w:pPr>
      <w:r>
        <w:t>consult</w:t>
      </w:r>
      <w:r>
        <w:tab/>
        <w:t>11, 100</w:t>
      </w:r>
    </w:p>
    <w:p>
      <w:pPr>
        <w:pStyle w:val="DefinedTerms"/>
      </w:pPr>
      <w:r>
        <w:t>consultation guidelines</w:t>
      </w:r>
      <w:r>
        <w:tab/>
        <w:t>11, 294</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document</w:t>
      </w:r>
      <w:r>
        <w:tab/>
        <w:t>28(1)</w:t>
      </w:r>
    </w:p>
    <w:p>
      <w:pPr>
        <w:pStyle w:val="DefinedTerms"/>
      </w:pPr>
      <w:r>
        <w:t>due diligence assessment</w:t>
      </w:r>
      <w:r>
        <w:tab/>
        <w:t>11</w:t>
      </w:r>
    </w:p>
    <w:p>
      <w:pPr>
        <w:pStyle w:val="DefinedTerms"/>
      </w:pPr>
      <w:r>
        <w:lastRenderedPageBreak/>
        <w:t>each knowledge holder</w:t>
      </w:r>
      <w:r>
        <w:tab/>
        <w:t>107(2)</w:t>
      </w:r>
    </w:p>
    <w:p>
      <w:pPr>
        <w:pStyle w:val="DefinedTerms"/>
      </w:pPr>
      <w:r>
        <w:t>electronic means</w:t>
      </w:r>
      <w:r>
        <w:tab/>
        <w:t>11</w:t>
      </w:r>
    </w:p>
    <w:p>
      <w:pPr>
        <w:pStyle w:val="DefinedTerms"/>
      </w:pPr>
      <w:r>
        <w:t>exempt activity</w:t>
      </w:r>
      <w:r>
        <w:tab/>
        <w:t>100</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t>former protected area order</w:t>
      </w:r>
      <w:r>
        <w:tab/>
        <w:t>314</w:t>
      </w:r>
    </w:p>
    <w:p>
      <w:pPr>
        <w:pStyle w:val="DefinedTerms"/>
      </w:pPr>
      <w:r>
        <w:t>guidelines</w:t>
      </w:r>
      <w:r>
        <w:tab/>
        <w:t>11</w:t>
      </w:r>
    </w:p>
    <w:p>
      <w:pPr>
        <w:pStyle w:val="DefinedTerms"/>
      </w:pPr>
      <w:r>
        <w:t>harm</w:t>
      </w:r>
      <w:r>
        <w:tab/>
        <w:t>11, 90(1)</w:t>
      </w:r>
    </w:p>
    <w:p>
      <w:pPr>
        <w:pStyle w:val="DefinedTerms"/>
      </w:pPr>
      <w:r>
        <w:t>historical AH Act section 18 consent</w:t>
      </w:r>
      <w:r>
        <w:tab/>
        <w:t>313, 328(1)</w:t>
      </w:r>
    </w:p>
    <w:p>
      <w:pPr>
        <w:pStyle w:val="DefinedTerms"/>
      </w:pPr>
      <w:r>
        <w:t>historical protected area order</w:t>
      </w:r>
      <w:r>
        <w:tab/>
        <w:t>314, 315(1)</w:t>
      </w:r>
    </w:p>
    <w:p>
      <w:pPr>
        <w:pStyle w:val="DefinedTerms"/>
      </w:pPr>
      <w:r>
        <w:t>ILUA</w:t>
      </w:r>
      <w:r>
        <w:tab/>
        <w:t>11</w:t>
      </w:r>
    </w:p>
    <w:p>
      <w:pPr>
        <w:pStyle w:val="DefinedTerms"/>
      </w:pPr>
      <w:r>
        <w:t>information</w:t>
      </w:r>
      <w:r>
        <w:tab/>
        <w:t>28(1)</w:t>
      </w:r>
    </w:p>
    <w:p>
      <w:pPr>
        <w:pStyle w:val="DefinedTerms"/>
      </w:pPr>
      <w:r>
        <w:t>informed consent</w:t>
      </w:r>
      <w:r>
        <w:tab/>
        <w:t>100</w:t>
      </w:r>
    </w:p>
    <w:p>
      <w:pPr>
        <w:pStyle w:val="DefinedTerms"/>
      </w:pPr>
      <w:r>
        <w:t>inspector</w:t>
      </w:r>
      <w:r>
        <w:tab/>
        <w:t>11</w:t>
      </w:r>
    </w:p>
    <w:p>
      <w:pPr>
        <w:pStyle w:val="DefinedTerms"/>
      </w:pPr>
      <w:r>
        <w:t>instrument</w:t>
      </w:r>
      <w:r>
        <w:tab/>
        <w:t>11</w:t>
      </w:r>
    </w:p>
    <w:p>
      <w:pPr>
        <w:pStyle w:val="DefinedTerms"/>
      </w:pPr>
      <w:r>
        <w:t>interested Aboriginal party</w:t>
      </w:r>
      <w:r>
        <w:tab/>
        <w:t>100</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11, 294</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11, 294</w:t>
      </w:r>
    </w:p>
    <w:p>
      <w:pPr>
        <w:pStyle w:val="DefinedTerms"/>
      </w:pPr>
      <w:r>
        <w:t>local ACH service functions</w:t>
      </w:r>
      <w:r>
        <w:tab/>
        <w:t>11, 19</w:t>
      </w:r>
    </w:p>
    <w:p>
      <w:pPr>
        <w:pStyle w:val="DefinedTerms"/>
      </w:pPr>
      <w:r>
        <w:t>located</w:t>
      </w:r>
      <w:r>
        <w:tab/>
        <w:t>11, 13</w:t>
      </w:r>
    </w:p>
    <w:p>
      <w:pPr>
        <w:pStyle w:val="DefinedTerms"/>
      </w:pPr>
      <w:r>
        <w:t>Marandoo Act area</w:t>
      </w:r>
      <w:r>
        <w:tab/>
        <w:t>327</w:t>
      </w:r>
    </w:p>
    <w:p>
      <w:pPr>
        <w:pStyle w:val="DefinedTerms"/>
      </w:pPr>
      <w:r>
        <w:t>material</w:t>
      </w:r>
      <w:r>
        <w:tab/>
        <w:t>11</w:t>
      </w:r>
    </w:p>
    <w:p>
      <w:pPr>
        <w:pStyle w:val="DefinedTerms"/>
      </w:pPr>
      <w:r>
        <w:t>member</w:t>
      </w:r>
      <w:r>
        <w:tab/>
        <w:t>19</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11, 69</w:t>
      </w:r>
    </w:p>
    <w:p>
      <w:pPr>
        <w:pStyle w:val="DefinedTerms"/>
      </w:pPr>
      <w:r>
        <w:t>owner</w:t>
      </w:r>
      <w:r>
        <w:tab/>
        <w:t>327</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prescribed</w:t>
      </w:r>
      <w:r>
        <w:tab/>
        <w:t>11</w:t>
      </w:r>
    </w:p>
    <w:p>
      <w:pPr>
        <w:pStyle w:val="DefinedTerms"/>
      </w:pPr>
      <w:r>
        <w:t>prohibition order</w:t>
      </w:r>
      <w:r>
        <w:tab/>
        <w:t>11</w:t>
      </w:r>
    </w:p>
    <w:p>
      <w:pPr>
        <w:pStyle w:val="DefinedTerms"/>
      </w:pPr>
      <w:r>
        <w:t>proponent</w:t>
      </w:r>
      <w:r>
        <w:tab/>
        <w:t>11, 100</w:t>
      </w:r>
    </w:p>
    <w:p>
      <w:pPr>
        <w:pStyle w:val="DefinedTerms"/>
      </w:pPr>
      <w:r>
        <w:lastRenderedPageBreak/>
        <w:t>proposed activity</w:t>
      </w:r>
      <w:r>
        <w:tab/>
        <w:t>11, 100</w:t>
      </w:r>
    </w:p>
    <w:p>
      <w:pPr>
        <w:pStyle w:val="DefinedTerms"/>
      </w:pPr>
      <w:r>
        <w:t>protected area</w:t>
      </w:r>
      <w:r>
        <w:tab/>
        <w:t>11</w:t>
      </w:r>
    </w:p>
    <w:p>
      <w:pPr>
        <w:pStyle w:val="DefinedTerms"/>
      </w:pPr>
      <w:r>
        <w:t>protected area order</w:t>
      </w:r>
      <w:r>
        <w:tab/>
        <w:t>11</w:t>
      </w:r>
    </w:p>
    <w:p>
      <w:pPr>
        <w:pStyle w:val="DefinedTerms"/>
      </w:pPr>
      <w:r>
        <w:t>protected area order guidelines</w:t>
      </w:r>
      <w:r>
        <w:tab/>
        <w:t>11, 294</w:t>
      </w:r>
    </w:p>
    <w:p>
      <w:pPr>
        <w:pStyle w:val="DefinedTerms"/>
      </w:pPr>
      <w:r>
        <w:t>publication day</w:t>
      </w:r>
      <w:r>
        <w:tab/>
        <w:t>336(1)</w:t>
      </w:r>
    </w:p>
    <w:p>
      <w:pPr>
        <w:pStyle w:val="DefinedTerms"/>
      </w:pPr>
      <w:r>
        <w:t>public authority</w:t>
      </w:r>
      <w:r>
        <w:tab/>
        <w:t>11</w:t>
      </w:r>
    </w:p>
    <w:p>
      <w:pPr>
        <w:pStyle w:val="DefinedTerms"/>
      </w:pPr>
      <w:r>
        <w:t>public notice</w:t>
      </w:r>
      <w:r>
        <w:tab/>
        <w:t>11</w:t>
      </w:r>
    </w:p>
    <w:p>
      <w:pPr>
        <w:pStyle w:val="DefinedTerms"/>
      </w:pPr>
      <w:r>
        <w:t>reduced area</w:t>
      </w:r>
      <w:r>
        <w:tab/>
        <w:t>327</w:t>
      </w:r>
    </w:p>
    <w:p>
      <w:pPr>
        <w:pStyle w:val="DefinedTerms"/>
      </w:pPr>
      <w:r>
        <w:t>regional corporation</w:t>
      </w:r>
      <w:r>
        <w:tab/>
        <w:t>11, 40(2)</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11, 100</w:t>
      </w:r>
    </w:p>
    <w:p>
      <w:pPr>
        <w:pStyle w:val="DefinedTerms"/>
      </w:pPr>
      <w:r>
        <w:t>remediation order</w:t>
      </w:r>
      <w:r>
        <w:tab/>
        <w:t>11</w:t>
      </w:r>
    </w:p>
    <w:p>
      <w:pPr>
        <w:pStyle w:val="DefinedTerms"/>
      </w:pPr>
      <w:r>
        <w:t>repeal day</w:t>
      </w:r>
      <w:r>
        <w:tab/>
        <w:t>2, 11</w:t>
      </w:r>
    </w:p>
    <w:p>
      <w:pPr>
        <w:pStyle w:val="DefinedTerms"/>
      </w:pPr>
      <w:r>
        <w:t>secret or sacred object</w:t>
      </w:r>
      <w:r>
        <w:tab/>
        <w:t>11</w:t>
      </w:r>
    </w:p>
    <w:p>
      <w:pPr>
        <w:pStyle w:val="DefinedTerms"/>
      </w:pPr>
      <w:r>
        <w:t>serious</w:t>
      </w:r>
      <w:r>
        <w:tab/>
        <w:t>11</w:t>
      </w:r>
    </w:p>
    <w:p>
      <w:pPr>
        <w:pStyle w:val="DefinedTerms"/>
      </w:pPr>
      <w:r>
        <w:t>settlement ILUA</w:t>
      </w:r>
      <w:r>
        <w:tab/>
        <w:t>11, 40(2)</w:t>
      </w:r>
    </w:p>
    <w:p>
      <w:pPr>
        <w:pStyle w:val="DefinedTerms"/>
      </w:pPr>
      <w:r>
        <w:t>specified</w:t>
      </w:r>
      <w:r>
        <w:tab/>
        <w:t>11, 336(1)</w:t>
      </w:r>
    </w:p>
    <w:p>
      <w:pPr>
        <w:pStyle w:val="DefinedTerms"/>
      </w:pPr>
      <w:r>
        <w:t>specified land</w:t>
      </w:r>
      <w:r>
        <w:tab/>
        <w:t>327</w:t>
      </w:r>
    </w:p>
    <w:p>
      <w:pPr>
        <w:pStyle w:val="DefinedTerms"/>
      </w:pPr>
      <w:r>
        <w:t>specified purpose</w:t>
      </w:r>
      <w:r>
        <w:tab/>
        <w:t>327</w:t>
      </w:r>
    </w:p>
    <w:p>
      <w:pPr>
        <w:pStyle w:val="DefinedTerms"/>
      </w:pPr>
      <w:r>
        <w:t>State significance</w:t>
      </w:r>
      <w:r>
        <w:tab/>
        <w:t>11, 100</w:t>
      </w:r>
    </w:p>
    <w:p>
      <w:pPr>
        <w:pStyle w:val="DefinedTerms"/>
      </w:pPr>
      <w:r>
        <w:t>State significance guidelines</w:t>
      </w:r>
      <w:r>
        <w:tab/>
        <w:t>11, 294</w:t>
      </w:r>
    </w:p>
    <w:p>
      <w:pPr>
        <w:pStyle w:val="DefinedTerms"/>
      </w:pPr>
      <w:r>
        <w:t>stop activity order</w:t>
      </w:r>
      <w:r>
        <w:tab/>
        <w:t>11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matter</w:t>
      </w:r>
      <w:r>
        <w:tab/>
        <w:t>336(1)</w:t>
      </w:r>
    </w:p>
    <w:p>
      <w:pPr>
        <w:pStyle w:val="DefinedTerms"/>
      </w:pPr>
      <w:r>
        <w:t>transitional period</w:t>
      </w:r>
      <w:r>
        <w:tab/>
        <w:t>313</w:t>
      </w:r>
    </w:p>
    <w:p>
      <w:pPr>
        <w:pStyle w:val="DefinedTerms"/>
      </w:pPr>
      <w:r>
        <w:t>transitional regulations</w:t>
      </w:r>
      <w:r>
        <w:tab/>
        <w:t>313, 336(1)</w:t>
      </w:r>
    </w:p>
    <w:p>
      <w:pPr>
        <w:pStyle w:val="DefinedTerms"/>
      </w:pPr>
      <w:r>
        <w:t>transition day</w:t>
      </w:r>
      <w:r>
        <w:tab/>
        <w:t>2, 11</w:t>
      </w:r>
    </w:p>
    <w:p>
      <w:pPr>
        <w:pStyle w:val="DefinedTerms"/>
      </w:pPr>
      <w:r>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544"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594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509145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6074-2728-4329-855E-F14F0D66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17574</Words>
  <Characters>86290</Characters>
  <Application>Microsoft Office Word</Application>
  <DocSecurity>0</DocSecurity>
  <Lines>2537</Lines>
  <Paragraphs>1597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102267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2021 - 00-f0-01</dc:title>
  <dc:subject/>
  <dc:creator/>
  <cp:keywords/>
  <dc:description/>
  <cp:lastModifiedBy>Master Repository Process</cp:lastModifiedBy>
  <cp:revision>4</cp:revision>
  <cp:lastPrinted>2021-11-16T04:14:00Z</cp:lastPrinted>
  <dcterms:created xsi:type="dcterms:W3CDTF">2023-05-18T22:49:00Z</dcterms:created>
  <dcterms:modified xsi:type="dcterms:W3CDTF">2023-05-18T22:49:00Z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06 Apr 2023</vt:lpwstr>
  </property>
  <property fmtid="{D5CDD505-2E9C-101B-9397-08002B2CF9AE}" pid="5" name="Suffix">
    <vt:lpwstr>00-f0-01</vt:lpwstr>
  </property>
  <property fmtid="{D5CDD505-2E9C-101B-9397-08002B2CF9AE}" pid="6" name="CommencementDate">
    <vt:lpwstr>20230406</vt:lpwstr>
  </property>
</Properties>
</file>