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(Looma Restricted Area)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(Looma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_Toc131604754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_Toc131604755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Looma Aboriginal Community</w:t>
      </w:r>
      <w:r>
        <w:tab/>
      </w:r>
      <w:r>
        <w:fldChar w:fldCharType="begin"/>
      </w:r>
      <w:r>
        <w:instrText xml:space="preserve"> PAGEREF _Toc131604756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_Toc131604757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_Toc131604758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Looma Aboriginal Community</w:t>
      </w:r>
      <w:r>
        <w:tab/>
      </w:r>
      <w:r>
        <w:fldChar w:fldCharType="begin"/>
      </w:r>
      <w:r>
        <w:instrText xml:space="preserve"> PAGEREF _Toc131604759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_Toc131604760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_Toc131604761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_Toc131604763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_Toc131604764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(Looma Restricted Area) Regulations 2011</w:t>
      </w:r>
    </w:p>
    <w:p>
      <w:pPr>
        <w:pStyle w:val="Heading5"/>
      </w:pPr>
      <w:bookmarkStart w:id="3" w:name="_Toc131604754"/>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(Looma Restricted Area) Regulations 2011</w:t>
      </w:r>
      <w:r>
        <w:t>.</w:t>
      </w:r>
    </w:p>
    <w:p>
      <w:pPr>
        <w:pStyle w:val="Heading5"/>
        <w:rPr>
          <w:spacing w:val="-2"/>
        </w:rPr>
      </w:pPr>
      <w:bookmarkStart w:id="5" w:name="_Toc13160475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131604756"/>
      <w:r>
        <w:rPr>
          <w:rStyle w:val="CharSectno"/>
        </w:rPr>
        <w:t>3</w:t>
      </w:r>
      <w:r>
        <w:rPr>
          <w:snapToGrid w:val="0"/>
        </w:rPr>
        <w:t>.</w:t>
      </w:r>
      <w:r>
        <w:rPr>
          <w:snapToGrid w:val="0"/>
        </w:rPr>
        <w:tab/>
        <w:t>Term used: Looma Aboriginal Community</w:t>
      </w:r>
      <w:bookmarkEnd w:id="6"/>
    </w:p>
    <w:p>
      <w:pPr>
        <w:pStyle w:val="Subsection"/>
      </w:pPr>
      <w:r>
        <w:tab/>
      </w:r>
      <w:r>
        <w:tab/>
        <w:t>In these regulations –</w:t>
      </w:r>
    </w:p>
    <w:p>
      <w:pPr>
        <w:pStyle w:val="Defstart"/>
      </w:pPr>
      <w:r>
        <w:tab/>
      </w:r>
      <w:r>
        <w:rPr>
          <w:rStyle w:val="CharDefText"/>
        </w:rPr>
        <w:t>Looma Aboriginal Community</w:t>
      </w:r>
      <w:r>
        <w:t xml:space="preserve"> means the area of land described as Lot 75 on Deposited Plan 213140 referred to in Certificate of Title Vol 1417 Folio 796 excluding —</w:t>
      </w:r>
    </w:p>
    <w:p>
      <w:pPr>
        <w:pStyle w:val="Indenta"/>
      </w:pPr>
      <w:r>
        <w:tab/>
        <w:t>(a)</w:t>
      </w:r>
      <w:r>
        <w:tab/>
        <w:t xml:space="preserve">the portion south of Crown Reserve 23226; and </w:t>
      </w:r>
    </w:p>
    <w:p>
      <w:pPr>
        <w:pStyle w:val="Indenta"/>
      </w:pPr>
      <w:r>
        <w:tab/>
        <w:t>(b)</w:t>
      </w:r>
      <w:r>
        <w:tab/>
        <w:t>the portion subject to Lease No. J509083.</w:t>
      </w:r>
    </w:p>
    <w:p>
      <w:pPr>
        <w:pStyle w:val="Footnotesection"/>
      </w:pPr>
      <w:r>
        <w:tab/>
        <w:t>[Regulation 3 amended: SL 2023/26 r. 9.]</w:t>
      </w:r>
    </w:p>
    <w:p>
      <w:pPr>
        <w:pStyle w:val="Ednotesection"/>
      </w:pPr>
      <w:r>
        <w:t>[</w:t>
      </w:r>
      <w:r>
        <w:rPr>
          <w:b/>
        </w:rPr>
        <w:t>4.</w:t>
      </w:r>
      <w:r>
        <w:tab/>
        <w:t>Deleted: SL 2020/62 r. 10.]</w:t>
      </w:r>
    </w:p>
    <w:p>
      <w:pPr>
        <w:pStyle w:val="Heading5"/>
      </w:pPr>
      <w:bookmarkStart w:id="7" w:name="_Toc131604757"/>
      <w:r>
        <w:rPr>
          <w:rStyle w:val="CharSectno"/>
        </w:rPr>
        <w:t>5</w:t>
      </w:r>
      <w:r>
        <w:t>.</w:t>
      </w:r>
      <w:r>
        <w:tab/>
        <w:t>Declaration of restricted area</w:t>
      </w:r>
      <w:bookmarkEnd w:id="7"/>
    </w:p>
    <w:p>
      <w:pPr>
        <w:pStyle w:val="Subsection"/>
      </w:pPr>
      <w:r>
        <w:tab/>
      </w:r>
      <w:r>
        <w:tab/>
        <w:t>The Looma Aboriginal Community is declared to be a restricted area for the purposes of section 175(1a) of the Act.</w:t>
      </w:r>
    </w:p>
    <w:p>
      <w:pPr>
        <w:pStyle w:val="Heading5"/>
      </w:pPr>
      <w:bookmarkStart w:id="8" w:name="_Toc131604758"/>
      <w:r>
        <w:rPr>
          <w:rStyle w:val="CharSectno"/>
        </w:rPr>
        <w:lastRenderedPageBreak/>
        <w:t>6</w:t>
      </w:r>
      <w:r>
        <w:t>.</w:t>
      </w:r>
      <w:r>
        <w:tab/>
        <w:t>Notice of restricted area</w:t>
      </w:r>
      <w:bookmarkEnd w:id="8"/>
    </w:p>
    <w:p>
      <w:pPr>
        <w:pStyle w:val="Subsection"/>
      </w:pPr>
      <w:r>
        <w:tab/>
        <w:t>(1)</w:t>
      </w:r>
      <w:r>
        <w:tab/>
        <w:t xml:space="preserve">The Director of Liquor Licensing must take all reasonable steps to cause to be posted, and while the Looma Aboriginal Community continues to be a restricted area by operation of regulation 4 to be kept posted, at each place where a customary access route enters the Looma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31604759"/>
      <w:r>
        <w:rPr>
          <w:rStyle w:val="CharSectno"/>
        </w:rPr>
        <w:t>7</w:t>
      </w:r>
      <w:r>
        <w:t>.</w:t>
      </w:r>
      <w:r>
        <w:tab/>
        <w:t>Prohibitions as to liquor in Looma Aboriginal Community</w:t>
      </w:r>
      <w:bookmarkEnd w:id="9"/>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Looma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Looma Aboriginal Community; or</w:t>
      </w:r>
    </w:p>
    <w:p>
      <w:pPr>
        <w:pStyle w:val="Indenta"/>
      </w:pPr>
      <w:r>
        <w:tab/>
        <w:t>(b)</w:t>
      </w:r>
      <w:r>
        <w:tab/>
        <w:t>has liquor in his or her possession liquor in the Looma Aboriginal Community,</w:t>
      </w:r>
    </w:p>
    <w:p>
      <w:pPr>
        <w:pStyle w:val="Subsection"/>
      </w:pPr>
      <w:r>
        <w:tab/>
      </w:r>
      <w:r>
        <w:tab/>
        <w:t>commits an offence.</w:t>
      </w:r>
    </w:p>
    <w:p>
      <w:pPr>
        <w:pStyle w:val="Penstart"/>
      </w:pPr>
      <w:r>
        <w:tab/>
        <w:t xml:space="preserve">Penalty: </w:t>
      </w:r>
    </w:p>
    <w:p>
      <w:pPr>
        <w:pStyle w:val="Penpara"/>
      </w:pPr>
      <w:r>
        <w:tab/>
        <w:t>(a)</w:t>
      </w:r>
      <w:r>
        <w:tab/>
        <w:t>if subregulation (3) applies — a fine of $5 000;</w:t>
      </w:r>
    </w:p>
    <w:p>
      <w:pPr>
        <w:pStyle w:val="Penpara"/>
      </w:pPr>
      <w:r>
        <w:tab/>
        <w:t>(b)</w:t>
      </w:r>
      <w:r>
        <w:tab/>
        <w:t>in any other case — a fine of $2 000.</w:t>
      </w:r>
    </w:p>
    <w:p>
      <w:pPr>
        <w:pStyle w:val="Subsection"/>
        <w:rPr>
          <w:rStyle w:val="DraftersNotes"/>
        </w:rPr>
      </w:pPr>
      <w:r>
        <w:lastRenderedPageBreak/>
        <w:tab/>
        <w:t>(3)</w:t>
      </w:r>
      <w:r>
        <w:tab/>
        <w:t>This subregulation applies to an offence under subregulation (2) committed by a licensee, a manager of licensed premises or a director of a body corporate that holds a licence.</w:t>
      </w:r>
    </w:p>
    <w:p>
      <w:pPr>
        <w:pStyle w:val="Heading5"/>
      </w:pPr>
      <w:bookmarkStart w:id="10" w:name="_Toc131604760"/>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31604761"/>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28 May 2024.</w:t>
      </w:r>
    </w:p>
    <w:p>
      <w:pPr>
        <w:pStyle w:val="Footnotesection"/>
      </w:pPr>
      <w:r>
        <w:tab/>
        <w:t>[Regulation 9 inserted: SL 2020/62 r. 11; amended: SL 2023/26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12" w:name="_Toc131597921"/>
      <w:bookmarkStart w:id="13" w:name="_Toc131598222"/>
      <w:bookmarkStart w:id="14" w:name="_Toc131604762"/>
      <w:r>
        <w:lastRenderedPageBreak/>
        <w:t>Notes</w:t>
      </w:r>
      <w:bookmarkEnd w:id="12"/>
      <w:bookmarkEnd w:id="13"/>
      <w:bookmarkEnd w:id="14"/>
    </w:p>
    <w:p>
      <w:pPr>
        <w:pStyle w:val="nStatement"/>
      </w:pPr>
      <w:r>
        <w:t xml:space="preserve">This is a compilation of the </w:t>
      </w:r>
      <w:r>
        <w:rPr>
          <w:i/>
          <w:noProof/>
        </w:rPr>
        <w:t>Liquor Control (Looma Restricted Area) Regulations 2011</w:t>
      </w:r>
      <w:r>
        <w:t xml:space="preserve"> and includes amendments made by other written laws</w:t>
      </w:r>
      <w:r>
        <w:rPr>
          <w:vertAlign w:val="superscript"/>
        </w:rPr>
        <w:t> 1</w:t>
      </w:r>
      <w:r>
        <w:t>. For provisions that have come into operation see the compilation table.</w:t>
      </w:r>
    </w:p>
    <w:p>
      <w:pPr>
        <w:pStyle w:val="nHeading3"/>
      </w:pPr>
      <w:bookmarkStart w:id="15" w:name="_Toc131604763"/>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85"/>
      </w:tblGrid>
      <w:tr>
        <w:trPr>
          <w:gridAfter w:val="1"/>
          <w:wAfter w:w="85" w:type="dxa"/>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gridAfter w:val="1"/>
          <w:wAfter w:w="85" w:type="dxa"/>
        </w:trPr>
        <w:tc>
          <w:tcPr>
            <w:tcW w:w="3118" w:type="dxa"/>
            <w:tcBorders>
              <w:bottom w:val="nil"/>
            </w:tcBorders>
          </w:tcPr>
          <w:p>
            <w:pPr>
              <w:pStyle w:val="nTable"/>
              <w:spacing w:after="40"/>
              <w:rPr>
                <w:i/>
                <w:vertAlign w:val="superscript"/>
              </w:rPr>
            </w:pPr>
            <w:r>
              <w:rPr>
                <w:i/>
              </w:rPr>
              <w:t>Liquor Control (Looma Restricted Area) Regulations 2011</w:t>
            </w:r>
          </w:p>
        </w:tc>
        <w:tc>
          <w:tcPr>
            <w:tcW w:w="1276" w:type="dxa"/>
            <w:tcBorders>
              <w:bottom w:val="nil"/>
            </w:tcBorders>
          </w:tcPr>
          <w:p>
            <w:pPr>
              <w:pStyle w:val="nTable"/>
              <w:spacing w:after="40"/>
            </w:pPr>
            <w:r>
              <w:t>27 May 2011 p. 1929-31</w:t>
            </w:r>
          </w:p>
        </w:tc>
        <w:tc>
          <w:tcPr>
            <w:tcW w:w="2693" w:type="dxa"/>
            <w:tcBorders>
              <w:bottom w:val="nil"/>
            </w:tcBorders>
          </w:tcPr>
          <w:p>
            <w:pPr>
              <w:pStyle w:val="nTable"/>
              <w:spacing w:after="40"/>
            </w:pPr>
            <w:r>
              <w:t>r. 1 and 2: 27 May 2011 (see r. 2(a));</w:t>
            </w:r>
            <w:r>
              <w:br/>
              <w:t>Regulations other than r. 1 and 2: 28 May 2011 (see r. 2(b))</w:t>
            </w:r>
          </w:p>
        </w:tc>
      </w:tr>
      <w:tr>
        <w:trPr>
          <w:gridAfter w:val="1"/>
          <w:wAfter w:w="85" w:type="dxa"/>
        </w:trPr>
        <w:tc>
          <w:tcPr>
            <w:tcW w:w="3118" w:type="dxa"/>
            <w:tcBorders>
              <w:top w:val="nil"/>
              <w:bottom w:val="nil"/>
            </w:tcBorders>
          </w:tcPr>
          <w:p>
            <w:pPr>
              <w:pStyle w:val="nTable"/>
              <w:spacing w:after="40"/>
              <w:rPr>
                <w:i/>
              </w:rPr>
            </w:pPr>
            <w:r>
              <w:rPr>
                <w:i/>
              </w:rPr>
              <w:t>Liquor Control (Looma Restricted Area) Amendment Regulations 2014</w:t>
            </w:r>
          </w:p>
        </w:tc>
        <w:tc>
          <w:tcPr>
            <w:tcW w:w="1276" w:type="dxa"/>
            <w:tcBorders>
              <w:top w:val="nil"/>
              <w:bottom w:val="nil"/>
            </w:tcBorders>
          </w:tcPr>
          <w:p>
            <w:pPr>
              <w:pStyle w:val="nTable"/>
              <w:spacing w:after="40"/>
            </w:pPr>
            <w:r>
              <w:t>23 May 2014 p. 1635-6</w:t>
            </w:r>
          </w:p>
        </w:tc>
        <w:tc>
          <w:tcPr>
            <w:tcW w:w="2693" w:type="dxa"/>
            <w:tcBorders>
              <w:top w:val="nil"/>
              <w:bottom w:val="nil"/>
            </w:tcBorders>
          </w:tcPr>
          <w:p>
            <w:pPr>
              <w:pStyle w:val="nTable"/>
              <w:spacing w:after="40"/>
            </w:pPr>
            <w:r>
              <w:t>r. 1 and 2: 23 May 2014 (see r. 2(a));</w:t>
            </w:r>
            <w:r>
              <w:br/>
              <w:t>Regulations other than r. 1 and 2: 24 May 2014 (see r. 2(b))</w:t>
            </w:r>
          </w:p>
        </w:tc>
      </w:tr>
      <w:tr>
        <w:trPr>
          <w:gridAfter w:val="1"/>
          <w:wAfter w:w="85" w:type="dxa"/>
        </w:trPr>
        <w:tc>
          <w:tcPr>
            <w:tcW w:w="3118" w:type="dxa"/>
            <w:tcBorders>
              <w:top w:val="nil"/>
              <w:bottom w:val="nil"/>
            </w:tcBorders>
          </w:tcPr>
          <w:p>
            <w:pPr>
              <w:pStyle w:val="nTable"/>
              <w:spacing w:after="40"/>
              <w:rPr>
                <w:i/>
              </w:rPr>
            </w:pPr>
            <w:r>
              <w:rPr>
                <w:i/>
              </w:rPr>
              <w:t>Liquor Control (Looma Restricted Area) Amendment Regulations 2017</w:t>
            </w:r>
          </w:p>
        </w:tc>
        <w:tc>
          <w:tcPr>
            <w:tcW w:w="1276" w:type="dxa"/>
            <w:tcBorders>
              <w:top w:val="nil"/>
              <w:bottom w:val="nil"/>
            </w:tcBorders>
          </w:tcPr>
          <w:p>
            <w:pPr>
              <w:pStyle w:val="nTable"/>
              <w:spacing w:after="40"/>
            </w:pPr>
            <w:r>
              <w:t>12 May 2017 p. 2470</w:t>
            </w:r>
          </w:p>
        </w:tc>
        <w:tc>
          <w:tcPr>
            <w:tcW w:w="2693" w:type="dxa"/>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rPr>
          <w:gridAfter w:val="1"/>
          <w:wAfter w:w="85" w:type="dxa"/>
        </w:trPr>
        <w:tc>
          <w:tcPr>
            <w:tcW w:w="3118" w:type="dxa"/>
            <w:tcBorders>
              <w:top w:val="nil"/>
              <w:bottom w:val="nil"/>
            </w:tcBorders>
          </w:tcPr>
          <w:p>
            <w:pPr>
              <w:pStyle w:val="nTable"/>
              <w:spacing w:after="40"/>
              <w:rPr>
                <w:i/>
              </w:rPr>
            </w:pPr>
            <w:r>
              <w:rPr>
                <w:i/>
              </w:rPr>
              <w:t>Racing and Gaming Regulations Amendment (Liquor Control) Regulations 2020</w:t>
            </w:r>
            <w:r>
              <w:t xml:space="preserve"> Pt. 4</w:t>
            </w:r>
          </w:p>
        </w:tc>
        <w:tc>
          <w:tcPr>
            <w:tcW w:w="1276" w:type="dxa"/>
            <w:tcBorders>
              <w:top w:val="nil"/>
              <w:bottom w:val="nil"/>
            </w:tcBorders>
          </w:tcPr>
          <w:p>
            <w:pPr>
              <w:pStyle w:val="nTable"/>
              <w:spacing w:after="40"/>
            </w:pPr>
            <w:r>
              <w:t>SL 2020/62 22 May 2020</w:t>
            </w:r>
          </w:p>
        </w:tc>
        <w:tc>
          <w:tcPr>
            <w:tcW w:w="2693" w:type="dxa"/>
            <w:tcBorders>
              <w:top w:val="nil"/>
              <w:bottom w:val="nil"/>
            </w:tcBorders>
          </w:tcPr>
          <w:p>
            <w:pPr>
              <w:pStyle w:val="nTable"/>
              <w:spacing w:after="40"/>
              <w:rPr>
                <w:bCs/>
                <w:snapToGrid w:val="0"/>
                <w:spacing w:val="-2"/>
              </w:rPr>
            </w:pPr>
            <w:r>
              <w:t>23 May 2020 (see r. 2(b))</w:t>
            </w:r>
          </w:p>
        </w:tc>
      </w:tr>
      <w:tr>
        <w:tc>
          <w:tcPr>
            <w:tcW w:w="3119" w:type="dxa"/>
            <w:tcBorders>
              <w:top w:val="nil"/>
              <w:bottom w:val="single" w:sz="4" w:space="0" w:color="auto"/>
            </w:tcBorders>
          </w:tcPr>
          <w:p>
            <w:pPr>
              <w:pStyle w:val="nTable"/>
              <w:spacing w:after="40"/>
            </w:pPr>
            <w:r>
              <w:rPr>
                <w:i/>
              </w:rPr>
              <w:t>Racing and Gaming Regulations Amendment (Liquor Control) Regulations 2023</w:t>
            </w:r>
            <w:r>
              <w:t xml:space="preserve"> Pt. 4</w:t>
            </w:r>
          </w:p>
        </w:tc>
        <w:tc>
          <w:tcPr>
            <w:tcW w:w="1276" w:type="dxa"/>
            <w:tcBorders>
              <w:top w:val="nil"/>
              <w:bottom w:val="single" w:sz="4" w:space="0" w:color="auto"/>
            </w:tcBorders>
          </w:tcPr>
          <w:p>
            <w:pPr>
              <w:pStyle w:val="nTable"/>
              <w:spacing w:after="40"/>
            </w:pPr>
            <w:r>
              <w:t>SL 2023/26 6 Apr 2023</w:t>
            </w:r>
          </w:p>
        </w:tc>
        <w:tc>
          <w:tcPr>
            <w:tcW w:w="2693" w:type="dxa"/>
            <w:gridSpan w:val="2"/>
            <w:tcBorders>
              <w:top w:val="nil"/>
              <w:bottom w:val="single" w:sz="4" w:space="0" w:color="auto"/>
            </w:tcBorders>
          </w:tcPr>
          <w:p>
            <w:pPr>
              <w:pStyle w:val="nTable"/>
              <w:spacing w:after="40"/>
              <w:rPr>
                <w:bCs/>
                <w:snapToGrid w:val="0"/>
                <w:spacing w:val="-2"/>
              </w:rPr>
            </w:pPr>
            <w:r>
              <w:rPr>
                <w:bCs/>
                <w:snapToGrid w:val="0"/>
                <w:spacing w:val="-2"/>
              </w:rPr>
              <w:t>7 Apr 2023 (see r. 2(b))</w:t>
            </w:r>
          </w:p>
        </w:tc>
      </w:tr>
    </w:tbl>
    <w:p>
      <w:pPr>
        <w:pStyle w:val="nHeading3"/>
      </w:pPr>
      <w:bookmarkStart w:id="16" w:name="_Toc131604764"/>
      <w:r>
        <w:t>Other notes</w:t>
      </w:r>
      <w:bookmarkEnd w:id="16"/>
    </w:p>
    <w:p>
      <w:pPr>
        <w:pStyle w:val="nNote"/>
      </w:pPr>
      <w:r>
        <w:rPr>
          <w:vertAlign w:val="superscript"/>
        </w:rPr>
        <w:t>1</w:t>
      </w:r>
      <w:r>
        <w:tab/>
        <w:t>These regulations expire at the close of 28 May 2024 (see r. 9).</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8" w:name="_Toc131597924"/>
      <w:bookmarkStart w:id="19" w:name="_Toc131598225"/>
      <w:bookmarkStart w:id="20" w:name="_Toc131604765"/>
      <w:r>
        <w:rPr>
          <w:sz w:val="28"/>
        </w:rPr>
        <w:lastRenderedPageBreak/>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7(1)</w:t>
      </w:r>
    </w:p>
    <w:p>
      <w:pPr>
        <w:pStyle w:val="DefinedTerms"/>
      </w:pPr>
      <w:r>
        <w:t>Looma Aboriginal Community</w:t>
      </w:r>
      <w:r>
        <w:tab/>
        <w:t>3</w:t>
      </w:r>
    </w:p>
    <w:p>
      <w:pPr>
        <w:pStyle w:val="DefinedTerms"/>
      </w:pPr>
      <w:r>
        <w:t>transiting vehicle</w:t>
      </w:r>
      <w:r>
        <w:tab/>
        <w:t>7(1)</w:t>
      </w:r>
    </w:p>
    <w:p>
      <w:pPr>
        <w:pStyle w:val="DefinedTerms"/>
        <w:sectPr>
          <w:headerReference w:type="even" r:id="rId27"/>
          <w:headerReference w:type="default" r:id="rId28"/>
          <w:pgSz w:w="11907" w:h="16840" w:code="9"/>
          <w:pgMar w:top="2381" w:right="2409" w:bottom="3543" w:left="2409"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(Looma Restricted Area)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0"/>
  </w:num>
  <w:num w:numId="4">
    <w:abstractNumId w:val="11"/>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5142338"/>
    <w:docVar w:name="WAFER_20140521160113" w:val="RemoveTocBookmarks,RemoveUnusedBookmarks,RemoveLanguageTags,UsedStyles,ResetPageSize,UpdateArrangement"/>
    <w:docVar w:name="WAFER_20140521160113_GUID" w:val="71f5ac6b-caf2-4a4d-b4fb-f6c794bec6b4"/>
    <w:docVar w:name="WAFER_20150602105844" w:val="ResetPageSize,UpdateArrangement,UpdateNTable"/>
    <w:docVar w:name="WAFER_20150602105844_GUID" w:val="4d325b53-ae1a-4dc7-b8f3-e7f332f90f17"/>
    <w:docVar w:name="WAFER_20151126102830" w:val="UpdateStyles"/>
    <w:docVar w:name="WAFER_20151126102830_GUID" w:val="4a6c2aee-c416-4536-a7fe-509d9ac39368"/>
    <w:docVar w:name="WAFER_20151126103647" w:val="UsedStyles"/>
    <w:docVar w:name="WAFER_20151126103647_GUID" w:val="3e2648d2-0e74-4a9f-9361-6a48d096f3ff"/>
    <w:docVar w:name="WAFER_20170511111154" w:val="RemoveTocBookmarks,RemoveUnusedBookmarks,RemoveLanguageTags,UsedStyles,ResetPageSize"/>
    <w:docVar w:name="WAFER_20170511111154_GUID" w:val="616ab680-eb9a-4a36-933f-0afa703d67f3"/>
    <w:docVar w:name="WAFER_202304051423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405142338_GUID" w:val="d520a9ad-c768-46f2-87c0-d47014189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377BE8A-C017-4E00-8F57-CF1D7DD0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tabs>
        <w:tab w:val="clear" w:pos="643"/>
        <w:tab w:val="num" w:pos="720"/>
      </w:tabs>
      <w:ind w:left="720"/>
    </w:pPr>
  </w:style>
  <w:style w:type="paragraph" w:styleId="ListBullet3">
    <w:name w:val="List Bullet 3"/>
    <w:basedOn w:val="Normal"/>
    <w:autoRedefine/>
    <w:pPr>
      <w:numPr>
        <w:numId w:val="9"/>
      </w:numPr>
      <w:tabs>
        <w:tab w:val="clear" w:pos="926"/>
        <w:tab w:val="num" w:pos="1080"/>
      </w:tabs>
      <w:ind w:left="1080"/>
    </w:pPr>
  </w:style>
  <w:style w:type="paragraph" w:styleId="ListBullet4">
    <w:name w:val="List Bullet 4"/>
    <w:basedOn w:val="Normal"/>
    <w:autoRedefine/>
    <w:pPr>
      <w:numPr>
        <w:numId w:val="10"/>
      </w:numPr>
      <w:tabs>
        <w:tab w:val="clear" w:pos="1209"/>
        <w:tab w:val="num" w:pos="1440"/>
      </w:tabs>
      <w:ind w:left="1440"/>
    </w:pPr>
  </w:style>
  <w:style w:type="paragraph" w:styleId="ListBullet5">
    <w:name w:val="List Bullet 5"/>
    <w:basedOn w:val="Normal"/>
    <w:autoRedefine/>
    <w:pPr>
      <w:numPr>
        <w:numId w:val="1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tabs>
        <w:tab w:val="clear" w:pos="643"/>
        <w:tab w:val="num" w:pos="720"/>
      </w:tabs>
      <w:ind w:left="720"/>
    </w:pPr>
  </w:style>
  <w:style w:type="paragraph" w:styleId="ListNumber3">
    <w:name w:val="List Number 3"/>
    <w:basedOn w:val="Normal"/>
    <w:pPr>
      <w:numPr>
        <w:numId w:val="14"/>
      </w:numPr>
      <w:tabs>
        <w:tab w:val="clear" w:pos="926"/>
        <w:tab w:val="num" w:pos="1080"/>
      </w:tabs>
      <w:ind w:left="1080"/>
    </w:pPr>
  </w:style>
  <w:style w:type="paragraph" w:styleId="ListNumber4">
    <w:name w:val="List Number 4"/>
    <w:basedOn w:val="Normal"/>
    <w:pPr>
      <w:numPr>
        <w:numId w:val="15"/>
      </w:numPr>
      <w:tabs>
        <w:tab w:val="clear" w:pos="1209"/>
        <w:tab w:val="num" w:pos="1440"/>
      </w:tabs>
      <w:ind w:left="1440"/>
    </w:pPr>
  </w:style>
  <w:style w:type="paragraph" w:styleId="ListNumber5">
    <w:name w:val="List Number 5"/>
    <w:basedOn w:val="Normal"/>
    <w:pPr>
      <w:numPr>
        <w:numId w:val="16"/>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7C48-ACF2-44E4-B082-15C86F2A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941</Words>
  <Characters>4625</Characters>
  <Application>Microsoft Office Word</Application>
  <DocSecurity>0</DocSecurity>
  <Lines>177</Lines>
  <Paragraphs>120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(Looma Restricted Area) Regulations 2011 - 00-e0-00</dc:title>
  <dc:subject/>
  <dc:creator/>
  <cp:keywords/>
  <dc:description/>
  <cp:lastModifiedBy>Master Repository Process</cp:lastModifiedBy>
  <cp:revision>4</cp:revision>
  <cp:lastPrinted>2011-04-11T07:39:00Z</cp:lastPrinted>
  <dcterms:created xsi:type="dcterms:W3CDTF">2023-04-06T03:10:00Z</dcterms:created>
  <dcterms:modified xsi:type="dcterms:W3CDTF">2023-04-06T03:11:00Z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1929-31</vt:lpwstr>
  </property>
  <property fmtid="{D5CDD505-2E9C-101B-9397-08002B2CF9AE}" pid="3" name="DocumentType">
    <vt:lpwstr>Reg</vt:lpwstr>
  </property>
  <property fmtid="{D5CDD505-2E9C-101B-9397-08002B2CF9AE}" pid="4" name="AsAtDate">
    <vt:lpwstr>07 Apr 2023</vt:lpwstr>
  </property>
  <property fmtid="{D5CDD505-2E9C-101B-9397-08002B2CF9AE}" pid="5" name="Suffix">
    <vt:lpwstr>00-e0-00</vt:lpwstr>
  </property>
  <property fmtid="{D5CDD505-2E9C-101B-9397-08002B2CF9AE}" pid="6" name="CommencementDate">
    <vt:lpwstr>20230407</vt:lpwstr>
  </property>
</Properties>
</file>