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Appeals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Appeals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_Toc132288156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_Toc132288157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Criminal Procedure Act 2004</w:t>
      </w:r>
      <w:r>
        <w:tab/>
      </w:r>
      <w:r>
        <w:fldChar w:fldCharType="begin"/>
      </w:r>
      <w:r>
        <w:instrText xml:space="preserve"> PAGEREF _Toc132288158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_Toc132288159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_Toc132288160 \h </w:instrText>
      </w:r>
      <w:r>
        <w:fldChar w:fldCharType="separate"/>
      </w:r>
      <w:r>
        <w:t>2</w:t>
      </w:r>
      <w:r>
        <w:fldChar w:fldCharType="end"/>
      </w:r>
    </w:p>
    <w:p>
      <w:pPr>
        <w:pStyle w:val="TOC8"/>
        <w:rPr>
          <w:rFonts w:asciiTheme="minorHAnsi" w:eastAsiaTheme="minorEastAsia" w:hAnsiTheme="minorHAnsi" w:cstheme="minorBidi"/>
          <w:szCs w:val="22"/>
        </w:rPr>
      </w:pPr>
      <w:r>
        <w:t>5.</w:t>
      </w:r>
      <w:r>
        <w:tab/>
        <w:t>Appeal against sentence of superior court after conviction by lower court, commencement of</w:t>
      </w:r>
      <w:r>
        <w:tab/>
      </w:r>
      <w:r>
        <w:fldChar w:fldCharType="begin"/>
      </w:r>
      <w:r>
        <w:instrText xml:space="preserve"> PAGEREF _Toc132288161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Appeals from courts of summary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_Toc132288164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Appeals to a single judge</w:t>
      </w:r>
    </w:p>
    <w:p>
      <w:pPr>
        <w:pStyle w:val="TOC8"/>
        <w:rPr>
          <w:rFonts w:asciiTheme="minorHAnsi" w:eastAsiaTheme="minorEastAsia" w:hAnsiTheme="minorHAnsi" w:cstheme="minorBidi"/>
          <w:szCs w:val="22"/>
        </w:rPr>
      </w:pPr>
      <w:r>
        <w:t>7.</w:t>
      </w:r>
      <w:r>
        <w:tab/>
        <w:t>Right of appeal</w:t>
      </w:r>
      <w:r>
        <w:tab/>
      </w:r>
      <w:r>
        <w:fldChar w:fldCharType="begin"/>
      </w:r>
      <w:r>
        <w:instrText xml:space="preserve"> PAGEREF _Toc132288166 \h </w:instrText>
      </w:r>
      <w:r>
        <w:fldChar w:fldCharType="separate"/>
      </w:r>
      <w:r>
        <w:t>5</w:t>
      </w:r>
      <w:r>
        <w:fldChar w:fldCharType="end"/>
      </w:r>
    </w:p>
    <w:p>
      <w:pPr>
        <w:pStyle w:val="TOC8"/>
        <w:rPr>
          <w:rFonts w:asciiTheme="minorHAnsi" w:eastAsiaTheme="minorEastAsia" w:hAnsiTheme="minorHAnsi" w:cstheme="minorBidi"/>
          <w:szCs w:val="22"/>
        </w:rPr>
      </w:pPr>
      <w:r>
        <w:t>8.</w:t>
      </w:r>
      <w:r>
        <w:tab/>
        <w:t>Grounds for appealing</w:t>
      </w:r>
      <w:r>
        <w:tab/>
      </w:r>
      <w:r>
        <w:fldChar w:fldCharType="begin"/>
      </w:r>
      <w:r>
        <w:instrText xml:space="preserve"> PAGEREF _Toc132288167 \h </w:instrText>
      </w:r>
      <w:r>
        <w:fldChar w:fldCharType="separate"/>
      </w:r>
      <w:r>
        <w:t>5</w:t>
      </w:r>
      <w:r>
        <w:fldChar w:fldCharType="end"/>
      </w:r>
    </w:p>
    <w:p>
      <w:pPr>
        <w:pStyle w:val="TOC8"/>
        <w:rPr>
          <w:rFonts w:asciiTheme="minorHAnsi" w:eastAsiaTheme="minorEastAsia" w:hAnsiTheme="minorHAnsi" w:cstheme="minorBidi"/>
          <w:szCs w:val="22"/>
        </w:rPr>
      </w:pPr>
      <w:r>
        <w:t>9.</w:t>
      </w:r>
      <w:r>
        <w:tab/>
        <w:t>Leave to appeal required in all cases</w:t>
      </w:r>
      <w:r>
        <w:tab/>
      </w:r>
      <w:r>
        <w:fldChar w:fldCharType="begin"/>
      </w:r>
      <w:r>
        <w:instrText xml:space="preserve"> PAGEREF _Toc132288168 \h </w:instrText>
      </w:r>
      <w:r>
        <w:fldChar w:fldCharType="separate"/>
      </w:r>
      <w:r>
        <w:t>6</w:t>
      </w:r>
      <w:r>
        <w:fldChar w:fldCharType="end"/>
      </w:r>
    </w:p>
    <w:p>
      <w:pPr>
        <w:pStyle w:val="TOC8"/>
        <w:rPr>
          <w:rFonts w:asciiTheme="minorHAnsi" w:eastAsiaTheme="minorEastAsia" w:hAnsiTheme="minorHAnsi" w:cstheme="minorBidi"/>
          <w:szCs w:val="22"/>
        </w:rPr>
      </w:pPr>
      <w:r>
        <w:t>10.</w:t>
      </w:r>
      <w:r>
        <w:tab/>
        <w:t>Commencing an appeal</w:t>
      </w:r>
      <w:r>
        <w:tab/>
      </w:r>
      <w:r>
        <w:fldChar w:fldCharType="begin"/>
      </w:r>
      <w:r>
        <w:instrText xml:space="preserve"> PAGEREF _Toc132288169 \h </w:instrText>
      </w:r>
      <w:r>
        <w:fldChar w:fldCharType="separate"/>
      </w:r>
      <w:r>
        <w:t>7</w:t>
      </w:r>
      <w:r>
        <w:fldChar w:fldCharType="end"/>
      </w:r>
    </w:p>
    <w:p>
      <w:pPr>
        <w:pStyle w:val="TOC8"/>
        <w:rPr>
          <w:rFonts w:asciiTheme="minorHAnsi" w:eastAsiaTheme="minorEastAsia" w:hAnsiTheme="minorHAnsi" w:cstheme="minorBidi"/>
          <w:szCs w:val="22"/>
        </w:rPr>
      </w:pPr>
      <w:r>
        <w:t>11.</w:t>
      </w:r>
      <w:r>
        <w:tab/>
        <w:t>Sentences etc., effect of appeal on</w:t>
      </w:r>
      <w:r>
        <w:tab/>
      </w:r>
      <w:r>
        <w:fldChar w:fldCharType="begin"/>
      </w:r>
      <w:r>
        <w:instrText xml:space="preserve"> PAGEREF _Toc132288170 \h </w:instrText>
      </w:r>
      <w:r>
        <w:fldChar w:fldCharType="separate"/>
      </w:r>
      <w:r>
        <w:t>8</w:t>
      </w:r>
      <w:r>
        <w:fldChar w:fldCharType="end"/>
      </w:r>
    </w:p>
    <w:p>
      <w:pPr>
        <w:pStyle w:val="TOC8"/>
        <w:rPr>
          <w:rFonts w:asciiTheme="minorHAnsi" w:eastAsiaTheme="minorEastAsia" w:hAnsiTheme="minorHAnsi" w:cstheme="minorBidi"/>
          <w:szCs w:val="22"/>
        </w:rPr>
      </w:pPr>
      <w:r>
        <w:t>12.</w:t>
      </w:r>
      <w:r>
        <w:tab/>
        <w:t>Sentences etc., Supreme Court may suspend etc.</w:t>
      </w:r>
      <w:r>
        <w:tab/>
      </w:r>
      <w:r>
        <w:fldChar w:fldCharType="begin"/>
      </w:r>
      <w:r>
        <w:instrText xml:space="preserve"> PAGEREF _Toc132288171 \h </w:instrText>
      </w:r>
      <w:r>
        <w:fldChar w:fldCharType="separate"/>
      </w:r>
      <w:r>
        <w:t>9</w:t>
      </w:r>
      <w:r>
        <w:fldChar w:fldCharType="end"/>
      </w:r>
    </w:p>
    <w:p>
      <w:pPr>
        <w:pStyle w:val="TOC8"/>
        <w:rPr>
          <w:rFonts w:asciiTheme="minorHAnsi" w:eastAsiaTheme="minorEastAsia" w:hAnsiTheme="minorHAnsi" w:cstheme="minorBidi"/>
          <w:szCs w:val="22"/>
        </w:rPr>
      </w:pPr>
      <w:r>
        <w:t>13.</w:t>
      </w:r>
      <w:r>
        <w:tab/>
        <w:t>Supreme Court may refer appeal to Court of Appeal</w:t>
      </w:r>
      <w:r>
        <w:tab/>
      </w:r>
      <w:r>
        <w:fldChar w:fldCharType="begin"/>
      </w:r>
      <w:r>
        <w:instrText xml:space="preserve"> PAGEREF _Toc132288172 \h </w:instrText>
      </w:r>
      <w:r>
        <w:fldChar w:fldCharType="separate"/>
      </w:r>
      <w:r>
        <w:t>10</w:t>
      </w:r>
      <w:r>
        <w:fldChar w:fldCharType="end"/>
      </w:r>
    </w:p>
    <w:p>
      <w:pPr>
        <w:pStyle w:val="TOC8"/>
        <w:rPr>
          <w:rFonts w:asciiTheme="minorHAnsi" w:eastAsiaTheme="minorEastAsia" w:hAnsiTheme="minorHAnsi" w:cstheme="minorBidi"/>
          <w:szCs w:val="22"/>
        </w:rPr>
      </w:pPr>
      <w:r>
        <w:t>14.</w:t>
      </w:r>
      <w:r>
        <w:tab/>
        <w:t>Supreme Court’s powers on an appeal</w:t>
      </w:r>
      <w:r>
        <w:tab/>
      </w:r>
      <w:r>
        <w:fldChar w:fldCharType="begin"/>
      </w:r>
      <w:r>
        <w:instrText xml:space="preserve"> PAGEREF _Toc132288173 \h </w:instrText>
      </w:r>
      <w:r>
        <w:fldChar w:fldCharType="separate"/>
      </w:r>
      <w:r>
        <w:t>10</w:t>
      </w:r>
      <w:r>
        <w:fldChar w:fldCharType="end"/>
      </w:r>
    </w:p>
    <w:p>
      <w:pPr>
        <w:pStyle w:val="TOC8"/>
        <w:rPr>
          <w:rFonts w:asciiTheme="minorHAnsi" w:eastAsiaTheme="minorEastAsia" w:hAnsiTheme="minorHAnsi" w:cstheme="minorBidi"/>
          <w:szCs w:val="22"/>
        </w:rPr>
      </w:pPr>
      <w:r>
        <w:t>15.</w:t>
      </w:r>
      <w:r>
        <w:tab/>
        <w:t>Conclusion of appeal, consequences</w:t>
      </w:r>
      <w:r>
        <w:tab/>
      </w:r>
      <w:r>
        <w:fldChar w:fldCharType="begin"/>
      </w:r>
      <w:r>
        <w:instrText xml:space="preserve"> PAGEREF _Toc132288174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Appeals from a single judge to the Court of Appeal</w:t>
      </w:r>
    </w:p>
    <w:p>
      <w:pPr>
        <w:pStyle w:val="TOC8"/>
        <w:rPr>
          <w:rFonts w:asciiTheme="minorHAnsi" w:eastAsiaTheme="minorEastAsia" w:hAnsiTheme="minorHAnsi" w:cstheme="minorBidi"/>
          <w:szCs w:val="22"/>
        </w:rPr>
      </w:pPr>
      <w:r>
        <w:t>16.</w:t>
      </w:r>
      <w:r>
        <w:tab/>
        <w:t>Right of appeal to Court of Appeal</w:t>
      </w:r>
      <w:r>
        <w:tab/>
      </w:r>
      <w:r>
        <w:fldChar w:fldCharType="begin"/>
      </w:r>
      <w:r>
        <w:instrText xml:space="preserve"> PAGEREF _Toc132288176 \h </w:instrText>
      </w:r>
      <w:r>
        <w:fldChar w:fldCharType="separate"/>
      </w:r>
      <w:r>
        <w:t>12</w:t>
      </w:r>
      <w:r>
        <w:fldChar w:fldCharType="end"/>
      </w:r>
    </w:p>
    <w:p>
      <w:pPr>
        <w:pStyle w:val="TOC8"/>
        <w:rPr>
          <w:rFonts w:asciiTheme="minorHAnsi" w:eastAsiaTheme="minorEastAsia" w:hAnsiTheme="minorHAnsi" w:cstheme="minorBidi"/>
          <w:szCs w:val="22"/>
        </w:rPr>
      </w:pPr>
      <w:r>
        <w:t>17.</w:t>
      </w:r>
      <w:r>
        <w:tab/>
        <w:t>Commencing an appeal</w:t>
      </w:r>
      <w:r>
        <w:tab/>
      </w:r>
      <w:r>
        <w:fldChar w:fldCharType="begin"/>
      </w:r>
      <w:r>
        <w:instrText xml:space="preserve"> PAGEREF _Toc132288177 \h </w:instrText>
      </w:r>
      <w:r>
        <w:fldChar w:fldCharType="separate"/>
      </w:r>
      <w:r>
        <w:t>13</w:t>
      </w:r>
      <w:r>
        <w:fldChar w:fldCharType="end"/>
      </w:r>
    </w:p>
    <w:p>
      <w:pPr>
        <w:pStyle w:val="TOC8"/>
        <w:rPr>
          <w:rFonts w:asciiTheme="minorHAnsi" w:eastAsiaTheme="minorEastAsia" w:hAnsiTheme="minorHAnsi" w:cstheme="minorBidi"/>
          <w:szCs w:val="22"/>
        </w:rPr>
      </w:pPr>
      <w:r>
        <w:t>18.</w:t>
      </w:r>
      <w:r>
        <w:tab/>
        <w:t>Provisions applicable to appeals to Court of Appeal</w:t>
      </w:r>
      <w:r>
        <w:tab/>
      </w:r>
      <w:r>
        <w:fldChar w:fldCharType="begin"/>
      </w:r>
      <w:r>
        <w:instrText xml:space="preserve"> PAGEREF _Toc132288178 \h </w:instrText>
      </w:r>
      <w:r>
        <w:fldChar w:fldCharType="separate"/>
      </w:r>
      <w:r>
        <w:t>13</w:t>
      </w:r>
      <w:r>
        <w:fldChar w:fldCharType="end"/>
      </w:r>
    </w:p>
    <w:p>
      <w:pPr>
        <w:pStyle w:val="TOC8"/>
        <w:rPr>
          <w:rFonts w:asciiTheme="minorHAnsi" w:eastAsiaTheme="minorEastAsia" w:hAnsiTheme="minorHAnsi" w:cstheme="minorBidi"/>
          <w:szCs w:val="22"/>
        </w:rPr>
      </w:pPr>
      <w:r>
        <w:t>19.</w:t>
      </w:r>
      <w:r>
        <w:tab/>
        <w:t>Court of Appeal’s additional powers on an appeal</w:t>
      </w:r>
      <w:r>
        <w:tab/>
      </w:r>
      <w:r>
        <w:fldChar w:fldCharType="begin"/>
      </w:r>
      <w:r>
        <w:instrText xml:space="preserve"> PAGEREF _Toc132288179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Costs</w:t>
      </w:r>
    </w:p>
    <w:p>
      <w:pPr>
        <w:pStyle w:val="TOC8"/>
        <w:rPr>
          <w:rFonts w:asciiTheme="minorHAnsi" w:eastAsiaTheme="minorEastAsia" w:hAnsiTheme="minorHAnsi" w:cstheme="minorBidi"/>
          <w:szCs w:val="22"/>
        </w:rPr>
      </w:pPr>
      <w:r>
        <w:t>20.</w:t>
      </w:r>
      <w:r>
        <w:tab/>
        <w:t>Costs against Attorney General, JPs or police officers</w:t>
      </w:r>
      <w:r>
        <w:tab/>
      </w:r>
      <w:r>
        <w:fldChar w:fldCharType="begin"/>
      </w:r>
      <w:r>
        <w:instrText xml:space="preserve"> PAGEREF _Toc132288181 \h </w:instrText>
      </w:r>
      <w:r>
        <w:fldChar w:fldCharType="separate"/>
      </w:r>
      <w:r>
        <w:t>14</w:t>
      </w:r>
      <w:r>
        <w:fldChar w:fldCharType="end"/>
      </w:r>
    </w:p>
    <w:p>
      <w:pPr>
        <w:pStyle w:val="TOC8"/>
        <w:rPr>
          <w:rFonts w:asciiTheme="minorHAnsi" w:eastAsiaTheme="minorEastAsia" w:hAnsiTheme="minorHAnsi" w:cstheme="minorBidi"/>
          <w:szCs w:val="22"/>
        </w:rPr>
      </w:pPr>
      <w:r>
        <w:t>21.</w:t>
      </w:r>
      <w:r>
        <w:tab/>
        <w:t>Costs orders, enforcement of</w:t>
      </w:r>
      <w:r>
        <w:tab/>
      </w:r>
      <w:r>
        <w:fldChar w:fldCharType="begin"/>
      </w:r>
      <w:r>
        <w:instrText xml:space="preserve"> PAGEREF _Toc132288182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Appeals from superior courts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_Toc132288185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Rights of appeal</w:t>
      </w:r>
    </w:p>
    <w:p>
      <w:pPr>
        <w:pStyle w:val="TOC8"/>
        <w:rPr>
          <w:rFonts w:asciiTheme="minorHAnsi" w:eastAsiaTheme="minorEastAsia" w:hAnsiTheme="minorHAnsi" w:cstheme="minorBidi"/>
          <w:szCs w:val="22"/>
        </w:rPr>
      </w:pPr>
      <w:r>
        <w:t>23.</w:t>
      </w:r>
      <w:r>
        <w:tab/>
        <w:t>Rights of appeal of offender</w:t>
      </w:r>
      <w:r>
        <w:tab/>
      </w:r>
      <w:r>
        <w:fldChar w:fldCharType="begin"/>
      </w:r>
      <w:r>
        <w:instrText xml:space="preserve"> PAGEREF _Toc132288187 \h </w:instrText>
      </w:r>
      <w:r>
        <w:fldChar w:fldCharType="separate"/>
      </w:r>
      <w:r>
        <w:t>16</w:t>
      </w:r>
      <w:r>
        <w:fldChar w:fldCharType="end"/>
      </w:r>
    </w:p>
    <w:p>
      <w:pPr>
        <w:pStyle w:val="TOC8"/>
        <w:rPr>
          <w:rFonts w:asciiTheme="minorHAnsi" w:eastAsiaTheme="minorEastAsia" w:hAnsiTheme="minorHAnsi" w:cstheme="minorBidi"/>
          <w:szCs w:val="22"/>
        </w:rPr>
      </w:pPr>
      <w:r>
        <w:t>24.</w:t>
      </w:r>
      <w:r>
        <w:tab/>
        <w:t>Rights of appeal of prosecutor</w:t>
      </w:r>
      <w:r>
        <w:tab/>
      </w:r>
      <w:r>
        <w:fldChar w:fldCharType="begin"/>
      </w:r>
      <w:r>
        <w:instrText xml:space="preserve"> PAGEREF _Toc132288188 \h </w:instrText>
      </w:r>
      <w:r>
        <w:fldChar w:fldCharType="separate"/>
      </w:r>
      <w:r>
        <w:t>17</w:t>
      </w:r>
      <w:r>
        <w:fldChar w:fldCharType="end"/>
      </w:r>
    </w:p>
    <w:p>
      <w:pPr>
        <w:pStyle w:val="TOC8"/>
        <w:rPr>
          <w:rFonts w:asciiTheme="minorHAnsi" w:eastAsiaTheme="minorEastAsia" w:hAnsiTheme="minorHAnsi" w:cstheme="minorBidi"/>
          <w:szCs w:val="22"/>
        </w:rPr>
      </w:pPr>
      <w:r>
        <w:t>25.</w:t>
      </w:r>
      <w:r>
        <w:tab/>
        <w:t>Rights of appeal if acquittal on account of unsoundness of mind</w:t>
      </w:r>
      <w:r>
        <w:tab/>
      </w:r>
      <w:r>
        <w:fldChar w:fldCharType="begin"/>
      </w:r>
      <w:r>
        <w:instrText xml:space="preserve"> PAGEREF _Toc132288189 \h </w:instrText>
      </w:r>
      <w:r>
        <w:fldChar w:fldCharType="separate"/>
      </w:r>
      <w:r>
        <w:t>18</w:t>
      </w:r>
      <w:r>
        <w:fldChar w:fldCharType="end"/>
      </w:r>
    </w:p>
    <w:p>
      <w:pPr>
        <w:pStyle w:val="TOC8"/>
        <w:rPr>
          <w:rFonts w:asciiTheme="minorHAnsi" w:eastAsiaTheme="minorEastAsia" w:hAnsiTheme="minorHAnsi" w:cstheme="minorBidi"/>
          <w:szCs w:val="22"/>
        </w:rPr>
      </w:pPr>
      <w:r>
        <w:t>26.</w:t>
      </w:r>
      <w:r>
        <w:tab/>
        <w:t>Separate trial decision, preliminary appeal against</w:t>
      </w:r>
      <w:r>
        <w:tab/>
      </w:r>
      <w:r>
        <w:fldChar w:fldCharType="begin"/>
      </w:r>
      <w:r>
        <w:instrText xml:space="preserve"> PAGEREF _Toc132288190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Commencing and deciding appeals</w:t>
      </w:r>
    </w:p>
    <w:p>
      <w:pPr>
        <w:pStyle w:val="TOC8"/>
        <w:rPr>
          <w:rFonts w:asciiTheme="minorHAnsi" w:eastAsiaTheme="minorEastAsia" w:hAnsiTheme="minorHAnsi" w:cstheme="minorBidi"/>
          <w:szCs w:val="22"/>
        </w:rPr>
      </w:pPr>
      <w:r>
        <w:t>27.</w:t>
      </w:r>
      <w:r>
        <w:tab/>
        <w:t>Leave to appeal required in all cases</w:t>
      </w:r>
      <w:r>
        <w:tab/>
      </w:r>
      <w:r>
        <w:fldChar w:fldCharType="begin"/>
      </w:r>
      <w:r>
        <w:instrText xml:space="preserve"> PAGEREF _Toc132288192 \h </w:instrText>
      </w:r>
      <w:r>
        <w:fldChar w:fldCharType="separate"/>
      </w:r>
      <w:r>
        <w:t>20</w:t>
      </w:r>
      <w:r>
        <w:fldChar w:fldCharType="end"/>
      </w:r>
    </w:p>
    <w:p>
      <w:pPr>
        <w:pStyle w:val="TOC8"/>
        <w:rPr>
          <w:rFonts w:asciiTheme="minorHAnsi" w:eastAsiaTheme="minorEastAsia" w:hAnsiTheme="minorHAnsi" w:cstheme="minorBidi"/>
          <w:szCs w:val="22"/>
        </w:rPr>
      </w:pPr>
      <w:r>
        <w:t>28.</w:t>
      </w:r>
      <w:r>
        <w:tab/>
        <w:t>Commencing an appeal</w:t>
      </w:r>
      <w:r>
        <w:tab/>
      </w:r>
      <w:r>
        <w:fldChar w:fldCharType="begin"/>
      </w:r>
      <w:r>
        <w:instrText xml:space="preserve"> PAGEREF _Toc132288193 \h </w:instrText>
      </w:r>
      <w:r>
        <w:fldChar w:fldCharType="separate"/>
      </w:r>
      <w:r>
        <w:t>21</w:t>
      </w:r>
      <w:r>
        <w:fldChar w:fldCharType="end"/>
      </w:r>
    </w:p>
    <w:p>
      <w:pPr>
        <w:pStyle w:val="TOC8"/>
        <w:rPr>
          <w:rFonts w:asciiTheme="minorHAnsi" w:eastAsiaTheme="minorEastAsia" w:hAnsiTheme="minorHAnsi" w:cstheme="minorBidi"/>
          <w:szCs w:val="22"/>
        </w:rPr>
      </w:pPr>
      <w:r>
        <w:t>29.</w:t>
      </w:r>
      <w:r>
        <w:tab/>
        <w:t>Sentences etc., Court of Appeal may stay etc.</w:t>
      </w:r>
      <w:r>
        <w:tab/>
      </w:r>
      <w:r>
        <w:fldChar w:fldCharType="begin"/>
      </w:r>
      <w:r>
        <w:instrText xml:space="preserve"> PAGEREF _Toc132288194 \h </w:instrText>
      </w:r>
      <w:r>
        <w:fldChar w:fldCharType="separate"/>
      </w:r>
      <w:r>
        <w:t>21</w:t>
      </w:r>
      <w:r>
        <w:fldChar w:fldCharType="end"/>
      </w:r>
    </w:p>
    <w:p>
      <w:pPr>
        <w:pStyle w:val="TOC8"/>
        <w:rPr>
          <w:rFonts w:asciiTheme="minorHAnsi" w:eastAsiaTheme="minorEastAsia" w:hAnsiTheme="minorHAnsi" w:cstheme="minorBidi"/>
          <w:szCs w:val="22"/>
        </w:rPr>
      </w:pPr>
      <w:r>
        <w:t>30.</w:t>
      </w:r>
      <w:r>
        <w:tab/>
        <w:t>Appeal against conviction, decision on</w:t>
      </w:r>
      <w:r>
        <w:tab/>
      </w:r>
      <w:r>
        <w:fldChar w:fldCharType="begin"/>
      </w:r>
      <w:r>
        <w:instrText xml:space="preserve"> PAGEREF _Toc132288195 \h </w:instrText>
      </w:r>
      <w:r>
        <w:fldChar w:fldCharType="separate"/>
      </w:r>
      <w:r>
        <w:t>22</w:t>
      </w:r>
      <w:r>
        <w:fldChar w:fldCharType="end"/>
      </w:r>
    </w:p>
    <w:p>
      <w:pPr>
        <w:pStyle w:val="TOC8"/>
        <w:rPr>
          <w:rFonts w:asciiTheme="minorHAnsi" w:eastAsiaTheme="minorEastAsia" w:hAnsiTheme="minorHAnsi" w:cstheme="minorBidi"/>
          <w:szCs w:val="22"/>
        </w:rPr>
      </w:pPr>
      <w:r>
        <w:t>31.</w:t>
      </w:r>
      <w:r>
        <w:tab/>
        <w:t>Appeal against sentence etc., decision on</w:t>
      </w:r>
      <w:r>
        <w:tab/>
      </w:r>
      <w:r>
        <w:fldChar w:fldCharType="begin"/>
      </w:r>
      <w:r>
        <w:instrText xml:space="preserve"> PAGEREF _Toc132288196 \h </w:instrText>
      </w:r>
      <w:r>
        <w:fldChar w:fldCharType="separate"/>
      </w:r>
      <w:r>
        <w:t>24</w:t>
      </w:r>
      <w:r>
        <w:fldChar w:fldCharType="end"/>
      </w:r>
    </w:p>
    <w:p>
      <w:pPr>
        <w:pStyle w:val="TOC8"/>
        <w:rPr>
          <w:rFonts w:asciiTheme="minorHAnsi" w:eastAsiaTheme="minorEastAsia" w:hAnsiTheme="minorHAnsi" w:cstheme="minorBidi"/>
          <w:szCs w:val="22"/>
        </w:rPr>
      </w:pPr>
      <w:r>
        <w:t>32.</w:t>
      </w:r>
      <w:r>
        <w:tab/>
        <w:t>Appeal under s. 25, decision on</w:t>
      </w:r>
      <w:r>
        <w:tab/>
      </w:r>
      <w:r>
        <w:fldChar w:fldCharType="begin"/>
      </w:r>
      <w:r>
        <w:instrText xml:space="preserve"> PAGEREF _Toc132288197 \h </w:instrText>
      </w:r>
      <w:r>
        <w:fldChar w:fldCharType="separate"/>
      </w:r>
      <w:r>
        <w:t>25</w:t>
      </w:r>
      <w:r>
        <w:fldChar w:fldCharType="end"/>
      </w:r>
    </w:p>
    <w:p>
      <w:pPr>
        <w:pStyle w:val="TOC8"/>
        <w:rPr>
          <w:rFonts w:asciiTheme="minorHAnsi" w:eastAsiaTheme="minorEastAsia" w:hAnsiTheme="minorHAnsi" w:cstheme="minorBidi"/>
          <w:szCs w:val="22"/>
        </w:rPr>
      </w:pPr>
      <w:r>
        <w:t>33.</w:t>
      </w:r>
      <w:r>
        <w:tab/>
        <w:t>Other appeals by prosecutor, decision on</w:t>
      </w:r>
      <w:r>
        <w:tab/>
      </w:r>
      <w:r>
        <w:fldChar w:fldCharType="begin"/>
      </w:r>
      <w:r>
        <w:instrText xml:space="preserve"> PAGEREF _Toc132288198 \h </w:instrText>
      </w:r>
      <w:r>
        <w:fldChar w:fldCharType="separate"/>
      </w:r>
      <w:r>
        <w:t>27</w:t>
      </w:r>
      <w:r>
        <w:fldChar w:fldCharType="end"/>
      </w:r>
    </w:p>
    <w:p>
      <w:pPr>
        <w:pStyle w:val="TOC8"/>
        <w:rPr>
          <w:rFonts w:asciiTheme="minorHAnsi" w:eastAsiaTheme="minorEastAsia" w:hAnsiTheme="minorHAnsi" w:cstheme="minorBidi"/>
          <w:szCs w:val="22"/>
        </w:rPr>
      </w:pPr>
      <w:r>
        <w:t>34.</w:t>
      </w:r>
      <w:r>
        <w:tab/>
        <w:t>New trial etc., procedure if ordered</w:t>
      </w:r>
      <w:r>
        <w:tab/>
      </w:r>
      <w:r>
        <w:fldChar w:fldCharType="begin"/>
      </w:r>
      <w:r>
        <w:instrText xml:space="preserve"> PAGEREF _Toc132288199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35.</w:t>
      </w:r>
      <w:r>
        <w:tab/>
        <w:t>No fees or costs</w:t>
      </w:r>
      <w:r>
        <w:tab/>
      </w:r>
      <w:r>
        <w:fldChar w:fldCharType="begin"/>
      </w:r>
      <w:r>
        <w:instrText xml:space="preserve"> PAGEREF _Toc132288201 \h </w:instrText>
      </w:r>
      <w:r>
        <w:fldChar w:fldCharType="separate"/>
      </w:r>
      <w:r>
        <w:t>29</w:t>
      </w:r>
      <w:r>
        <w:fldChar w:fldCharType="end"/>
      </w:r>
    </w:p>
    <w:p>
      <w:pPr>
        <w:pStyle w:val="TOC8"/>
        <w:rPr>
          <w:rFonts w:asciiTheme="minorHAnsi" w:eastAsiaTheme="minorEastAsia" w:hAnsiTheme="minorHAnsi" w:cstheme="minorBidi"/>
          <w:szCs w:val="22"/>
        </w:rPr>
      </w:pPr>
      <w:r>
        <w:t>35A.</w:t>
      </w:r>
      <w:r>
        <w:tab/>
        <w:t>Accused’s costs in some appeals to be paid by State</w:t>
      </w:r>
      <w:r>
        <w:tab/>
      </w:r>
      <w:r>
        <w:fldChar w:fldCharType="begin"/>
      </w:r>
      <w:r>
        <w:instrText xml:space="preserve"> PAGEREF _Toc132288202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w:t>
      </w:r>
      <w:r>
        <w:rPr>
          <w:b w:val="0"/>
        </w:rPr>
        <w:t> </w:t>
      </w:r>
      <w:r>
        <w:t>—</w:t>
      </w:r>
      <w:r>
        <w:rPr>
          <w:b w:val="0"/>
        </w:rPr>
        <w:t> </w:t>
      </w:r>
      <w:r>
        <w:t>Further appeals against conviction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35B.</w:t>
      </w:r>
      <w:r>
        <w:tab/>
        <w:t>Application of this Part</w:t>
      </w:r>
      <w:r>
        <w:tab/>
      </w:r>
      <w:r>
        <w:fldChar w:fldCharType="begin"/>
      </w:r>
      <w:r>
        <w:instrText xml:space="preserve"> PAGEREF _Toc132288205 \h </w:instrText>
      </w:r>
      <w:r>
        <w:fldChar w:fldCharType="separate"/>
      </w:r>
      <w:r>
        <w:t>30</w:t>
      </w:r>
      <w:r>
        <w:fldChar w:fldCharType="end"/>
      </w:r>
    </w:p>
    <w:p>
      <w:pPr>
        <w:pStyle w:val="TOC8"/>
        <w:rPr>
          <w:rFonts w:asciiTheme="minorHAnsi" w:eastAsiaTheme="minorEastAsia" w:hAnsiTheme="minorHAnsi" w:cstheme="minorBidi"/>
          <w:szCs w:val="22"/>
        </w:rPr>
      </w:pPr>
      <w:r>
        <w:t>35C.</w:t>
      </w:r>
      <w:r>
        <w:tab/>
        <w:t>Term used: offender</w:t>
      </w:r>
      <w:r>
        <w:tab/>
      </w:r>
      <w:r>
        <w:fldChar w:fldCharType="begin"/>
      </w:r>
      <w:r>
        <w:instrText xml:space="preserve"> PAGEREF _Toc132288206 \h </w:instrText>
      </w:r>
      <w:r>
        <w:fldChar w:fldCharType="separate"/>
      </w:r>
      <w:r>
        <w:t>30</w:t>
      </w:r>
      <w:r>
        <w:fldChar w:fldCharType="end"/>
      </w:r>
    </w:p>
    <w:p>
      <w:pPr>
        <w:pStyle w:val="TOC8"/>
        <w:rPr>
          <w:rFonts w:asciiTheme="minorHAnsi" w:eastAsiaTheme="minorEastAsia" w:hAnsiTheme="minorHAnsi" w:cstheme="minorBidi"/>
          <w:szCs w:val="22"/>
        </w:rPr>
      </w:pPr>
      <w:r>
        <w:t>35D.</w:t>
      </w:r>
      <w:r>
        <w:tab/>
        <w:t>Fresh, new and compelling evidence</w:t>
      </w:r>
      <w:r>
        <w:tab/>
      </w:r>
      <w:r>
        <w:fldChar w:fldCharType="begin"/>
      </w:r>
      <w:r>
        <w:instrText xml:space="preserve"> PAGEREF _Toc132288207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Rights of appeal</w:t>
      </w:r>
    </w:p>
    <w:p>
      <w:pPr>
        <w:pStyle w:val="TOC8"/>
        <w:rPr>
          <w:rFonts w:asciiTheme="minorHAnsi" w:eastAsiaTheme="minorEastAsia" w:hAnsiTheme="minorHAnsi" w:cstheme="minorBidi"/>
          <w:szCs w:val="22"/>
        </w:rPr>
      </w:pPr>
      <w:r>
        <w:t>35E.</w:t>
      </w:r>
      <w:r>
        <w:tab/>
        <w:t>Second or subsequent appeal against conviction</w:t>
      </w:r>
      <w:r>
        <w:tab/>
      </w:r>
      <w:r>
        <w:fldChar w:fldCharType="begin"/>
      </w:r>
      <w:r>
        <w:instrText xml:space="preserve"> PAGEREF _Toc132288209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Commencing and deciding appeals</w:t>
      </w:r>
    </w:p>
    <w:p>
      <w:pPr>
        <w:pStyle w:val="TOC8"/>
        <w:rPr>
          <w:rFonts w:asciiTheme="minorHAnsi" w:eastAsiaTheme="minorEastAsia" w:hAnsiTheme="minorHAnsi" w:cstheme="minorBidi"/>
          <w:szCs w:val="22"/>
        </w:rPr>
      </w:pPr>
      <w:r>
        <w:t>35F.</w:t>
      </w:r>
      <w:r>
        <w:tab/>
        <w:t>Leave to appeal required in all cases</w:t>
      </w:r>
      <w:r>
        <w:tab/>
      </w:r>
      <w:r>
        <w:fldChar w:fldCharType="begin"/>
      </w:r>
      <w:r>
        <w:instrText xml:space="preserve"> PAGEREF _Toc132288211 \h </w:instrText>
      </w:r>
      <w:r>
        <w:fldChar w:fldCharType="separate"/>
      </w:r>
      <w:r>
        <w:t>32</w:t>
      </w:r>
      <w:r>
        <w:fldChar w:fldCharType="end"/>
      </w:r>
    </w:p>
    <w:p>
      <w:pPr>
        <w:pStyle w:val="TOC8"/>
        <w:rPr>
          <w:rFonts w:asciiTheme="minorHAnsi" w:eastAsiaTheme="minorEastAsia" w:hAnsiTheme="minorHAnsi" w:cstheme="minorBidi"/>
          <w:szCs w:val="22"/>
        </w:rPr>
      </w:pPr>
      <w:r>
        <w:t>35G.</w:t>
      </w:r>
      <w:r>
        <w:tab/>
        <w:t>Commencing appeal</w:t>
      </w:r>
      <w:r>
        <w:tab/>
      </w:r>
      <w:r>
        <w:fldChar w:fldCharType="begin"/>
      </w:r>
      <w:r>
        <w:instrText xml:space="preserve"> PAGEREF _Toc132288212 \h </w:instrText>
      </w:r>
      <w:r>
        <w:fldChar w:fldCharType="separate"/>
      </w:r>
      <w:r>
        <w:t>32</w:t>
      </w:r>
      <w:r>
        <w:fldChar w:fldCharType="end"/>
      </w:r>
    </w:p>
    <w:p>
      <w:pPr>
        <w:pStyle w:val="TOC8"/>
        <w:rPr>
          <w:rFonts w:asciiTheme="minorHAnsi" w:eastAsiaTheme="minorEastAsia" w:hAnsiTheme="minorHAnsi" w:cstheme="minorBidi"/>
          <w:szCs w:val="22"/>
        </w:rPr>
      </w:pPr>
      <w:r>
        <w:t>35H.</w:t>
      </w:r>
      <w:r>
        <w:tab/>
        <w:t>Decision on appeal</w:t>
      </w:r>
      <w:r>
        <w:tab/>
      </w:r>
      <w:r>
        <w:fldChar w:fldCharType="begin"/>
      </w:r>
      <w:r>
        <w:instrText xml:space="preserve"> PAGEREF _Toc132288213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Fees and costs</w:t>
      </w:r>
    </w:p>
    <w:p>
      <w:pPr>
        <w:pStyle w:val="TOC8"/>
        <w:rPr>
          <w:rFonts w:asciiTheme="minorHAnsi" w:eastAsiaTheme="minorEastAsia" w:hAnsiTheme="minorHAnsi" w:cstheme="minorBidi"/>
          <w:szCs w:val="22"/>
        </w:rPr>
      </w:pPr>
      <w:r>
        <w:t>35I.</w:t>
      </w:r>
      <w:r>
        <w:tab/>
        <w:t>No fees</w:t>
      </w:r>
      <w:r>
        <w:tab/>
      </w:r>
      <w:r>
        <w:fldChar w:fldCharType="begin"/>
      </w:r>
      <w:r>
        <w:instrText xml:space="preserve"> PAGEREF _Toc132288215 \h </w:instrText>
      </w:r>
      <w:r>
        <w:fldChar w:fldCharType="separate"/>
      </w:r>
      <w:r>
        <w:t>34</w:t>
      </w:r>
      <w:r>
        <w:fldChar w:fldCharType="end"/>
      </w:r>
    </w:p>
    <w:p>
      <w:pPr>
        <w:pStyle w:val="TOC8"/>
        <w:rPr>
          <w:rFonts w:asciiTheme="minorHAnsi" w:eastAsiaTheme="minorEastAsia" w:hAnsiTheme="minorHAnsi" w:cstheme="minorBidi"/>
          <w:szCs w:val="22"/>
        </w:rPr>
      </w:pPr>
      <w:r>
        <w:t>35J.</w:t>
      </w:r>
      <w:r>
        <w:tab/>
        <w:t>Costs against appellant</w:t>
      </w:r>
      <w:r>
        <w:tab/>
      </w:r>
      <w:r>
        <w:fldChar w:fldCharType="begin"/>
      </w:r>
      <w:r>
        <w:instrText xml:space="preserve"> PAGEREF _Toc132288216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applicable to any appeal</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_Toc132288218 \h </w:instrText>
      </w:r>
      <w:r>
        <w:fldChar w:fldCharType="separate"/>
      </w:r>
      <w:r>
        <w:t>35</w:t>
      </w:r>
      <w:r>
        <w:fldChar w:fldCharType="end"/>
      </w:r>
    </w:p>
    <w:p>
      <w:pPr>
        <w:pStyle w:val="TOC8"/>
        <w:rPr>
          <w:rFonts w:asciiTheme="minorHAnsi" w:eastAsiaTheme="minorEastAsia" w:hAnsiTheme="minorHAnsi" w:cstheme="minorBidi"/>
          <w:szCs w:val="22"/>
        </w:rPr>
      </w:pPr>
      <w:r>
        <w:t>37.</w:t>
      </w:r>
      <w:r>
        <w:tab/>
        <w:t>Application of this Part</w:t>
      </w:r>
      <w:r>
        <w:tab/>
      </w:r>
      <w:r>
        <w:fldChar w:fldCharType="begin"/>
      </w:r>
      <w:r>
        <w:instrText xml:space="preserve"> PAGEREF _Toc132288219 \h </w:instrText>
      </w:r>
      <w:r>
        <w:fldChar w:fldCharType="separate"/>
      </w:r>
      <w:r>
        <w:t>35</w:t>
      </w:r>
      <w:r>
        <w:fldChar w:fldCharType="end"/>
      </w:r>
    </w:p>
    <w:p>
      <w:pPr>
        <w:pStyle w:val="TOC8"/>
        <w:rPr>
          <w:rFonts w:asciiTheme="minorHAnsi" w:eastAsiaTheme="minorEastAsia" w:hAnsiTheme="minorHAnsi" w:cstheme="minorBidi"/>
          <w:szCs w:val="22"/>
        </w:rPr>
      </w:pPr>
      <w:r>
        <w:t>38.</w:t>
      </w:r>
      <w:r>
        <w:tab/>
        <w:t>Multiple appeals, consolidation etc.</w:t>
      </w:r>
      <w:r>
        <w:tab/>
      </w:r>
      <w:r>
        <w:fldChar w:fldCharType="begin"/>
      </w:r>
      <w:r>
        <w:instrText xml:space="preserve"> PAGEREF _Toc132288220 \h </w:instrText>
      </w:r>
      <w:r>
        <w:fldChar w:fldCharType="separate"/>
      </w:r>
      <w:r>
        <w:t>35</w:t>
      </w:r>
      <w:r>
        <w:fldChar w:fldCharType="end"/>
      </w:r>
    </w:p>
    <w:p>
      <w:pPr>
        <w:pStyle w:val="TOC8"/>
        <w:rPr>
          <w:rFonts w:asciiTheme="minorHAnsi" w:eastAsiaTheme="minorEastAsia" w:hAnsiTheme="minorHAnsi" w:cstheme="minorBidi"/>
          <w:szCs w:val="22"/>
        </w:rPr>
      </w:pPr>
      <w:r>
        <w:t>39.</w:t>
      </w:r>
      <w:r>
        <w:tab/>
        <w:t>Material to be considered on appeal</w:t>
      </w:r>
      <w:r>
        <w:tab/>
      </w:r>
      <w:r>
        <w:fldChar w:fldCharType="begin"/>
      </w:r>
      <w:r>
        <w:instrText xml:space="preserve"> PAGEREF _Toc132288221 \h </w:instrText>
      </w:r>
      <w:r>
        <w:fldChar w:fldCharType="separate"/>
      </w:r>
      <w:r>
        <w:t>35</w:t>
      </w:r>
      <w:r>
        <w:fldChar w:fldCharType="end"/>
      </w:r>
    </w:p>
    <w:p>
      <w:pPr>
        <w:pStyle w:val="TOC8"/>
        <w:rPr>
          <w:rFonts w:asciiTheme="minorHAnsi" w:eastAsiaTheme="minorEastAsia" w:hAnsiTheme="minorHAnsi" w:cstheme="minorBidi"/>
          <w:szCs w:val="22"/>
        </w:rPr>
      </w:pPr>
      <w:r>
        <w:t>40.</w:t>
      </w:r>
      <w:r>
        <w:tab/>
        <w:t>General powers to deal with appeals</w:t>
      </w:r>
      <w:r>
        <w:tab/>
      </w:r>
      <w:r>
        <w:fldChar w:fldCharType="begin"/>
      </w:r>
      <w:r>
        <w:instrText xml:space="preserve"> PAGEREF _Toc132288222 \h </w:instrText>
      </w:r>
      <w:r>
        <w:fldChar w:fldCharType="separate"/>
      </w:r>
      <w:r>
        <w:t>36</w:t>
      </w:r>
      <w:r>
        <w:fldChar w:fldCharType="end"/>
      </w:r>
    </w:p>
    <w:p>
      <w:pPr>
        <w:pStyle w:val="TOC8"/>
        <w:rPr>
          <w:rFonts w:asciiTheme="minorHAnsi" w:eastAsiaTheme="minorEastAsia" w:hAnsiTheme="minorHAnsi" w:cstheme="minorBidi"/>
          <w:szCs w:val="22"/>
        </w:rPr>
      </w:pPr>
      <w:r>
        <w:t>41.</w:t>
      </w:r>
      <w:r>
        <w:tab/>
        <w:t>Sentencing or re</w:t>
      </w:r>
      <w:r>
        <w:noBreakHyphen/>
        <w:t>sentencing on appeal</w:t>
      </w:r>
      <w:r>
        <w:tab/>
      </w:r>
      <w:r>
        <w:fldChar w:fldCharType="begin"/>
      </w:r>
      <w:r>
        <w:instrText xml:space="preserve"> PAGEREF _Toc132288223 \h </w:instrText>
      </w:r>
      <w:r>
        <w:fldChar w:fldCharType="separate"/>
      </w:r>
      <w:r>
        <w:t>38</w:t>
      </w:r>
      <w:r>
        <w:fldChar w:fldCharType="end"/>
      </w:r>
    </w:p>
    <w:p>
      <w:pPr>
        <w:pStyle w:val="TOC8"/>
        <w:rPr>
          <w:rFonts w:asciiTheme="minorHAnsi" w:eastAsiaTheme="minorEastAsia" w:hAnsiTheme="minorHAnsi" w:cstheme="minorBidi"/>
          <w:szCs w:val="22"/>
        </w:rPr>
      </w:pPr>
      <w:r>
        <w:t>42.</w:t>
      </w:r>
      <w:r>
        <w:tab/>
        <w:t>Result of appeal to be given to other court</w:t>
      </w:r>
      <w:r>
        <w:tab/>
      </w:r>
      <w:r>
        <w:fldChar w:fldCharType="begin"/>
      </w:r>
      <w:r>
        <w:instrText xml:space="preserve"> PAGEREF _Toc132288224 \h </w:instrText>
      </w:r>
      <w:r>
        <w:fldChar w:fldCharType="separate"/>
      </w:r>
      <w:r>
        <w:t>40</w:t>
      </w:r>
      <w:r>
        <w:fldChar w:fldCharType="end"/>
      </w:r>
    </w:p>
    <w:p>
      <w:pPr>
        <w:pStyle w:val="TOC8"/>
        <w:rPr>
          <w:rFonts w:asciiTheme="minorHAnsi" w:eastAsiaTheme="minorEastAsia" w:hAnsiTheme="minorHAnsi" w:cstheme="minorBidi"/>
          <w:szCs w:val="22"/>
        </w:rPr>
      </w:pPr>
      <w:r>
        <w:t>43.</w:t>
      </w:r>
      <w:r>
        <w:tab/>
        <w:t>Party in custody, entitlement to be present at appeal</w:t>
      </w:r>
      <w:r>
        <w:tab/>
      </w:r>
      <w:r>
        <w:fldChar w:fldCharType="begin"/>
      </w:r>
      <w:r>
        <w:instrText xml:space="preserve"> PAGEREF _Toc132288225 \h </w:instrText>
      </w:r>
      <w:r>
        <w:fldChar w:fldCharType="separate"/>
      </w:r>
      <w:r>
        <w:t>40</w:t>
      </w:r>
      <w:r>
        <w:fldChar w:fldCharType="end"/>
      </w:r>
    </w:p>
    <w:p>
      <w:pPr>
        <w:pStyle w:val="TOC8"/>
        <w:rPr>
          <w:rFonts w:asciiTheme="minorHAnsi" w:eastAsiaTheme="minorEastAsia" w:hAnsiTheme="minorHAnsi" w:cstheme="minorBidi"/>
          <w:szCs w:val="22"/>
        </w:rPr>
      </w:pPr>
      <w:r>
        <w:t>44.</w:t>
      </w:r>
      <w:r>
        <w:tab/>
        <w:t>Appellant in custody, treatment of</w:t>
      </w:r>
      <w:r>
        <w:tab/>
      </w:r>
      <w:r>
        <w:fldChar w:fldCharType="begin"/>
      </w:r>
      <w:r>
        <w:instrText xml:space="preserve"> PAGEREF _Toc132288226 \h </w:instrText>
      </w:r>
      <w:r>
        <w:fldChar w:fldCharType="separate"/>
      </w:r>
      <w:r>
        <w:t>41</w:t>
      </w:r>
      <w:r>
        <w:fldChar w:fldCharType="end"/>
      </w:r>
    </w:p>
    <w:p>
      <w:pPr>
        <w:pStyle w:val="TOC8"/>
        <w:rPr>
          <w:rFonts w:asciiTheme="minorHAnsi" w:eastAsiaTheme="minorEastAsia" w:hAnsiTheme="minorHAnsi" w:cstheme="minorBidi"/>
          <w:szCs w:val="22"/>
        </w:rPr>
      </w:pPr>
      <w:r>
        <w:t>45.</w:t>
      </w:r>
      <w:r>
        <w:tab/>
        <w:t>Exhibits</w:t>
      </w:r>
      <w:r>
        <w:tab/>
      </w:r>
      <w:r>
        <w:fldChar w:fldCharType="begin"/>
      </w:r>
      <w:r>
        <w:instrText xml:space="preserve"> PAGEREF _Toc132288227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5A — Prosecuting acquitted accused</w:t>
      </w:r>
    </w:p>
    <w:p>
      <w:pPr>
        <w:pStyle w:val="TOC8"/>
        <w:rPr>
          <w:rFonts w:asciiTheme="minorHAnsi" w:eastAsiaTheme="minorEastAsia" w:hAnsiTheme="minorHAnsi" w:cstheme="minorBidi"/>
          <w:szCs w:val="22"/>
        </w:rPr>
      </w:pPr>
      <w:r>
        <w:t>46A.</w:t>
      </w:r>
      <w:r>
        <w:tab/>
        <w:t>Terms used</w:t>
      </w:r>
      <w:r>
        <w:tab/>
      </w:r>
      <w:r>
        <w:fldChar w:fldCharType="begin"/>
      </w:r>
      <w:r>
        <w:instrText xml:space="preserve"> PAGEREF _Toc132288229 \h </w:instrText>
      </w:r>
      <w:r>
        <w:fldChar w:fldCharType="separate"/>
      </w:r>
      <w:r>
        <w:t>43</w:t>
      </w:r>
      <w:r>
        <w:fldChar w:fldCharType="end"/>
      </w:r>
    </w:p>
    <w:p>
      <w:pPr>
        <w:pStyle w:val="TOC8"/>
        <w:rPr>
          <w:rFonts w:asciiTheme="minorHAnsi" w:eastAsiaTheme="minorEastAsia" w:hAnsiTheme="minorHAnsi" w:cstheme="minorBidi"/>
          <w:szCs w:val="22"/>
        </w:rPr>
      </w:pPr>
      <w:r>
        <w:t>46B.</w:t>
      </w:r>
      <w:r>
        <w:tab/>
        <w:t>Term used: acquitted accused</w:t>
      </w:r>
      <w:r>
        <w:tab/>
      </w:r>
      <w:r>
        <w:fldChar w:fldCharType="begin"/>
      </w:r>
      <w:r>
        <w:instrText xml:space="preserve"> PAGEREF _Toc132288230 \h </w:instrText>
      </w:r>
      <w:r>
        <w:fldChar w:fldCharType="separate"/>
      </w:r>
      <w:r>
        <w:t>45</w:t>
      </w:r>
      <w:r>
        <w:fldChar w:fldCharType="end"/>
      </w:r>
    </w:p>
    <w:p>
      <w:pPr>
        <w:pStyle w:val="TOC8"/>
        <w:rPr>
          <w:rFonts w:asciiTheme="minorHAnsi" w:eastAsiaTheme="minorEastAsia" w:hAnsiTheme="minorHAnsi" w:cstheme="minorBidi"/>
          <w:szCs w:val="22"/>
        </w:rPr>
      </w:pPr>
      <w:r>
        <w:t>46C.</w:t>
      </w:r>
      <w:r>
        <w:tab/>
        <w:t>Criminal investigations of acquitted accused that need authorised officer’s authority</w:t>
      </w:r>
      <w:r>
        <w:tab/>
      </w:r>
      <w:r>
        <w:fldChar w:fldCharType="begin"/>
      </w:r>
      <w:r>
        <w:instrText xml:space="preserve"> PAGEREF _Toc132288231 \h </w:instrText>
      </w:r>
      <w:r>
        <w:fldChar w:fldCharType="separate"/>
      </w:r>
      <w:r>
        <w:t>45</w:t>
      </w:r>
      <w:r>
        <w:fldChar w:fldCharType="end"/>
      </w:r>
    </w:p>
    <w:p>
      <w:pPr>
        <w:pStyle w:val="TOC8"/>
        <w:rPr>
          <w:rFonts w:asciiTheme="minorHAnsi" w:eastAsiaTheme="minorEastAsia" w:hAnsiTheme="minorHAnsi" w:cstheme="minorBidi"/>
          <w:szCs w:val="22"/>
        </w:rPr>
      </w:pPr>
      <w:r>
        <w:t>46D.</w:t>
      </w:r>
      <w:r>
        <w:tab/>
        <w:t>Charges against acquitted accused that need leave</w:t>
      </w:r>
      <w:r>
        <w:tab/>
      </w:r>
      <w:r>
        <w:fldChar w:fldCharType="begin"/>
      </w:r>
      <w:r>
        <w:instrText xml:space="preserve"> PAGEREF _Toc132288232 \h </w:instrText>
      </w:r>
      <w:r>
        <w:fldChar w:fldCharType="separate"/>
      </w:r>
      <w:r>
        <w:t>47</w:t>
      </w:r>
      <w:r>
        <w:fldChar w:fldCharType="end"/>
      </w:r>
    </w:p>
    <w:p>
      <w:pPr>
        <w:pStyle w:val="TOC8"/>
        <w:rPr>
          <w:rFonts w:asciiTheme="minorHAnsi" w:eastAsiaTheme="minorEastAsia" w:hAnsiTheme="minorHAnsi" w:cstheme="minorBidi"/>
          <w:szCs w:val="22"/>
        </w:rPr>
      </w:pPr>
      <w:r>
        <w:lastRenderedPageBreak/>
        <w:t>46E.</w:t>
      </w:r>
      <w:r>
        <w:tab/>
        <w:t>Applying for leave for new charge</w:t>
      </w:r>
      <w:r>
        <w:tab/>
      </w:r>
      <w:r>
        <w:fldChar w:fldCharType="begin"/>
      </w:r>
      <w:r>
        <w:instrText xml:space="preserve"> PAGEREF _Toc132288233 \h </w:instrText>
      </w:r>
      <w:r>
        <w:fldChar w:fldCharType="separate"/>
      </w:r>
      <w:r>
        <w:t>48</w:t>
      </w:r>
      <w:r>
        <w:fldChar w:fldCharType="end"/>
      </w:r>
    </w:p>
    <w:p>
      <w:pPr>
        <w:pStyle w:val="TOC8"/>
        <w:rPr>
          <w:rFonts w:asciiTheme="minorHAnsi" w:eastAsiaTheme="minorEastAsia" w:hAnsiTheme="minorHAnsi" w:cstheme="minorBidi"/>
          <w:szCs w:val="22"/>
        </w:rPr>
      </w:pPr>
      <w:r>
        <w:t>46F.</w:t>
      </w:r>
      <w:r>
        <w:tab/>
        <w:t>Procedure on leave applications</w:t>
      </w:r>
      <w:r>
        <w:tab/>
      </w:r>
      <w:r>
        <w:fldChar w:fldCharType="begin"/>
      </w:r>
      <w:r>
        <w:instrText xml:space="preserve"> PAGEREF _Toc132288234 \h </w:instrText>
      </w:r>
      <w:r>
        <w:fldChar w:fldCharType="separate"/>
      </w:r>
      <w:r>
        <w:t>49</w:t>
      </w:r>
      <w:r>
        <w:fldChar w:fldCharType="end"/>
      </w:r>
    </w:p>
    <w:p>
      <w:pPr>
        <w:pStyle w:val="TOC8"/>
        <w:rPr>
          <w:rFonts w:asciiTheme="minorHAnsi" w:eastAsiaTheme="minorEastAsia" w:hAnsiTheme="minorHAnsi" w:cstheme="minorBidi"/>
          <w:szCs w:val="22"/>
        </w:rPr>
      </w:pPr>
      <w:r>
        <w:t>46G.</w:t>
      </w:r>
      <w:r>
        <w:tab/>
        <w:t>Hearing leave applications</w:t>
      </w:r>
      <w:r>
        <w:tab/>
      </w:r>
      <w:r>
        <w:fldChar w:fldCharType="begin"/>
      </w:r>
      <w:r>
        <w:instrText xml:space="preserve"> PAGEREF _Toc132288235 \h </w:instrText>
      </w:r>
      <w:r>
        <w:fldChar w:fldCharType="separate"/>
      </w:r>
      <w:r>
        <w:t>49</w:t>
      </w:r>
      <w:r>
        <w:fldChar w:fldCharType="end"/>
      </w:r>
    </w:p>
    <w:p>
      <w:pPr>
        <w:pStyle w:val="TOC8"/>
        <w:rPr>
          <w:rFonts w:asciiTheme="minorHAnsi" w:eastAsiaTheme="minorEastAsia" w:hAnsiTheme="minorHAnsi" w:cstheme="minorBidi"/>
          <w:szCs w:val="22"/>
        </w:rPr>
      </w:pPr>
      <w:r>
        <w:t>46H.</w:t>
      </w:r>
      <w:r>
        <w:tab/>
        <w:t>Deciding leave applications</w:t>
      </w:r>
      <w:r>
        <w:tab/>
      </w:r>
      <w:r>
        <w:fldChar w:fldCharType="begin"/>
      </w:r>
      <w:r>
        <w:instrText xml:space="preserve"> PAGEREF _Toc132288236 \h </w:instrText>
      </w:r>
      <w:r>
        <w:fldChar w:fldCharType="separate"/>
      </w:r>
      <w:r>
        <w:t>50</w:t>
      </w:r>
      <w:r>
        <w:fldChar w:fldCharType="end"/>
      </w:r>
    </w:p>
    <w:p>
      <w:pPr>
        <w:pStyle w:val="TOC8"/>
        <w:rPr>
          <w:rFonts w:asciiTheme="minorHAnsi" w:eastAsiaTheme="minorEastAsia" w:hAnsiTheme="minorHAnsi" w:cstheme="minorBidi"/>
          <w:szCs w:val="22"/>
        </w:rPr>
      </w:pPr>
      <w:r>
        <w:t>46I.</w:t>
      </w:r>
      <w:r>
        <w:tab/>
        <w:t>Meaning of fresh and compelling evidence</w:t>
      </w:r>
      <w:r>
        <w:tab/>
      </w:r>
      <w:r>
        <w:fldChar w:fldCharType="begin"/>
      </w:r>
      <w:r>
        <w:instrText xml:space="preserve"> PAGEREF _Toc132288237 \h </w:instrText>
      </w:r>
      <w:r>
        <w:fldChar w:fldCharType="separate"/>
      </w:r>
      <w:r>
        <w:t>52</w:t>
      </w:r>
      <w:r>
        <w:fldChar w:fldCharType="end"/>
      </w:r>
    </w:p>
    <w:p>
      <w:pPr>
        <w:pStyle w:val="TOC8"/>
        <w:rPr>
          <w:rFonts w:asciiTheme="minorHAnsi" w:eastAsiaTheme="minorEastAsia" w:hAnsiTheme="minorHAnsi" w:cstheme="minorBidi"/>
          <w:szCs w:val="22"/>
        </w:rPr>
      </w:pPr>
      <w:r>
        <w:t>46J.</w:t>
      </w:r>
      <w:r>
        <w:tab/>
        <w:t>Meaning of tainted acquittal</w:t>
      </w:r>
      <w:r>
        <w:tab/>
      </w:r>
      <w:r>
        <w:fldChar w:fldCharType="begin"/>
      </w:r>
      <w:r>
        <w:instrText xml:space="preserve"> PAGEREF _Toc132288238 \h </w:instrText>
      </w:r>
      <w:r>
        <w:fldChar w:fldCharType="separate"/>
      </w:r>
      <w:r>
        <w:t>52</w:t>
      </w:r>
      <w:r>
        <w:fldChar w:fldCharType="end"/>
      </w:r>
    </w:p>
    <w:p>
      <w:pPr>
        <w:pStyle w:val="TOC8"/>
        <w:rPr>
          <w:rFonts w:asciiTheme="minorHAnsi" w:eastAsiaTheme="minorEastAsia" w:hAnsiTheme="minorHAnsi" w:cstheme="minorBidi"/>
          <w:szCs w:val="22"/>
        </w:rPr>
      </w:pPr>
      <w:r>
        <w:t>46K.</w:t>
      </w:r>
      <w:r>
        <w:tab/>
        <w:t>Interests of justice, matters to be considered</w:t>
      </w:r>
      <w:r>
        <w:tab/>
      </w:r>
      <w:r>
        <w:fldChar w:fldCharType="begin"/>
      </w:r>
      <w:r>
        <w:instrText xml:space="preserve"> PAGEREF _Toc132288239 \h </w:instrText>
      </w:r>
      <w:r>
        <w:fldChar w:fldCharType="separate"/>
      </w:r>
      <w:r>
        <w:t>53</w:t>
      </w:r>
      <w:r>
        <w:fldChar w:fldCharType="end"/>
      </w:r>
    </w:p>
    <w:p>
      <w:pPr>
        <w:pStyle w:val="TOC8"/>
        <w:rPr>
          <w:rFonts w:asciiTheme="minorHAnsi" w:eastAsiaTheme="minorEastAsia" w:hAnsiTheme="minorHAnsi" w:cstheme="minorBidi"/>
          <w:szCs w:val="22"/>
        </w:rPr>
      </w:pPr>
      <w:r>
        <w:t>46L.</w:t>
      </w:r>
      <w:r>
        <w:tab/>
        <w:t>Restrictions on publicity</w:t>
      </w:r>
      <w:r>
        <w:tab/>
      </w:r>
      <w:r>
        <w:fldChar w:fldCharType="begin"/>
      </w:r>
      <w:r>
        <w:instrText xml:space="preserve"> PAGEREF _Toc132288240 \h </w:instrText>
      </w:r>
      <w:r>
        <w:fldChar w:fldCharType="separate"/>
      </w:r>
      <w:r>
        <w:t>53</w:t>
      </w:r>
      <w:r>
        <w:fldChar w:fldCharType="end"/>
      </w:r>
    </w:p>
    <w:p>
      <w:pPr>
        <w:pStyle w:val="TOC8"/>
        <w:rPr>
          <w:rFonts w:asciiTheme="minorHAnsi" w:eastAsiaTheme="minorEastAsia" w:hAnsiTheme="minorHAnsi" w:cstheme="minorBidi"/>
          <w:szCs w:val="22"/>
        </w:rPr>
      </w:pPr>
      <w:r>
        <w:t>46M.</w:t>
      </w:r>
      <w:r>
        <w:tab/>
        <w:t>Leave for new charge, effect of</w:t>
      </w:r>
      <w:r>
        <w:tab/>
      </w:r>
      <w:r>
        <w:fldChar w:fldCharType="begin"/>
      </w:r>
      <w:r>
        <w:instrText xml:space="preserve"> PAGEREF _Toc132288241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Referrals of questions of law to the Court of Appeal</w:t>
      </w:r>
    </w:p>
    <w:p>
      <w:pPr>
        <w:pStyle w:val="TOC8"/>
        <w:rPr>
          <w:rFonts w:asciiTheme="minorHAnsi" w:eastAsiaTheme="minorEastAsia" w:hAnsiTheme="minorHAnsi" w:cstheme="minorBidi"/>
          <w:szCs w:val="22"/>
        </w:rPr>
      </w:pPr>
      <w:r>
        <w:t>46.</w:t>
      </w:r>
      <w:r>
        <w:tab/>
        <w:t>Referrals by superior courts</w:t>
      </w:r>
      <w:r>
        <w:tab/>
      </w:r>
      <w:r>
        <w:fldChar w:fldCharType="begin"/>
      </w:r>
      <w:r>
        <w:instrText xml:space="preserve"> PAGEREF _Toc132288243 \h </w:instrText>
      </w:r>
      <w:r>
        <w:fldChar w:fldCharType="separate"/>
      </w:r>
      <w:r>
        <w:t>58</w:t>
      </w:r>
      <w:r>
        <w:fldChar w:fldCharType="end"/>
      </w:r>
    </w:p>
    <w:p>
      <w:pPr>
        <w:pStyle w:val="TOC8"/>
        <w:rPr>
          <w:rFonts w:asciiTheme="minorHAnsi" w:eastAsiaTheme="minorEastAsia" w:hAnsiTheme="minorHAnsi" w:cstheme="minorBidi"/>
          <w:szCs w:val="22"/>
        </w:rPr>
      </w:pPr>
      <w:r>
        <w:t>47.</w:t>
      </w:r>
      <w:r>
        <w:tab/>
        <w:t>Referrals by Attorney General</w:t>
      </w:r>
      <w:r>
        <w:tab/>
      </w:r>
      <w:r>
        <w:fldChar w:fldCharType="begin"/>
      </w:r>
      <w:r>
        <w:instrText xml:space="preserve"> PAGEREF _Toc132288244 \h </w:instrText>
      </w:r>
      <w:r>
        <w:fldChar w:fldCharType="separate"/>
      </w:r>
      <w:r>
        <w:t>58</w:t>
      </w:r>
      <w:r>
        <w:fldChar w:fldCharType="end"/>
      </w:r>
    </w:p>
    <w:p>
      <w:pPr>
        <w:pStyle w:val="TOC8"/>
        <w:rPr>
          <w:rFonts w:asciiTheme="minorHAnsi" w:eastAsiaTheme="minorEastAsia" w:hAnsiTheme="minorHAnsi" w:cstheme="minorBidi"/>
          <w:szCs w:val="22"/>
        </w:rPr>
      </w:pPr>
      <w:r>
        <w:t>48.</w:t>
      </w:r>
      <w:r>
        <w:tab/>
        <w:t>Referrals, general provisions about</w:t>
      </w:r>
      <w:r>
        <w:tab/>
      </w:r>
      <w:r>
        <w:fldChar w:fldCharType="begin"/>
      </w:r>
      <w:r>
        <w:instrText xml:space="preserve"> PAGEREF _Toc132288245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49.</w:t>
      </w:r>
      <w:r>
        <w:tab/>
        <w:t>Sentence may be varied etc. in specific cases</w:t>
      </w:r>
      <w:r>
        <w:tab/>
      </w:r>
      <w:r>
        <w:fldChar w:fldCharType="begin"/>
      </w:r>
      <w:r>
        <w:instrText xml:space="preserve"> PAGEREF _Toc132288247 \h </w:instrText>
      </w:r>
      <w:r>
        <w:fldChar w:fldCharType="separate"/>
      </w:r>
      <w:r>
        <w:t>61</w:t>
      </w:r>
      <w:r>
        <w:fldChar w:fldCharType="end"/>
      </w:r>
    </w:p>
    <w:p>
      <w:pPr>
        <w:pStyle w:val="TOC8"/>
        <w:rPr>
          <w:rFonts w:asciiTheme="minorHAnsi" w:eastAsiaTheme="minorEastAsia" w:hAnsiTheme="minorHAnsi" w:cstheme="minorBidi"/>
          <w:szCs w:val="22"/>
        </w:rPr>
      </w:pPr>
      <w:r>
        <w:t>50.</w:t>
      </w:r>
      <w:r>
        <w:tab/>
        <w:t>Rules of court</w:t>
      </w:r>
      <w:r>
        <w:tab/>
      </w:r>
      <w:r>
        <w:fldChar w:fldCharType="begin"/>
      </w:r>
      <w:r>
        <w:instrText xml:space="preserve"> PAGEREF _Toc132288248 \h </w:instrText>
      </w:r>
      <w:r>
        <w:fldChar w:fldCharType="separate"/>
      </w:r>
      <w:r>
        <w:t>61</w:t>
      </w:r>
      <w:r>
        <w:fldChar w:fldCharType="end"/>
      </w:r>
    </w:p>
    <w:p>
      <w:pPr>
        <w:pStyle w:val="TOC8"/>
        <w:rPr>
          <w:rFonts w:asciiTheme="minorHAnsi" w:eastAsiaTheme="minorEastAsia" w:hAnsiTheme="minorHAnsi" w:cstheme="minorBidi"/>
          <w:szCs w:val="22"/>
        </w:rPr>
      </w:pPr>
      <w:r>
        <w:t>51.</w:t>
      </w:r>
      <w:r>
        <w:tab/>
        <w:t>Certain amendments to be reviewed</w:t>
      </w:r>
      <w:r>
        <w:tab/>
      </w:r>
      <w:r>
        <w:fldChar w:fldCharType="begin"/>
      </w:r>
      <w:r>
        <w:instrText xml:space="preserve"> PAGEREF _Toc132288249 \h </w:instrText>
      </w:r>
      <w:r>
        <w:fldChar w:fldCharType="separate"/>
      </w:r>
      <w:r>
        <w:t>62</w:t>
      </w:r>
      <w:r>
        <w:fldChar w:fldCharType="end"/>
      </w:r>
    </w:p>
    <w:p>
      <w:pPr>
        <w:pStyle w:val="TOC8"/>
        <w:rPr>
          <w:rFonts w:asciiTheme="minorHAnsi" w:eastAsiaTheme="minorEastAsia" w:hAnsiTheme="minorHAnsi" w:cstheme="minorBidi"/>
          <w:szCs w:val="22"/>
        </w:rPr>
      </w:pPr>
      <w:r>
        <w:t>52.</w:t>
      </w:r>
      <w:r>
        <w:tab/>
        <w:t>Double jeopardy amendments to be reviewed</w:t>
      </w:r>
      <w:r>
        <w:tab/>
      </w:r>
      <w:r>
        <w:fldChar w:fldCharType="begin"/>
      </w:r>
      <w:r>
        <w:instrText xml:space="preserve"> PAGEREF _Toc132288250 \h </w:instrText>
      </w:r>
      <w:r>
        <w:fldChar w:fldCharType="separate"/>
      </w:r>
      <w:r>
        <w:t>63</w:t>
      </w:r>
      <w:r>
        <w:fldChar w:fldCharType="end"/>
      </w:r>
    </w:p>
    <w:p>
      <w:pPr>
        <w:pStyle w:val="TOC8"/>
        <w:rPr>
          <w:rFonts w:asciiTheme="minorHAnsi" w:eastAsiaTheme="minorEastAsia" w:hAnsiTheme="minorHAnsi" w:cstheme="minorBidi"/>
          <w:szCs w:val="22"/>
        </w:rPr>
      </w:pPr>
      <w:r>
        <w:t>53.</w:t>
      </w:r>
      <w:r>
        <w:tab/>
        <w:t xml:space="preserve">Review of amendments made by </w:t>
      </w:r>
      <w:r>
        <w:rPr>
          <w:i/>
        </w:rPr>
        <w:t>Criminal Appeals Amendment Act 2022</w:t>
      </w:r>
      <w:r>
        <w:tab/>
      </w:r>
      <w:r>
        <w:fldChar w:fldCharType="begin"/>
      </w:r>
      <w:r>
        <w:instrText xml:space="preserve"> PAGEREF _Toc132288251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_Toc132288253 \h </w:instrText>
      </w:r>
      <w:r>
        <w:fldChar w:fldCharType="separate"/>
      </w:r>
      <w:r>
        <w:t>64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_Toc132288254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400" w:after="920"/>
      </w:pPr>
      <w:r>
        <w:t>Criminal Appeals Act 2004</w:t>
      </w:r>
    </w:p>
    <w:p>
      <w:pPr>
        <w:pStyle w:val="LongTitle"/>
        <w:suppressLineNumbers/>
        <w:rPr>
          <w:snapToGrid w:val="0"/>
        </w:rPr>
      </w:pPr>
      <w:bookmarkStart w:id="3" w:name="BillCited"/>
      <w:bookmarkEnd w:id="3"/>
      <w:r>
        <w:rPr>
          <w:snapToGrid w:val="0"/>
        </w:rPr>
        <w:t>An Act about appeals in criminal cases and about related matters.</w:t>
      </w:r>
    </w:p>
    <w:p>
      <w:pPr>
        <w:pStyle w:val="Heading2"/>
      </w:pPr>
      <w:bookmarkStart w:id="4" w:name="_Toc132187697"/>
      <w:bookmarkStart w:id="5" w:name="_Toc132187797"/>
      <w:bookmarkStart w:id="6" w:name="_Toc13228815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rPr>
          <w:snapToGrid w:val="0"/>
        </w:rPr>
      </w:pPr>
      <w:bookmarkStart w:id="7" w:name="_Toc132288156"/>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iCs/>
          <w:snapToGrid w:val="0"/>
          <w:vertAlign w:val="superscript"/>
        </w:rPr>
        <w:t> 1</w:t>
      </w:r>
      <w:r>
        <w:rPr>
          <w:snapToGrid w:val="0"/>
        </w:rPr>
        <w:t>.</w:t>
      </w:r>
    </w:p>
    <w:p>
      <w:pPr>
        <w:pStyle w:val="Heading5"/>
      </w:pPr>
      <w:bookmarkStart w:id="8" w:name="_Toc132288157"/>
      <w:r>
        <w:rPr>
          <w:rStyle w:val="CharSectno"/>
        </w:rPr>
        <w:t>2</w:t>
      </w:r>
      <w:r>
        <w:t>.</w:t>
      </w:r>
      <w:r>
        <w:tab/>
        <w:t>Commencement</w:t>
      </w:r>
      <w:bookmarkEnd w:id="8"/>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9" w:name="_Toc132288158"/>
      <w:r>
        <w:rPr>
          <w:rStyle w:val="CharSectno"/>
        </w:rPr>
        <w:t>3</w:t>
      </w:r>
      <w:r>
        <w:t>.</w:t>
      </w:r>
      <w:r>
        <w:tab/>
        <w:t xml:space="preserve">This Act to be read with </w:t>
      </w:r>
      <w:r>
        <w:rPr>
          <w:i/>
        </w:rPr>
        <w:t>Criminal Procedure Act 2004</w:t>
      </w:r>
      <w:bookmarkEnd w:id="9"/>
    </w:p>
    <w:p>
      <w:pPr>
        <w:pStyle w:val="Subsection"/>
        <w:rPr>
          <w:i/>
        </w:rPr>
      </w:pPr>
      <w:r>
        <w:tab/>
      </w:r>
      <w:r>
        <w:tab/>
        <w:t xml:space="preserve">This Act is to be read with the </w:t>
      </w:r>
      <w:r>
        <w:rPr>
          <w:i/>
        </w:rPr>
        <w:t>Criminal Procedure Act 2004.</w:t>
      </w:r>
    </w:p>
    <w:p>
      <w:pPr>
        <w:pStyle w:val="Heading5"/>
      </w:pPr>
      <w:bookmarkStart w:id="10" w:name="_Toc132288159"/>
      <w:r>
        <w:rPr>
          <w:rStyle w:val="CharSectno"/>
        </w:rPr>
        <w:t>4A</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41.]</w:t>
      </w:r>
    </w:p>
    <w:p>
      <w:pPr>
        <w:pStyle w:val="Heading5"/>
      </w:pPr>
      <w:bookmarkStart w:id="11" w:name="_Toc132288160"/>
      <w:r>
        <w:rPr>
          <w:rStyle w:val="CharSectno"/>
        </w:rPr>
        <w:t>4</w:t>
      </w:r>
      <w:r>
        <w:t>.</w:t>
      </w:r>
      <w:r>
        <w:tab/>
        <w:t>Terms used</w:t>
      </w:r>
      <w:bookmarkEnd w:id="11"/>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r>
        <w:rPr>
          <w:rStyle w:val="CharDefText"/>
        </w:rPr>
        <w:t>appeal</w:t>
      </w:r>
      <w:r>
        <w:t xml:space="preserve"> means an appeal under this Act or an application for leave to appeal under this Act;</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Court of Appeal Registrar</w:t>
      </w:r>
      <w:r>
        <w:t xml:space="preserve"> has the meaning given by the </w:t>
      </w:r>
      <w:r>
        <w:rPr>
          <w:i/>
        </w:rPr>
        <w:t>Supreme Court Act 1935</w:t>
      </w:r>
      <w:r>
        <w:t>;</w:t>
      </w:r>
    </w:p>
    <w:p>
      <w:pPr>
        <w:pStyle w:val="Defstart"/>
      </w:pPr>
      <w:r>
        <w:rPr>
          <w:b/>
        </w:rPr>
        <w:lastRenderedPageBreak/>
        <w:tab/>
      </w:r>
      <w:r>
        <w:rPr>
          <w:rStyle w:val="CharDefText"/>
        </w:rPr>
        <w:t>court of summary jurisdiction</w:t>
      </w:r>
      <w:r>
        <w:t xml:space="preserve"> means a court, or a person, that is acting in circumstances in which it is a court of summary jurisdiction by virtue of another written law;</w:t>
      </w:r>
    </w:p>
    <w:p>
      <w:pPr>
        <w:pStyle w:val="Defstart"/>
      </w:pPr>
      <w:r>
        <w:rPr>
          <w:b/>
        </w:rPr>
        <w:tab/>
      </w:r>
      <w:r>
        <w:rPr>
          <w:rStyle w:val="CharDefText"/>
        </w:rPr>
        <w:t>rules of court</w:t>
      </w:r>
      <w:r>
        <w:t xml:space="preserve"> means rules of court made by the Supreme Court;</w:t>
      </w:r>
    </w:p>
    <w:p>
      <w:pPr>
        <w:pStyle w:val="Defstart"/>
      </w:pPr>
      <w:r>
        <w:rPr>
          <w:b/>
        </w:rPr>
        <w:tab/>
      </w:r>
      <w:r>
        <w:rPr>
          <w:rStyle w:val="CharDefText"/>
        </w:rPr>
        <w:t>superior court</w:t>
      </w:r>
      <w:r>
        <w:t xml:space="preserve"> means the Supreme Court or the District Court but not the Court of Appeal;</w:t>
      </w:r>
    </w:p>
    <w:p>
      <w:pPr>
        <w:pStyle w:val="Defstart"/>
      </w:pPr>
      <w:r>
        <w:rPr>
          <w:b/>
        </w:rPr>
        <w:tab/>
      </w:r>
      <w:r>
        <w:rPr>
          <w:rStyle w:val="CharDefText"/>
        </w:rPr>
        <w:t>Supreme Court</w:t>
      </w:r>
      <w:r>
        <w:t xml:space="preserve"> does not include the Court of Appeal.</w:t>
      </w:r>
    </w:p>
    <w:p>
      <w:pPr>
        <w:pStyle w:val="Heading5"/>
      </w:pPr>
      <w:bookmarkStart w:id="12" w:name="_Toc132288161"/>
      <w:r>
        <w:rPr>
          <w:rStyle w:val="CharSectno"/>
        </w:rPr>
        <w:t>5</w:t>
      </w:r>
      <w:r>
        <w:t>.</w:t>
      </w:r>
      <w:r>
        <w:tab/>
        <w:t>Appeal against sentence of superior court after conviction by lower court, commencement of</w:t>
      </w:r>
      <w:bookmarkEnd w:id="12"/>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3" w:name="_Toc132187704"/>
      <w:bookmarkStart w:id="14" w:name="_Toc132187804"/>
      <w:bookmarkStart w:id="15" w:name="_Toc132288162"/>
      <w:r>
        <w:rPr>
          <w:rStyle w:val="CharPartNo"/>
        </w:rPr>
        <w:lastRenderedPageBreak/>
        <w:t>Part 2</w:t>
      </w:r>
      <w:r>
        <w:t> — </w:t>
      </w:r>
      <w:r>
        <w:rPr>
          <w:rStyle w:val="CharPartText"/>
        </w:rPr>
        <w:t>Appeals from courts of summary jurisdiction</w:t>
      </w:r>
      <w:bookmarkEnd w:id="13"/>
      <w:bookmarkEnd w:id="14"/>
      <w:bookmarkEnd w:id="15"/>
    </w:p>
    <w:p>
      <w:pPr>
        <w:pStyle w:val="Heading3"/>
      </w:pPr>
      <w:bookmarkStart w:id="16" w:name="_Toc132187705"/>
      <w:bookmarkStart w:id="17" w:name="_Toc132187805"/>
      <w:bookmarkStart w:id="18" w:name="_Toc132288163"/>
      <w:r>
        <w:rPr>
          <w:rStyle w:val="CharDivNo"/>
        </w:rPr>
        <w:t>Division 1</w:t>
      </w:r>
      <w:r>
        <w:t> — </w:t>
      </w:r>
      <w:r>
        <w:rPr>
          <w:rStyle w:val="CharDivText"/>
        </w:rPr>
        <w:t>Preliminary</w:t>
      </w:r>
      <w:bookmarkEnd w:id="16"/>
      <w:bookmarkEnd w:id="17"/>
      <w:bookmarkEnd w:id="18"/>
    </w:p>
    <w:p>
      <w:pPr>
        <w:pStyle w:val="Heading5"/>
      </w:pPr>
      <w:bookmarkStart w:id="19" w:name="_Toc132288164"/>
      <w:r>
        <w:rPr>
          <w:rStyle w:val="CharSectno"/>
        </w:rPr>
        <w:t>6</w:t>
      </w:r>
      <w:r>
        <w:t>.</w:t>
      </w:r>
      <w:r>
        <w:tab/>
        <w:t>Terms used</w:t>
      </w:r>
      <w:bookmarkEnd w:id="19"/>
    </w:p>
    <w:p>
      <w:pPr>
        <w:pStyle w:val="Subsection"/>
      </w:pPr>
      <w:r>
        <w:tab/>
      </w:r>
      <w:r>
        <w:tab/>
        <w:t xml:space="preserve">In this Part, unless the contrary intention appears — </w:t>
      </w:r>
    </w:p>
    <w:p>
      <w:pPr>
        <w:pStyle w:val="Defstart"/>
      </w:pPr>
      <w:r>
        <w:rPr>
          <w:b/>
        </w:rPr>
        <w:tab/>
      </w:r>
      <w:r>
        <w:rPr>
          <w:rStyle w:val="CharDefText"/>
        </w:rPr>
        <w:t>decision</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r>
        <w:rPr>
          <w:rStyle w:val="CharDefText"/>
        </w:rPr>
        <w:t>Supreme Court</w:t>
      </w:r>
      <w:r>
        <w:t xml:space="preserve"> means the Supreme Court constituted by a single judge sitting in its General Division.</w:t>
      </w:r>
    </w:p>
    <w:p>
      <w:pPr>
        <w:pStyle w:val="Footnotesection"/>
      </w:pPr>
      <w:r>
        <w:tab/>
        <w:t>[Section 6 amended: No. 59 of 2006 s. 73.]</w:t>
      </w:r>
    </w:p>
    <w:p>
      <w:pPr>
        <w:pStyle w:val="Heading3"/>
      </w:pPr>
      <w:bookmarkStart w:id="20" w:name="_Toc132187707"/>
      <w:bookmarkStart w:id="21" w:name="_Toc132187807"/>
      <w:bookmarkStart w:id="22" w:name="_Toc132288165"/>
      <w:r>
        <w:rPr>
          <w:rStyle w:val="CharDivNo"/>
        </w:rPr>
        <w:lastRenderedPageBreak/>
        <w:t>Division 2</w:t>
      </w:r>
      <w:r>
        <w:t> — </w:t>
      </w:r>
      <w:r>
        <w:rPr>
          <w:rStyle w:val="CharDivText"/>
        </w:rPr>
        <w:t>Appeals to a single judge</w:t>
      </w:r>
      <w:bookmarkEnd w:id="20"/>
      <w:bookmarkEnd w:id="21"/>
      <w:bookmarkEnd w:id="22"/>
    </w:p>
    <w:p>
      <w:pPr>
        <w:pStyle w:val="Heading5"/>
      </w:pPr>
      <w:bookmarkStart w:id="23" w:name="_Toc132288166"/>
      <w:r>
        <w:rPr>
          <w:rStyle w:val="CharSectno"/>
        </w:rPr>
        <w:t>7</w:t>
      </w:r>
      <w:r>
        <w:t>.</w:t>
      </w:r>
      <w:r>
        <w:tab/>
        <w:t>Right of appeal</w:t>
      </w:r>
      <w:bookmarkEnd w:id="23"/>
    </w:p>
    <w:p>
      <w:pPr>
        <w:pStyle w:val="Subsection"/>
      </w:pPr>
      <w:r>
        <w:tab/>
        <w:t>(1)</w:t>
      </w:r>
      <w:r>
        <w:tab/>
        <w:t>A person who is aggrieved by a decision of a court of summary jurisdiction may appeal to the Supreme Court against the decision.</w:t>
      </w:r>
    </w:p>
    <w:p>
      <w:pPr>
        <w:pStyle w:val="Subsection"/>
        <w:spacing w:before="140"/>
      </w:pPr>
      <w:r>
        <w:tab/>
        <w:t>(2)</w:t>
      </w:r>
      <w:r>
        <w:tab/>
        <w:t>The Attorney General may appeal to the Supreme Court against a decision of a court of summary jurisdiction.</w:t>
      </w:r>
    </w:p>
    <w:p>
      <w:pPr>
        <w:pStyle w:val="Subsection"/>
        <w:spacing w:before="140"/>
      </w:pPr>
      <w:r>
        <w:tab/>
        <w:t>(3)</w:t>
      </w:r>
      <w:r>
        <w:tab/>
        <w:t xml:space="preserve">The following decisions of a court of summary jurisdiction cannot be the subject of an appeal under this Part — </w:t>
      </w:r>
    </w:p>
    <w:p>
      <w:pPr>
        <w:pStyle w:val="Indenta"/>
        <w:spacing w:before="60"/>
      </w:pPr>
      <w:r>
        <w:tab/>
        <w:t>(a)</w:t>
      </w:r>
      <w:r>
        <w:tab/>
        <w:t>a decision that is declared by an Act to be final or not appealable;</w:t>
      </w:r>
    </w:p>
    <w:p>
      <w:pPr>
        <w:pStyle w:val="Indenta"/>
        <w:spacing w:before="70"/>
      </w:pPr>
      <w:r>
        <w:tab/>
        <w:t>(b)</w:t>
      </w:r>
      <w:r>
        <w:tab/>
        <w:t>a decision to commit or not to commit an accused for trial or sentence;</w:t>
      </w:r>
    </w:p>
    <w:p>
      <w:pPr>
        <w:pStyle w:val="Indenta"/>
        <w:spacing w:before="70"/>
      </w:pPr>
      <w:r>
        <w:tab/>
        <w:t>(c)</w:t>
      </w:r>
      <w:r>
        <w:tab/>
        <w:t>a decision as to bail.</w:t>
      </w:r>
    </w:p>
    <w:p>
      <w:pPr>
        <w:pStyle w:val="Subsection"/>
        <w:spacing w:before="140"/>
      </w:pPr>
      <w:r>
        <w:tab/>
        <w:t>(4)</w:t>
      </w:r>
      <w:r>
        <w:tab/>
        <w:t>Except as provided by this section, no appeal lies against a decision of a court of summary jurisdiction.</w:t>
      </w:r>
    </w:p>
    <w:p>
      <w:pPr>
        <w:pStyle w:val="Subsection"/>
        <w:spacing w:before="140"/>
      </w:pPr>
      <w:r>
        <w:tab/>
        <w:t>(5)</w:t>
      </w:r>
      <w:r>
        <w:tab/>
        <w:t xml:space="preserve">Subsections (1), (2) and (4) are subject to any other written law and in particular to the </w:t>
      </w:r>
      <w:r>
        <w:rPr>
          <w:i/>
        </w:rPr>
        <w:t xml:space="preserve">Children’s Court of Western Australia Act 1988 </w:t>
      </w:r>
      <w:r>
        <w:t>Part 5.</w:t>
      </w:r>
    </w:p>
    <w:p>
      <w:pPr>
        <w:pStyle w:val="Subsection"/>
        <w:spacing w:before="140"/>
      </w:pPr>
      <w:r>
        <w:tab/>
        <w:t>(6)</w:t>
      </w:r>
      <w:r>
        <w:tab/>
        <w:t xml:space="preserve">This section does not affect the operation of the </w:t>
      </w:r>
      <w:r>
        <w:rPr>
          <w:i/>
        </w:rPr>
        <w:t>Bail Act 1982</w:t>
      </w:r>
      <w:r>
        <w:t>.</w:t>
      </w:r>
    </w:p>
    <w:p>
      <w:pPr>
        <w:pStyle w:val="Heading5"/>
      </w:pPr>
      <w:bookmarkStart w:id="24" w:name="_Toc132288167"/>
      <w:r>
        <w:rPr>
          <w:rStyle w:val="CharSectno"/>
        </w:rPr>
        <w:t>8</w:t>
      </w:r>
      <w:r>
        <w:t>.</w:t>
      </w:r>
      <w:r>
        <w:tab/>
        <w:t>Grounds for appealing</w:t>
      </w:r>
      <w:bookmarkEnd w:id="24"/>
    </w:p>
    <w:p>
      <w:pPr>
        <w:pStyle w:val="Subsection"/>
      </w:pPr>
      <w:r>
        <w:tab/>
        <w:t>(1)</w:t>
      </w:r>
      <w:r>
        <w:tab/>
        <w:t xml:space="preserve">An appeal may be made under this Division on one or more of these grounds — </w:t>
      </w:r>
    </w:p>
    <w:p>
      <w:pPr>
        <w:pStyle w:val="Indenta"/>
        <w:spacing w:before="60"/>
      </w:pPr>
      <w:r>
        <w:tab/>
        <w:t>(a)</w:t>
      </w:r>
      <w:r>
        <w:tab/>
        <w:t xml:space="preserve">that the court of summary jurisdiction — </w:t>
      </w:r>
    </w:p>
    <w:p>
      <w:pPr>
        <w:pStyle w:val="Indenti"/>
        <w:spacing w:before="60"/>
      </w:pPr>
      <w:r>
        <w:tab/>
        <w:t>(i)</w:t>
      </w:r>
      <w:r>
        <w:tab/>
        <w:t>made an error of law or fact, or of both law and fact;</w:t>
      </w:r>
    </w:p>
    <w:p>
      <w:pPr>
        <w:pStyle w:val="Indenti"/>
        <w:spacing w:before="60"/>
      </w:pPr>
      <w:r>
        <w:tab/>
        <w:t>(ii)</w:t>
      </w:r>
      <w:r>
        <w:tab/>
        <w:t>acted without or in excess of jurisdiction;</w:t>
      </w:r>
    </w:p>
    <w:p>
      <w:pPr>
        <w:pStyle w:val="Indenti"/>
        <w:spacing w:before="60"/>
      </w:pPr>
      <w:r>
        <w:tab/>
        <w:t>(iii)</w:t>
      </w:r>
      <w:r>
        <w:tab/>
        <w:t>imposed a sentence that was inadequate or excessive;</w:t>
      </w:r>
    </w:p>
    <w:p>
      <w:pPr>
        <w:pStyle w:val="Indenta"/>
        <w:spacing w:before="60"/>
      </w:pPr>
      <w:r>
        <w:lastRenderedPageBreak/>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25" w:name="_Toc132288168"/>
      <w:r>
        <w:rPr>
          <w:rStyle w:val="CharSectno"/>
        </w:rPr>
        <w:t>9</w:t>
      </w:r>
      <w:r>
        <w:t>.</w:t>
      </w:r>
      <w:r>
        <w:tab/>
        <w:t>Leave to appeal required in all cases</w:t>
      </w:r>
      <w:bookmarkEnd w:id="25"/>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lastRenderedPageBreak/>
        <w:tab/>
        <w:t>(5)</w:t>
      </w:r>
      <w:r>
        <w:tab/>
        <w:t>As soon as practicable after the Supreme Court gives leave to appeal against a decision, it must notify the court of summary jurisdiction that made the decision.</w:t>
      </w:r>
    </w:p>
    <w:p>
      <w:pPr>
        <w:pStyle w:val="Heading5"/>
      </w:pPr>
      <w:bookmarkStart w:id="26" w:name="_Toc132288169"/>
      <w:r>
        <w:rPr>
          <w:rStyle w:val="CharSectno"/>
        </w:rPr>
        <w:t>10</w:t>
      </w:r>
      <w:r>
        <w:t>.</w:t>
      </w:r>
      <w:r>
        <w:tab/>
        <w:t>Commencing an appeal</w:t>
      </w:r>
      <w:bookmarkEnd w:id="26"/>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Footnotesection"/>
      </w:pPr>
      <w:r>
        <w:tab/>
        <w:t>[Section 10 amended: No. 5 of 2008 s. 26.]</w:t>
      </w:r>
    </w:p>
    <w:p>
      <w:pPr>
        <w:pStyle w:val="Heading5"/>
      </w:pPr>
      <w:bookmarkStart w:id="27" w:name="_Toc132288170"/>
      <w:r>
        <w:rPr>
          <w:rStyle w:val="CharSectno"/>
        </w:rPr>
        <w:lastRenderedPageBreak/>
        <w:t>11</w:t>
      </w:r>
      <w:r>
        <w:t>.</w:t>
      </w:r>
      <w:r>
        <w:tab/>
        <w:t>Sentences etc., effect of appeal on</w:t>
      </w:r>
      <w:bookmarkEnd w:id="27"/>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a road law as defined in the </w:t>
      </w:r>
      <w:r>
        <w:rPr>
          <w:i/>
          <w:iCs/>
        </w:rPr>
        <w:t>Road Traffic (Administration) Act 2008</w:t>
      </w:r>
      <w:r>
        <w:t xml:space="preserve"> section 4,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 and</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Footnotesection"/>
      </w:pPr>
      <w:r>
        <w:tab/>
        <w:t>[Section 11 amended: No. 8 of 2012 s. 75.]</w:t>
      </w:r>
    </w:p>
    <w:p>
      <w:pPr>
        <w:pStyle w:val="Heading5"/>
      </w:pPr>
      <w:bookmarkStart w:id="28" w:name="_Toc132288171"/>
      <w:r>
        <w:rPr>
          <w:rStyle w:val="CharSectno"/>
        </w:rPr>
        <w:lastRenderedPageBreak/>
        <w:t>12</w:t>
      </w:r>
      <w:r>
        <w:t>.</w:t>
      </w:r>
      <w:r>
        <w:tab/>
        <w:t>Sentences etc., Supreme Court may suspend etc.</w:t>
      </w:r>
      <w:bookmarkEnd w:id="28"/>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 11.</w:t>
      </w:r>
    </w:p>
    <w:p>
      <w:pPr>
        <w:pStyle w:val="Heading5"/>
      </w:pPr>
      <w:bookmarkStart w:id="29" w:name="_Toc132288172"/>
      <w:r>
        <w:rPr>
          <w:rStyle w:val="CharSectno"/>
        </w:rPr>
        <w:lastRenderedPageBreak/>
        <w:t>13</w:t>
      </w:r>
      <w:r>
        <w:t>.</w:t>
      </w:r>
      <w:r>
        <w:tab/>
        <w:t>Supreme Court may refer appeal to Court of Appeal</w:t>
      </w:r>
      <w:bookmarkEnd w:id="29"/>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keepNext/>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30" w:name="_Toc132288173"/>
      <w:r>
        <w:rPr>
          <w:rStyle w:val="CharSectno"/>
        </w:rPr>
        <w:t>14</w:t>
      </w:r>
      <w:r>
        <w:t>.</w:t>
      </w:r>
      <w:r>
        <w:tab/>
        <w:t>Supreme Court’s powers on an appeal</w:t>
      </w:r>
      <w:bookmarkEnd w:id="30"/>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r>
        <w:rPr>
          <w:i/>
        </w:rPr>
        <w:t>Magistrates Court Act 2004</w:t>
      </w:r>
      <w:r>
        <w:t xml:space="preserve"> section 36(6);</w:t>
      </w:r>
    </w:p>
    <w:p>
      <w:pPr>
        <w:pStyle w:val="Indenta"/>
      </w:pPr>
      <w:r>
        <w:lastRenderedPageBreak/>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31" w:name="_Toc132288174"/>
      <w:r>
        <w:rPr>
          <w:rStyle w:val="CharSectno"/>
        </w:rPr>
        <w:t>15</w:t>
      </w:r>
      <w:r>
        <w:t>.</w:t>
      </w:r>
      <w:r>
        <w:tab/>
        <w:t>Conclusion of appeal, consequences</w:t>
      </w:r>
      <w:bookmarkEnd w:id="31"/>
    </w:p>
    <w:p>
      <w:pPr>
        <w:pStyle w:val="Subsection"/>
      </w:pPr>
      <w:r>
        <w:tab/>
        <w:t>(1)</w:t>
      </w:r>
      <w:r>
        <w:tab/>
        <w:t xml:space="preserve">The decision of the Supreme Court, or the decision of the court of summary jurisdiction as varied by the Supreme Court, other </w:t>
      </w:r>
      <w:r>
        <w:lastRenderedPageBreak/>
        <w:t>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keepNext/>
        <w:keepLines/>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32" w:name="_Toc132187717"/>
      <w:bookmarkStart w:id="33" w:name="_Toc132187817"/>
      <w:bookmarkStart w:id="34" w:name="_Toc132288175"/>
      <w:r>
        <w:rPr>
          <w:rStyle w:val="CharDivNo"/>
        </w:rPr>
        <w:t>Division 3</w:t>
      </w:r>
      <w:r>
        <w:t> — </w:t>
      </w:r>
      <w:r>
        <w:rPr>
          <w:rStyle w:val="CharDivText"/>
        </w:rPr>
        <w:t>Appeals from a single judge to the Court of Appeal</w:t>
      </w:r>
      <w:bookmarkEnd w:id="32"/>
      <w:bookmarkEnd w:id="33"/>
      <w:bookmarkEnd w:id="34"/>
    </w:p>
    <w:p>
      <w:pPr>
        <w:pStyle w:val="Heading5"/>
      </w:pPr>
      <w:bookmarkStart w:id="35" w:name="_Toc132288176"/>
      <w:r>
        <w:rPr>
          <w:rStyle w:val="CharSectno"/>
        </w:rPr>
        <w:t>16</w:t>
      </w:r>
      <w:r>
        <w:t>.</w:t>
      </w:r>
      <w:r>
        <w:tab/>
        <w:t>Right of appeal to Court of Appeal</w:t>
      </w:r>
      <w:bookmarkEnd w:id="35"/>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36" w:name="_Toc132288177"/>
      <w:r>
        <w:rPr>
          <w:rStyle w:val="CharSectno"/>
        </w:rPr>
        <w:lastRenderedPageBreak/>
        <w:t>17</w:t>
      </w:r>
      <w:r>
        <w:t>.</w:t>
      </w:r>
      <w:r>
        <w:tab/>
        <w:t>Commencing an appeal</w:t>
      </w:r>
      <w:bookmarkEnd w:id="36"/>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37" w:name="_Toc132288178"/>
      <w:r>
        <w:rPr>
          <w:rStyle w:val="CharSectno"/>
        </w:rPr>
        <w:t>18</w:t>
      </w:r>
      <w:r>
        <w:t>.</w:t>
      </w:r>
      <w:r>
        <w:tab/>
        <w:t>Provisions applicable to appeals to Court of Appeal</w:t>
      </w:r>
      <w:bookmarkEnd w:id="37"/>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38" w:name="_Toc132288179"/>
      <w:r>
        <w:rPr>
          <w:rStyle w:val="CharSectno"/>
        </w:rPr>
        <w:t>19</w:t>
      </w:r>
      <w:r>
        <w:t>.</w:t>
      </w:r>
      <w:r>
        <w:tab/>
        <w:t>Court of Appeal’s additional powers on an appeal</w:t>
      </w:r>
      <w:bookmarkEnd w:id="38"/>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lastRenderedPageBreak/>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39" w:name="_Toc132187722"/>
      <w:bookmarkStart w:id="40" w:name="_Toc132187822"/>
      <w:bookmarkStart w:id="41" w:name="_Toc132288180"/>
      <w:r>
        <w:rPr>
          <w:rStyle w:val="CharDivNo"/>
        </w:rPr>
        <w:t>Division 4</w:t>
      </w:r>
      <w:r>
        <w:t> — </w:t>
      </w:r>
      <w:r>
        <w:rPr>
          <w:rStyle w:val="CharDivText"/>
        </w:rPr>
        <w:t>Costs</w:t>
      </w:r>
      <w:bookmarkEnd w:id="39"/>
      <w:bookmarkEnd w:id="40"/>
      <w:bookmarkEnd w:id="41"/>
    </w:p>
    <w:p>
      <w:pPr>
        <w:pStyle w:val="Heading5"/>
      </w:pPr>
      <w:bookmarkStart w:id="42" w:name="_Toc132288181"/>
      <w:r>
        <w:rPr>
          <w:rStyle w:val="CharSectno"/>
        </w:rPr>
        <w:t>20</w:t>
      </w:r>
      <w:r>
        <w:t>.</w:t>
      </w:r>
      <w:r>
        <w:tab/>
        <w:t>Costs against Attorney General, JPs or police officers</w:t>
      </w:r>
      <w:bookmarkEnd w:id="42"/>
    </w:p>
    <w:p>
      <w:pPr>
        <w:pStyle w:val="Subsection"/>
        <w:keepNext/>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43" w:name="_Toc132288182"/>
      <w:r>
        <w:rPr>
          <w:rStyle w:val="CharSectno"/>
        </w:rPr>
        <w:lastRenderedPageBreak/>
        <w:t>21</w:t>
      </w:r>
      <w:r>
        <w:t>.</w:t>
      </w:r>
      <w:r>
        <w:tab/>
        <w:t>Costs orders, enforcement of</w:t>
      </w:r>
      <w:bookmarkEnd w:id="43"/>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44" w:name="_Toc132187725"/>
      <w:bookmarkStart w:id="45" w:name="_Toc132187825"/>
      <w:bookmarkStart w:id="46" w:name="_Toc132288183"/>
      <w:r>
        <w:rPr>
          <w:rStyle w:val="CharPartNo"/>
        </w:rPr>
        <w:lastRenderedPageBreak/>
        <w:t>Part 3</w:t>
      </w:r>
      <w:r>
        <w:t> — </w:t>
      </w:r>
      <w:r>
        <w:rPr>
          <w:rStyle w:val="CharPartText"/>
        </w:rPr>
        <w:t>Appeals from superior courts</w:t>
      </w:r>
      <w:bookmarkEnd w:id="44"/>
      <w:bookmarkEnd w:id="45"/>
      <w:bookmarkEnd w:id="46"/>
    </w:p>
    <w:p>
      <w:pPr>
        <w:pStyle w:val="Heading3"/>
      </w:pPr>
      <w:bookmarkStart w:id="47" w:name="_Toc132187726"/>
      <w:bookmarkStart w:id="48" w:name="_Toc132187826"/>
      <w:bookmarkStart w:id="49" w:name="_Toc132288184"/>
      <w:r>
        <w:rPr>
          <w:rStyle w:val="CharDivNo"/>
        </w:rPr>
        <w:t>Division 1</w:t>
      </w:r>
      <w:r>
        <w:t> — </w:t>
      </w:r>
      <w:r>
        <w:rPr>
          <w:rStyle w:val="CharDivText"/>
        </w:rPr>
        <w:t>Preliminary</w:t>
      </w:r>
      <w:bookmarkEnd w:id="47"/>
      <w:bookmarkEnd w:id="48"/>
      <w:bookmarkEnd w:id="49"/>
    </w:p>
    <w:p>
      <w:pPr>
        <w:pStyle w:val="Heading5"/>
      </w:pPr>
      <w:bookmarkStart w:id="50" w:name="_Toc132288185"/>
      <w:r>
        <w:rPr>
          <w:rStyle w:val="CharSectno"/>
        </w:rPr>
        <w:t>22</w:t>
      </w:r>
      <w:r>
        <w:t>.</w:t>
      </w:r>
      <w:r>
        <w:tab/>
        <w:t>Terms used</w:t>
      </w:r>
      <w:bookmarkEnd w:id="50"/>
    </w:p>
    <w:p>
      <w:pPr>
        <w:pStyle w:val="Subsection"/>
      </w:pPr>
      <w:r>
        <w:tab/>
      </w:r>
      <w:r>
        <w:tab/>
        <w:t xml:space="preserve">In this Part — </w:t>
      </w:r>
    </w:p>
    <w:p>
      <w:pPr>
        <w:pStyle w:val="Defstart"/>
      </w:pPr>
      <w:r>
        <w:rPr>
          <w:b/>
        </w:rPr>
        <w:tab/>
      </w:r>
      <w:r>
        <w:rPr>
          <w:rStyle w:val="CharDefText"/>
        </w:rPr>
        <w:t>offender</w:t>
      </w:r>
      <w:r>
        <w:t xml:space="preserve"> means a person who has been convicted of an offence;</w:t>
      </w:r>
    </w:p>
    <w:p>
      <w:pPr>
        <w:pStyle w:val="Defstart"/>
      </w:pPr>
      <w:r>
        <w:rPr>
          <w:b/>
        </w:rPr>
        <w:tab/>
      </w:r>
      <w:r>
        <w:rPr>
          <w:rStyle w:val="CharDefText"/>
        </w:rPr>
        <w:t>trial court</w:t>
      </w:r>
      <w:r>
        <w:t>, in relation to an appeal under this Part, means the superior court that dealt with the case that is the subject of the appeal.</w:t>
      </w:r>
    </w:p>
    <w:p>
      <w:pPr>
        <w:pStyle w:val="Heading3"/>
      </w:pPr>
      <w:bookmarkStart w:id="51" w:name="_Toc132187728"/>
      <w:bookmarkStart w:id="52" w:name="_Toc132187828"/>
      <w:bookmarkStart w:id="53" w:name="_Toc132288186"/>
      <w:r>
        <w:rPr>
          <w:rStyle w:val="CharDivNo"/>
        </w:rPr>
        <w:t>Division 2</w:t>
      </w:r>
      <w:r>
        <w:t> — </w:t>
      </w:r>
      <w:r>
        <w:rPr>
          <w:rStyle w:val="CharDivText"/>
        </w:rPr>
        <w:t>Rights of appeal</w:t>
      </w:r>
      <w:bookmarkEnd w:id="51"/>
      <w:bookmarkEnd w:id="52"/>
      <w:bookmarkEnd w:id="53"/>
    </w:p>
    <w:p>
      <w:pPr>
        <w:pStyle w:val="Heading5"/>
      </w:pPr>
      <w:bookmarkStart w:id="54" w:name="_Toc132288187"/>
      <w:r>
        <w:rPr>
          <w:rStyle w:val="CharSectno"/>
        </w:rPr>
        <w:t>23</w:t>
      </w:r>
      <w:r>
        <w:t>.</w:t>
      </w:r>
      <w:r>
        <w:tab/>
        <w:t>Rights of appeal of offender</w:t>
      </w:r>
      <w:bookmarkEnd w:id="54"/>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55" w:name="_Toc132288188"/>
      <w:r>
        <w:rPr>
          <w:rStyle w:val="CharSectno"/>
        </w:rPr>
        <w:lastRenderedPageBreak/>
        <w:t>24</w:t>
      </w:r>
      <w:r>
        <w:t>.</w:t>
      </w:r>
      <w:r>
        <w:tab/>
        <w:t>Rights of appeal of prosecutor</w:t>
      </w:r>
      <w:bookmarkEnd w:id="55"/>
    </w:p>
    <w:p>
      <w:pPr>
        <w:pStyle w:val="Subsection"/>
        <w:spacing w:before="120"/>
      </w:pPr>
      <w:r>
        <w:tab/>
        <w:t>(1)</w:t>
      </w:r>
      <w:r>
        <w:tab/>
        <w:t xml:space="preserve">The prosecutor may appeal to the Court of Appeal against any one or more of the following decisions by a judge of a superior court in relation to a charge of an indictable offence — </w:t>
      </w:r>
    </w:p>
    <w:p>
      <w:pPr>
        <w:pStyle w:val="Indenta"/>
        <w:spacing w:before="60"/>
      </w:pPr>
      <w:r>
        <w:tab/>
        <w:t>(a)</w:t>
      </w:r>
      <w:r>
        <w:tab/>
        <w:t>the sentence imposed on a person convicted of the charge or any order made as a result of the conviction;</w:t>
      </w:r>
    </w:p>
    <w:p>
      <w:pPr>
        <w:pStyle w:val="Indenta"/>
        <w:spacing w:before="60"/>
      </w:pPr>
      <w:r>
        <w:tab/>
        <w:t>(b)</w:t>
      </w:r>
      <w:r>
        <w:tab/>
        <w:t>the sentence imposed on a person convicted by a court of summary jurisdiction of the charge and committed for sentence or any order made as a result of the conviction;</w:t>
      </w:r>
    </w:p>
    <w:p>
      <w:pPr>
        <w:pStyle w:val="Indenta"/>
        <w:spacing w:before="60"/>
      </w:pPr>
      <w:r>
        <w:tab/>
        <w:t>(c)</w:t>
      </w:r>
      <w:r>
        <w:tab/>
        <w:t>a refusal to make an order that might be made as a result of a conviction.</w:t>
      </w:r>
    </w:p>
    <w:p>
      <w:pPr>
        <w:pStyle w:val="Subsection"/>
        <w:spacing w:before="120"/>
      </w:pPr>
      <w:r>
        <w:tab/>
        <w:t>(2)</w:t>
      </w:r>
      <w:r>
        <w:tab/>
        <w:t xml:space="preserve">The prosecutor may also appeal to the Court of Appeal against any one or more of the following decisions by a judge of a superior court in relation to a charge of an indictable offence — </w:t>
      </w:r>
    </w:p>
    <w:p>
      <w:pPr>
        <w:pStyle w:val="Indenta"/>
        <w:spacing w:before="60"/>
      </w:pPr>
      <w:r>
        <w:tab/>
        <w:t>(a)</w:t>
      </w:r>
      <w:r>
        <w:tab/>
        <w:t>a decision refusing to consent to the discontinuance of the prosecution of the charge;</w:t>
      </w:r>
    </w:p>
    <w:p>
      <w:pPr>
        <w:pStyle w:val="Indenta"/>
        <w:spacing w:before="60"/>
      </w:pPr>
      <w:r>
        <w:tab/>
        <w:t>(b)</w:t>
      </w:r>
      <w:r>
        <w:tab/>
        <w:t xml:space="preserve">a judgment entered under the </w:t>
      </w:r>
      <w:r>
        <w:rPr>
          <w:i/>
        </w:rPr>
        <w:t>Criminal Procedure Act 2004</w:t>
      </w:r>
      <w:r>
        <w:t xml:space="preserve"> section 128(2) or (3);</w:t>
      </w:r>
    </w:p>
    <w:p>
      <w:pPr>
        <w:pStyle w:val="Indenta"/>
        <w:spacing w:before="60"/>
      </w:pPr>
      <w:r>
        <w:tab/>
        <w:t>(c)</w:t>
      </w:r>
      <w:r>
        <w:tab/>
        <w:t>a decision ordering a permanent stay of proceedings on the charge;</w:t>
      </w:r>
    </w:p>
    <w:p>
      <w:pPr>
        <w:pStyle w:val="Indenta"/>
        <w:spacing w:before="60"/>
      </w:pPr>
      <w:r>
        <w:tab/>
        <w:t>(d)</w:t>
      </w:r>
      <w:r>
        <w:tab/>
        <w:t>a decision ordering an adjournment of proceedings on the charge;</w:t>
      </w:r>
    </w:p>
    <w:p>
      <w:pPr>
        <w:pStyle w:val="Indenta"/>
        <w:spacing w:before="60"/>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spacing w:before="60"/>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lastRenderedPageBreak/>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No. 2 of 2008 s. 32.]</w:t>
      </w:r>
    </w:p>
    <w:p>
      <w:pPr>
        <w:pStyle w:val="Heading5"/>
        <w:spacing w:before="180"/>
      </w:pPr>
      <w:bookmarkStart w:id="56" w:name="_Toc132288189"/>
      <w:r>
        <w:rPr>
          <w:rStyle w:val="CharSectno"/>
        </w:rPr>
        <w:t>25</w:t>
      </w:r>
      <w:r>
        <w:t>.</w:t>
      </w:r>
      <w:r>
        <w:tab/>
        <w:t>Rights of appeal if acquittal on account of unsoundness of mind</w:t>
      </w:r>
      <w:bookmarkEnd w:id="56"/>
    </w:p>
    <w:p>
      <w:pPr>
        <w:pStyle w:val="Subsection"/>
        <w:spacing w:before="120"/>
      </w:pPr>
      <w:r>
        <w:tab/>
        <w:t>(1)</w:t>
      </w:r>
      <w:r>
        <w:tab/>
        <w:t>This section applies if an accused is acquitted of a charge in an indictment on account of unsoundness of mind.</w:t>
      </w:r>
    </w:p>
    <w:p>
      <w:pPr>
        <w:pStyle w:val="Subsection"/>
        <w:spacing w:before="120"/>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spacing w:before="120"/>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lastRenderedPageBreak/>
        <w:tab/>
        <w:t>[Section 25 amended: No. 2 of 2008 s. 33.]</w:t>
      </w:r>
    </w:p>
    <w:p>
      <w:pPr>
        <w:pStyle w:val="Heading5"/>
      </w:pPr>
      <w:bookmarkStart w:id="57" w:name="_Toc132288190"/>
      <w:r>
        <w:rPr>
          <w:rStyle w:val="CharSectno"/>
        </w:rPr>
        <w:t>26</w:t>
      </w:r>
      <w:r>
        <w:t>.</w:t>
      </w:r>
      <w:r>
        <w:tab/>
        <w:t>Separate trial decision, preliminary appeal against</w:t>
      </w:r>
      <w:bookmarkEnd w:id="57"/>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 xml:space="preserve">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w:t>
      </w:r>
      <w:r>
        <w:lastRenderedPageBreak/>
        <w:t>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spacing w:before="100"/>
      </w:pPr>
      <w:r>
        <w:tab/>
        <w:t>[Section 26 amended: No. 2 of 2008 s. 34.]</w:t>
      </w:r>
    </w:p>
    <w:p>
      <w:pPr>
        <w:pStyle w:val="Heading3"/>
      </w:pPr>
      <w:bookmarkStart w:id="58" w:name="_Toc132187733"/>
      <w:bookmarkStart w:id="59" w:name="_Toc132187833"/>
      <w:bookmarkStart w:id="60" w:name="_Toc132288191"/>
      <w:r>
        <w:rPr>
          <w:rStyle w:val="CharDivNo"/>
        </w:rPr>
        <w:t>Division 3</w:t>
      </w:r>
      <w:r>
        <w:t> — </w:t>
      </w:r>
      <w:r>
        <w:rPr>
          <w:rStyle w:val="CharDivText"/>
        </w:rPr>
        <w:t>Commencing and deciding appeals</w:t>
      </w:r>
      <w:bookmarkEnd w:id="58"/>
      <w:bookmarkEnd w:id="59"/>
      <w:bookmarkEnd w:id="60"/>
    </w:p>
    <w:p>
      <w:pPr>
        <w:pStyle w:val="Heading5"/>
      </w:pPr>
      <w:bookmarkStart w:id="61" w:name="_Toc132288192"/>
      <w:r>
        <w:rPr>
          <w:rStyle w:val="CharSectno"/>
        </w:rPr>
        <w:t>27</w:t>
      </w:r>
      <w:r>
        <w:t>.</w:t>
      </w:r>
      <w:r>
        <w:tab/>
        <w:t>Leave to appeal required in all cases</w:t>
      </w:r>
      <w:bookmarkEnd w:id="61"/>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62" w:name="_Toc132288193"/>
      <w:r>
        <w:rPr>
          <w:rStyle w:val="CharSectno"/>
        </w:rPr>
        <w:lastRenderedPageBreak/>
        <w:t>28</w:t>
      </w:r>
      <w:r>
        <w:t>.</w:t>
      </w:r>
      <w:r>
        <w:tab/>
        <w:t>Commencing an appeal</w:t>
      </w:r>
      <w:bookmarkEnd w:id="62"/>
    </w:p>
    <w:p>
      <w:pPr>
        <w:pStyle w:val="Subsection"/>
      </w:pPr>
      <w:r>
        <w:tab/>
        <w:t>(1)</w:t>
      </w:r>
      <w:r>
        <w:tab/>
        <w:t>An appeal under this Part must be commenced and conducted in accordance with this Part and rules of court.</w:t>
      </w:r>
    </w:p>
    <w:p>
      <w:pPr>
        <w:pStyle w:val="Subsection"/>
        <w:spacing w:before="140"/>
      </w:pPr>
      <w:r>
        <w:tab/>
        <w:t>(2)</w:t>
      </w:r>
      <w:r>
        <w:tab/>
        <w:t>An appeal under this Part must be commenced by lodging with the Court of Appeal an application for leave to appeal.</w:t>
      </w:r>
    </w:p>
    <w:p>
      <w:pPr>
        <w:pStyle w:val="Subsection"/>
        <w:spacing w:before="140"/>
      </w:pPr>
      <w:r>
        <w:tab/>
        <w:t>(3)</w:t>
      </w:r>
      <w:r>
        <w:tab/>
        <w:t>An appeal under this Part against a decision or judgment cannot be commenced later than 21 days after the date of the decision or judgment unless the Court of Appeal orders otherwise.</w:t>
      </w:r>
    </w:p>
    <w:p>
      <w:pPr>
        <w:pStyle w:val="Subsection"/>
        <w:spacing w:before="140"/>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spacing w:before="140"/>
      </w:pPr>
      <w:r>
        <w:tab/>
        <w:t>(5)</w:t>
      </w:r>
      <w:r>
        <w:tab/>
        <w:t xml:space="preserve">On commencing an appeal, the appellant must serve a copy of the application for leave to appeal on — </w:t>
      </w:r>
    </w:p>
    <w:p>
      <w:pPr>
        <w:pStyle w:val="Ednotepara"/>
        <w:spacing w:before="60"/>
      </w:pPr>
      <w:r>
        <w:tab/>
        <w:t>[(a)</w:t>
      </w:r>
      <w:r>
        <w:tab/>
        <w:t>deleted]</w:t>
      </w:r>
    </w:p>
    <w:p>
      <w:pPr>
        <w:pStyle w:val="Indenta"/>
        <w:spacing w:before="60"/>
      </w:pPr>
      <w:r>
        <w:tab/>
        <w:t>(b)</w:t>
      </w:r>
      <w:r>
        <w:tab/>
        <w:t>the other party or other parties to the proceedings before the trial court.</w:t>
      </w:r>
    </w:p>
    <w:p>
      <w:pPr>
        <w:pStyle w:val="Subsection"/>
        <w:keepNext/>
        <w:keepLines/>
        <w:spacing w:before="150"/>
      </w:pPr>
      <w:r>
        <w:tab/>
        <w:t>(6)</w:t>
      </w:r>
      <w:r>
        <w:tab/>
        <w:t>The Court of Appeal may at any time order the appellant to serve a copy of the application for leave to appeal on any other person the court thinks fit.</w:t>
      </w:r>
    </w:p>
    <w:p>
      <w:pPr>
        <w:pStyle w:val="Subsection"/>
        <w:spacing w:before="150"/>
      </w:pPr>
      <w:r>
        <w:tab/>
        <w:t>(7)</w:t>
      </w:r>
      <w:r>
        <w:tab/>
        <w:t>As soon as practicable after it is served under subsection (5), the District Court must give the exhibits in the case to the Court of Appeal.</w:t>
      </w:r>
    </w:p>
    <w:p>
      <w:pPr>
        <w:pStyle w:val="Footnotesection"/>
        <w:spacing w:before="100"/>
      </w:pPr>
      <w:r>
        <w:tab/>
        <w:t>[Section 28 amended: No. 5 of 2008 s. 27.]</w:t>
      </w:r>
    </w:p>
    <w:p>
      <w:pPr>
        <w:pStyle w:val="Heading5"/>
      </w:pPr>
      <w:bookmarkStart w:id="63" w:name="_Toc132288194"/>
      <w:r>
        <w:rPr>
          <w:rStyle w:val="CharSectno"/>
        </w:rPr>
        <w:t>29</w:t>
      </w:r>
      <w:r>
        <w:t>.</w:t>
      </w:r>
      <w:r>
        <w:tab/>
        <w:t>Sentences etc., Court of Appeal may stay etc.</w:t>
      </w:r>
      <w:bookmarkEnd w:id="63"/>
    </w:p>
    <w:p>
      <w:pPr>
        <w:pStyle w:val="Subsection"/>
      </w:pPr>
      <w:r>
        <w:tab/>
      </w:r>
      <w:r>
        <w:tab/>
        <w:t xml:space="preserve">At any time after an appeal is commenced under this Part and before it is concluded, the Court of Appeal may — </w:t>
      </w:r>
    </w:p>
    <w:p>
      <w:pPr>
        <w:pStyle w:val="Indenta"/>
        <w:spacing w:before="60"/>
      </w:pPr>
      <w:r>
        <w:tab/>
        <w:t>(a)</w:t>
      </w:r>
      <w:r>
        <w:tab/>
        <w:t xml:space="preserve">make any order that a superior court can make under the </w:t>
      </w:r>
      <w:r>
        <w:rPr>
          <w:i/>
        </w:rPr>
        <w:t>Criminal Procedure Act 2004</w:t>
      </w:r>
      <w:r>
        <w:t xml:space="preserve"> section 121; or</w:t>
      </w:r>
    </w:p>
    <w:p>
      <w:pPr>
        <w:pStyle w:val="Indenta"/>
        <w:spacing w:before="60"/>
      </w:pPr>
      <w:r>
        <w:lastRenderedPageBreak/>
        <w:tab/>
        <w:t>(b)</w:t>
      </w:r>
      <w:r>
        <w:tab/>
        <w:t>amend or cancel any such order that has been made, whether by a superior court or the Court of Appeal.</w:t>
      </w:r>
    </w:p>
    <w:p>
      <w:pPr>
        <w:pStyle w:val="Heading5"/>
      </w:pPr>
      <w:bookmarkStart w:id="64" w:name="_Toc132288195"/>
      <w:r>
        <w:rPr>
          <w:rStyle w:val="CharSectno"/>
        </w:rPr>
        <w:t>30</w:t>
      </w:r>
      <w:r>
        <w:t>.</w:t>
      </w:r>
      <w:r>
        <w:tab/>
        <w:t>Appeal against conviction, decision on</w:t>
      </w:r>
      <w:bookmarkEnd w:id="64"/>
    </w:p>
    <w:p>
      <w:pPr>
        <w:pStyle w:val="Subsection"/>
      </w:pPr>
      <w:r>
        <w:tab/>
        <w:t>(1)</w:t>
      </w:r>
      <w:r>
        <w:tab/>
        <w:t>This section applies in the case of an appeal against a conviction by an offender.</w:t>
      </w:r>
    </w:p>
    <w:p>
      <w:pPr>
        <w:pStyle w:val="Subsection"/>
        <w:spacing w:before="130"/>
      </w:pPr>
      <w:r>
        <w:tab/>
        <w:t>(2)</w:t>
      </w:r>
      <w:r>
        <w:tab/>
        <w:t>Unless under subsection (3) the Court of Appeal allows the appeal, it must dismiss the appeal.</w:t>
      </w:r>
    </w:p>
    <w:p>
      <w:pPr>
        <w:pStyle w:val="Subsection"/>
        <w:keepNext/>
        <w:spacing w:before="130"/>
      </w:pPr>
      <w:r>
        <w:tab/>
        <w:t>(3)</w:t>
      </w:r>
      <w:r>
        <w:tab/>
        <w:t xml:space="preserve">The Court of Appeal must allow the appeal if in its opinion — </w:t>
      </w:r>
    </w:p>
    <w:p>
      <w:pPr>
        <w:pStyle w:val="Indenta"/>
        <w:spacing w:before="60"/>
      </w:pPr>
      <w:r>
        <w:tab/>
        <w:t>(a)</w:t>
      </w:r>
      <w:r>
        <w:tab/>
        <w:t>the verdict of guilty on which the conviction is based should be set aside because, having regard to the evidence, it is unreasonable or cannot be supported; or</w:t>
      </w:r>
    </w:p>
    <w:p>
      <w:pPr>
        <w:pStyle w:val="Indenta"/>
        <w:spacing w:before="60"/>
      </w:pPr>
      <w:r>
        <w:tab/>
        <w:t>(b)</w:t>
      </w:r>
      <w:r>
        <w:tab/>
        <w:t>the conviction should be set aside because of a wrong decision on a question of law by the judge; or</w:t>
      </w:r>
    </w:p>
    <w:p>
      <w:pPr>
        <w:pStyle w:val="Indenta"/>
        <w:spacing w:before="60"/>
      </w:pPr>
      <w:r>
        <w:tab/>
        <w:t>(c)</w:t>
      </w:r>
      <w:r>
        <w:tab/>
        <w:t>there was a miscarriage of justice.</w:t>
      </w:r>
    </w:p>
    <w:p>
      <w:pPr>
        <w:pStyle w:val="Subsection"/>
        <w:spacing w:before="130"/>
      </w:pPr>
      <w:r>
        <w:tab/>
        <w:t>(4)</w:t>
      </w:r>
      <w:r>
        <w:tab/>
        <w:t>Despite subsection (3), even if a ground of appeal might be decided in favour of the offender, the Court of Appeal may dismiss the appeal if it considers that no substantial miscarriage of justice has occurred.</w:t>
      </w:r>
    </w:p>
    <w:p>
      <w:pPr>
        <w:pStyle w:val="Subsection"/>
        <w:spacing w:before="130"/>
      </w:pPr>
      <w:r>
        <w:tab/>
        <w:t>(5)</w:t>
      </w:r>
      <w:r>
        <w:tab/>
        <w:t>If the Court of Appeal allows the appeal, it must set aside the conviction of the offence (</w:t>
      </w:r>
      <w:r>
        <w:rPr>
          <w:rStyle w:val="CharDefText"/>
        </w:rPr>
        <w:t>offence A</w:t>
      </w:r>
      <w:r>
        <w:t xml:space="preserve">) and must — </w:t>
      </w:r>
    </w:p>
    <w:p>
      <w:pPr>
        <w:pStyle w:val="Indenta"/>
        <w:spacing w:before="60"/>
      </w:pPr>
      <w:r>
        <w:tab/>
        <w:t>(a)</w:t>
      </w:r>
      <w:r>
        <w:tab/>
        <w:t>order a trial or a new trial; or</w:t>
      </w:r>
    </w:p>
    <w:p>
      <w:pPr>
        <w:pStyle w:val="Indenta"/>
        <w:spacing w:before="60"/>
      </w:pPr>
      <w:r>
        <w:tab/>
        <w:t>(b)</w:t>
      </w:r>
      <w:r>
        <w:tab/>
        <w:t>enter a judgment of acquittal of offence A; or</w:t>
      </w:r>
    </w:p>
    <w:p>
      <w:pPr>
        <w:pStyle w:val="Indenta"/>
        <w:spacing w:before="60"/>
      </w:pPr>
      <w:r>
        <w:tab/>
        <w:t>(c)</w:t>
      </w:r>
      <w:r>
        <w:tab/>
        <w:t xml:space="preserve">if — </w:t>
      </w:r>
    </w:p>
    <w:p>
      <w:pPr>
        <w:pStyle w:val="Indenti"/>
        <w:spacing w:before="60"/>
      </w:pPr>
      <w:r>
        <w:tab/>
        <w:t>(i)</w:t>
      </w:r>
      <w:r>
        <w:tab/>
        <w:t>the offender could have been found guilty of some other offence (</w:t>
      </w:r>
      <w:r>
        <w:rPr>
          <w:rStyle w:val="CharDefText"/>
        </w:rPr>
        <w:t>offence B</w:t>
      </w:r>
      <w:r>
        <w:t>) instead of offence A; and</w:t>
      </w:r>
    </w:p>
    <w:p>
      <w:pPr>
        <w:pStyle w:val="Indenti"/>
        <w:spacing w:before="60"/>
      </w:pPr>
      <w:r>
        <w:tab/>
        <w:t>(ii)</w:t>
      </w:r>
      <w:r>
        <w:tab/>
        <w:t>the court is satisfied that the jury must have been satisfied or, in a trial by a judge alone, that the judge must have been satisfied of facts that prove the offender was guilty of offence B,</w:t>
      </w:r>
    </w:p>
    <w:p>
      <w:pPr>
        <w:pStyle w:val="Indenta"/>
        <w:spacing w:before="60"/>
      </w:pPr>
      <w:r>
        <w:lastRenderedPageBreak/>
        <w:tab/>
      </w:r>
      <w:r>
        <w:tab/>
        <w:t>enter a judgment of conviction for offence B and impose a sentence for offence B that is no more severe than the sentence that was imposed for offence A; or</w:t>
      </w:r>
    </w:p>
    <w:p>
      <w:pPr>
        <w:pStyle w:val="Indenta"/>
        <w:spacing w:before="60"/>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rStyle w:val="CharDefText"/>
        </w:rPr>
        <w:t>offence B</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65" w:name="_Toc132288196"/>
      <w:r>
        <w:rPr>
          <w:rStyle w:val="CharSectno"/>
        </w:rPr>
        <w:lastRenderedPageBreak/>
        <w:t>31</w:t>
      </w:r>
      <w:r>
        <w:t>.</w:t>
      </w:r>
      <w:r>
        <w:tab/>
        <w:t>Appeal against sentence etc., decision on</w:t>
      </w:r>
      <w:bookmarkEnd w:id="65"/>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spacing w:before="150"/>
      </w:pPr>
      <w:r>
        <w:tab/>
        <w:t>[(2)</w:t>
      </w:r>
      <w:r>
        <w:tab/>
        <w:t>deleted]</w:t>
      </w:r>
    </w:p>
    <w:p>
      <w:pPr>
        <w:pStyle w:val="Subsection"/>
        <w:spacing w:before="150"/>
      </w:pPr>
      <w:r>
        <w:tab/>
        <w:t>(3)</w:t>
      </w:r>
      <w:r>
        <w:tab/>
        <w:t>Unless under subsection (4) the Court of Appeal allows the appeal, it must dismiss the appeal.</w:t>
      </w:r>
    </w:p>
    <w:p>
      <w:pPr>
        <w:pStyle w:val="Subsection"/>
        <w:keepNext/>
        <w:spacing w:before="150"/>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lastRenderedPageBreak/>
        <w:tab/>
        <w:t>[Section 31 amended: No. 2 of 2008 s. 35.]</w:t>
      </w:r>
    </w:p>
    <w:p>
      <w:pPr>
        <w:pStyle w:val="Heading5"/>
      </w:pPr>
      <w:bookmarkStart w:id="66" w:name="_Toc132288197"/>
      <w:r>
        <w:rPr>
          <w:rStyle w:val="CharSectno"/>
        </w:rPr>
        <w:t>32</w:t>
      </w:r>
      <w:r>
        <w:t>.</w:t>
      </w:r>
      <w:r>
        <w:tab/>
        <w:t>Appeal under s. 25, decision on</w:t>
      </w:r>
      <w:bookmarkEnd w:id="66"/>
    </w:p>
    <w:p>
      <w:pPr>
        <w:pStyle w:val="Subsection"/>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pPr>
      <w:r>
        <w:tab/>
        <w:t>(2)</w:t>
      </w:r>
      <w:r>
        <w:tab/>
        <w:t>An appeal against an acquittal of an offence (</w:t>
      </w:r>
      <w:r>
        <w:rPr>
          <w:rStyle w:val="CharDefText"/>
        </w:rPr>
        <w:t>offence A</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rStyle w:val="CharDefText"/>
        </w:rPr>
        <w:t>factual finding</w:t>
      </w:r>
      <w:r>
        <w:t>); or</w:t>
      </w:r>
    </w:p>
    <w:p>
      <w:pPr>
        <w:pStyle w:val="Indenta"/>
        <w:spacing w:before="60"/>
      </w:pPr>
      <w:r>
        <w:tab/>
        <w:t>(b)</w:t>
      </w:r>
      <w:r>
        <w:tab/>
        <w:t xml:space="preserve">a finding that the accused was not criminally responsible for those acts or omissions on account of unsoundness of mind (the </w:t>
      </w:r>
      <w:r>
        <w:rPr>
          <w:rStyle w:val="CharDefText"/>
        </w:rPr>
        <w:t>section 27 finding</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 or</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 xml:space="preserve">Despite subsection (4), even if a ground of appeal might be decided in favour of the appellant, the Court of Appeal may </w:t>
      </w:r>
      <w:r>
        <w:lastRenderedPageBreak/>
        <w:t>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 xml:space="preserve">the court is satisfied that the jury must have been satisfied or, in a trial by a judge alone, that the </w:t>
      </w:r>
      <w:r>
        <w:lastRenderedPageBreak/>
        <w:t>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67" w:name="_Toc132288198"/>
      <w:r>
        <w:rPr>
          <w:rStyle w:val="CharSectno"/>
        </w:rPr>
        <w:t>33</w:t>
      </w:r>
      <w:r>
        <w:t>.</w:t>
      </w:r>
      <w:r>
        <w:tab/>
        <w:t>Other appeals by prosecutor, decision on</w:t>
      </w:r>
      <w:bookmarkEnd w:id="67"/>
    </w:p>
    <w:p>
      <w:pPr>
        <w:pStyle w:val="Subsection"/>
      </w:pPr>
      <w:r>
        <w:tab/>
        <w:t>(1)</w:t>
      </w:r>
      <w:r>
        <w:tab/>
        <w:t>This section applies in the case of an appeal by a prosecutor against any decision referred to in section 24(2) in relation to an indictable charge.</w:t>
      </w:r>
    </w:p>
    <w:p>
      <w:pPr>
        <w:pStyle w:val="Subsection"/>
      </w:pPr>
      <w:r>
        <w:tab/>
        <w:t>(2)</w:t>
      </w:r>
      <w:r>
        <w:tab/>
        <w:t xml:space="preserve">On the appeal the Court of Appeal — </w:t>
      </w:r>
    </w:p>
    <w:p>
      <w:pPr>
        <w:pStyle w:val="Indenta"/>
      </w:pPr>
      <w:r>
        <w:lastRenderedPageBreak/>
        <w:tab/>
        <w:t>(a)</w:t>
      </w:r>
      <w:r>
        <w:tab/>
        <w:t>may affirm, vary or set aside the decision and any judgment entered or order made as a result of the decision; and</w:t>
      </w:r>
    </w:p>
    <w:p>
      <w:pPr>
        <w:pStyle w:val="Indenta"/>
      </w:pPr>
      <w:r>
        <w:tab/>
        <w:t>(b)</w:t>
      </w:r>
      <w:r>
        <w:tab/>
        <w:t>may enter any judgment, make any order, exercise any power (including a power to amend the charge), and direct any step to be taken, which should have been given, made, exercised or taken in the first instance; and</w:t>
      </w:r>
    </w:p>
    <w:p>
      <w:pPr>
        <w:pStyle w:val="Indenta"/>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pPr>
      <w:r>
        <w:tab/>
        <w:t>(3)</w:t>
      </w:r>
      <w:r>
        <w:tab/>
        <w:t xml:space="preserve">If the Court of Appeal sets aside a judgment entered under the </w:t>
      </w:r>
      <w:r>
        <w:rPr>
          <w:i/>
        </w:rPr>
        <w:t>Criminal Procedure Act 2004</w:t>
      </w:r>
      <w:r>
        <w:t xml:space="preserve">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No. 2 of 2008 s. 36.]</w:t>
      </w:r>
    </w:p>
    <w:p>
      <w:pPr>
        <w:pStyle w:val="Heading5"/>
      </w:pPr>
      <w:bookmarkStart w:id="68" w:name="_Toc132288199"/>
      <w:r>
        <w:rPr>
          <w:rStyle w:val="CharSectno"/>
        </w:rPr>
        <w:t>34</w:t>
      </w:r>
      <w:r>
        <w:t>.</w:t>
      </w:r>
      <w:r>
        <w:tab/>
        <w:t>New trial etc., procedure if ordered</w:t>
      </w:r>
      <w:bookmarkEnd w:id="68"/>
    </w:p>
    <w:p>
      <w:pPr>
        <w:pStyle w:val="Subsection"/>
      </w:pPr>
      <w:r>
        <w:tab/>
        <w:t>(1)</w:t>
      </w:r>
      <w:r>
        <w:tab/>
        <w:t xml:space="preserve">If as a result of a decision by the Court of Appeal — </w:t>
      </w:r>
    </w:p>
    <w:p>
      <w:pPr>
        <w:pStyle w:val="Indenta"/>
        <w:spacing w:before="60"/>
      </w:pPr>
      <w:r>
        <w:tab/>
        <w:t>(a)</w:t>
      </w:r>
      <w:r>
        <w:tab/>
        <w:t>a trial or a new trial is required; or</w:t>
      </w:r>
    </w:p>
    <w:p>
      <w:pPr>
        <w:pStyle w:val="Indenta"/>
        <w:spacing w:before="60"/>
      </w:pPr>
      <w:r>
        <w:tab/>
        <w:t>(b)</w:t>
      </w:r>
      <w:r>
        <w:tab/>
        <w:t>a person is to be required to plead to a charge; or</w:t>
      </w:r>
    </w:p>
    <w:p>
      <w:pPr>
        <w:pStyle w:val="Indenta"/>
        <w:spacing w:before="60"/>
      </w:pPr>
      <w:r>
        <w:tab/>
        <w:t>(c)</w:t>
      </w:r>
      <w:r>
        <w:tab/>
        <w:t>an issue needs to be tried,</w:t>
      </w:r>
    </w:p>
    <w:p>
      <w:pPr>
        <w:pStyle w:val="Subsection"/>
      </w:pPr>
      <w:r>
        <w:lastRenderedPageBreak/>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No. 2 of 2008 s. 37.]</w:t>
      </w:r>
    </w:p>
    <w:p>
      <w:pPr>
        <w:pStyle w:val="Heading3"/>
      </w:pPr>
      <w:bookmarkStart w:id="69" w:name="_Toc132187742"/>
      <w:bookmarkStart w:id="70" w:name="_Toc132187842"/>
      <w:bookmarkStart w:id="71" w:name="_Toc132288200"/>
      <w:r>
        <w:rPr>
          <w:rStyle w:val="CharDivNo"/>
        </w:rPr>
        <w:t>Division 4</w:t>
      </w:r>
      <w:r>
        <w:t> — </w:t>
      </w:r>
      <w:r>
        <w:rPr>
          <w:rStyle w:val="CharDivText"/>
        </w:rPr>
        <w:t>Miscellaneous</w:t>
      </w:r>
      <w:bookmarkEnd w:id="69"/>
      <w:bookmarkEnd w:id="70"/>
      <w:bookmarkEnd w:id="71"/>
    </w:p>
    <w:p>
      <w:pPr>
        <w:pStyle w:val="Heading5"/>
      </w:pPr>
      <w:bookmarkStart w:id="72" w:name="_Toc132288201"/>
      <w:r>
        <w:rPr>
          <w:rStyle w:val="CharSectno"/>
        </w:rPr>
        <w:t>35</w:t>
      </w:r>
      <w:r>
        <w:t>.</w:t>
      </w:r>
      <w:r>
        <w:tab/>
        <w:t>No fees or costs</w:t>
      </w:r>
      <w:bookmarkEnd w:id="72"/>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73" w:name="_Toc132288202"/>
      <w:r>
        <w:rPr>
          <w:rStyle w:val="CharSectno"/>
        </w:rPr>
        <w:t>35A</w:t>
      </w:r>
      <w:r>
        <w:t>.</w:t>
      </w:r>
      <w:r>
        <w:tab/>
        <w:t>Accused’s costs in some appeals to be paid by State</w:t>
      </w:r>
      <w:bookmarkEnd w:id="73"/>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No. 2 of 2008 s. 38.]</w:t>
      </w:r>
    </w:p>
    <w:p>
      <w:pPr>
        <w:pStyle w:val="Heading2"/>
      </w:pPr>
      <w:bookmarkStart w:id="74" w:name="_Toc132187745"/>
      <w:bookmarkStart w:id="75" w:name="_Toc132187845"/>
      <w:bookmarkStart w:id="76" w:name="_Toc132288203"/>
      <w:r>
        <w:rPr>
          <w:rStyle w:val="CharPartNo"/>
        </w:rPr>
        <w:lastRenderedPageBreak/>
        <w:t>Part 3A</w:t>
      </w:r>
      <w:r>
        <w:rPr>
          <w:b w:val="0"/>
        </w:rPr>
        <w:t> </w:t>
      </w:r>
      <w:r>
        <w:t>—</w:t>
      </w:r>
      <w:r>
        <w:rPr>
          <w:b w:val="0"/>
        </w:rPr>
        <w:t> </w:t>
      </w:r>
      <w:r>
        <w:rPr>
          <w:rStyle w:val="CharPartText"/>
        </w:rPr>
        <w:t>Further appeals against conviction</w:t>
      </w:r>
      <w:bookmarkEnd w:id="74"/>
      <w:bookmarkEnd w:id="75"/>
      <w:bookmarkEnd w:id="76"/>
    </w:p>
    <w:p>
      <w:pPr>
        <w:pStyle w:val="Footnoteheading"/>
      </w:pPr>
      <w:r>
        <w:tab/>
        <w:t>[Heading inserted: No. 18 of 2022 s. 4.]</w:t>
      </w:r>
    </w:p>
    <w:p>
      <w:pPr>
        <w:pStyle w:val="Heading3"/>
      </w:pPr>
      <w:bookmarkStart w:id="77" w:name="_Toc132187746"/>
      <w:bookmarkStart w:id="78" w:name="_Toc132187846"/>
      <w:bookmarkStart w:id="79" w:name="_Toc132288204"/>
      <w:r>
        <w:rPr>
          <w:rStyle w:val="CharDivNo"/>
        </w:rPr>
        <w:t>Division 1</w:t>
      </w:r>
      <w:r>
        <w:t> — </w:t>
      </w:r>
      <w:r>
        <w:rPr>
          <w:rStyle w:val="CharDivText"/>
        </w:rPr>
        <w:t>Preliminary</w:t>
      </w:r>
      <w:bookmarkEnd w:id="77"/>
      <w:bookmarkEnd w:id="78"/>
      <w:bookmarkEnd w:id="79"/>
    </w:p>
    <w:p>
      <w:pPr>
        <w:pStyle w:val="Footnoteheading"/>
      </w:pPr>
      <w:r>
        <w:tab/>
        <w:t>[Heading inserted: No. 18 of 2022 s. 4.]</w:t>
      </w:r>
    </w:p>
    <w:p>
      <w:pPr>
        <w:pStyle w:val="Heading5"/>
      </w:pPr>
      <w:bookmarkStart w:id="80" w:name="_Toc132288205"/>
      <w:r>
        <w:rPr>
          <w:rStyle w:val="CharSectno"/>
        </w:rPr>
        <w:t>35B</w:t>
      </w:r>
      <w:r>
        <w:t>.</w:t>
      </w:r>
      <w:r>
        <w:tab/>
        <w:t>Application of this Part</w:t>
      </w:r>
      <w:bookmarkEnd w:id="80"/>
      <w:r>
        <w:t> </w:t>
      </w:r>
    </w:p>
    <w:p>
      <w:pPr>
        <w:pStyle w:val="Subsection"/>
      </w:pPr>
      <w:r>
        <w:tab/>
      </w:r>
      <w:r>
        <w:tab/>
        <w:t xml:space="preserve">This Part applies to an offender whether the offender was convicted of the offence to which an appeal under this Part relates before or after the </w:t>
      </w:r>
      <w:r>
        <w:rPr>
          <w:i/>
        </w:rPr>
        <w:t>Criminal Appeals Amendment Act 2022</w:t>
      </w:r>
      <w:r>
        <w:t xml:space="preserve"> came into operation.</w:t>
      </w:r>
    </w:p>
    <w:p>
      <w:pPr>
        <w:pStyle w:val="Footnotesection"/>
      </w:pPr>
      <w:r>
        <w:tab/>
        <w:t>[Section 35B inserted: No. 18 of 2022 s. 4.]</w:t>
      </w:r>
    </w:p>
    <w:p>
      <w:pPr>
        <w:pStyle w:val="Heading5"/>
      </w:pPr>
      <w:bookmarkStart w:id="81" w:name="_Toc132288206"/>
      <w:r>
        <w:rPr>
          <w:rStyle w:val="CharSectno"/>
        </w:rPr>
        <w:t>35C</w:t>
      </w:r>
      <w:r>
        <w:t>.</w:t>
      </w:r>
      <w:r>
        <w:tab/>
        <w:t>Term used: offender</w:t>
      </w:r>
      <w:bookmarkEnd w:id="81"/>
    </w:p>
    <w:p>
      <w:pPr>
        <w:pStyle w:val="Subsection"/>
      </w:pPr>
      <w:r>
        <w:tab/>
      </w:r>
      <w:r>
        <w:tab/>
        <w:t xml:space="preserve">In this Part — </w:t>
      </w:r>
    </w:p>
    <w:p>
      <w:pPr>
        <w:pStyle w:val="Defstart"/>
      </w:pPr>
      <w:r>
        <w:tab/>
      </w:r>
      <w:r>
        <w:rPr>
          <w:rStyle w:val="CharDefText"/>
        </w:rPr>
        <w:t>offender</w:t>
      </w:r>
      <w:r>
        <w:t xml:space="preserve"> has the meaning given in section 22.</w:t>
      </w:r>
    </w:p>
    <w:p>
      <w:pPr>
        <w:pStyle w:val="Footnotesection"/>
      </w:pPr>
      <w:r>
        <w:tab/>
        <w:t>[Section 35C inserted: No. 18 of 2022 s. 4.]</w:t>
      </w:r>
    </w:p>
    <w:p>
      <w:pPr>
        <w:pStyle w:val="Heading5"/>
      </w:pPr>
      <w:bookmarkStart w:id="82" w:name="_Toc132288207"/>
      <w:r>
        <w:rPr>
          <w:rStyle w:val="CharSectno"/>
        </w:rPr>
        <w:t>35D</w:t>
      </w:r>
      <w:r>
        <w:t>.</w:t>
      </w:r>
      <w:r>
        <w:tab/>
        <w:t>Fresh, new and compelling evidence</w:t>
      </w:r>
      <w:bookmarkEnd w:id="82"/>
    </w:p>
    <w:p>
      <w:pPr>
        <w:pStyle w:val="Subsection"/>
      </w:pPr>
      <w:r>
        <w:tab/>
        <w:t>(1)</w:t>
      </w:r>
      <w:r>
        <w:tab/>
        <w:t xml:space="preserve">For the purposes of this Part, evidence relating to an offence of which an offender was convicted is </w:t>
      </w:r>
      <w:r>
        <w:rPr>
          <w:b/>
          <w:i/>
        </w:rPr>
        <w:t>fresh</w:t>
      </w:r>
      <w:r>
        <w:t> —</w:t>
      </w:r>
    </w:p>
    <w:p>
      <w:pPr>
        <w:pStyle w:val="Indenta"/>
      </w:pPr>
      <w:r>
        <w:tab/>
        <w:t>(a)</w:t>
      </w:r>
      <w:r>
        <w:tab/>
        <w:t>if, despite the exercise of reasonable diligence, the evidence was not and could not have been tendered at the trial of the offence or any previous appeal; or</w:t>
      </w:r>
    </w:p>
    <w:p>
      <w:pPr>
        <w:pStyle w:val="Indenta"/>
      </w:pPr>
      <w:r>
        <w:tab/>
        <w:t>(b)</w:t>
      </w:r>
      <w:r>
        <w:tab/>
        <w:t xml:space="preserve">if — </w:t>
      </w:r>
    </w:p>
    <w:p>
      <w:pPr>
        <w:pStyle w:val="Indenti"/>
      </w:pPr>
      <w:r>
        <w:tab/>
        <w:t>(i)</w:t>
      </w:r>
      <w:r>
        <w:tab/>
        <w:t>the evidence was not tendered at the trial of the offence or any previous appeal but, with the exercise of reasonable diligence, could have been tendered at the trial of the offence or any previous appeal; and</w:t>
      </w:r>
    </w:p>
    <w:p>
      <w:pPr>
        <w:pStyle w:val="Indenti"/>
      </w:pPr>
      <w:r>
        <w:lastRenderedPageBreak/>
        <w:tab/>
        <w:t>(ii)</w:t>
      </w:r>
      <w:r>
        <w:tab/>
        <w:t>the failure to tender the evidence was due to the incompetence or negligence of a lawyer representing the offender.</w:t>
      </w:r>
    </w:p>
    <w:p>
      <w:pPr>
        <w:pStyle w:val="Subsection"/>
      </w:pPr>
      <w:r>
        <w:tab/>
        <w:t>(2)</w:t>
      </w:r>
      <w:r>
        <w:tab/>
        <w:t xml:space="preserve">For the purposes of this Part, evidence relating to an offence of which an offender was convicted is </w:t>
      </w:r>
      <w:r>
        <w:rPr>
          <w:b/>
          <w:i/>
        </w:rPr>
        <w:t>new</w:t>
      </w:r>
      <w:r>
        <w:t xml:space="preserve"> if the evidence was not tendered at the trial of the offence or any previous appeal but, with the exercise of reasonable diligence, could have been tendered at the trial of the offence or any previous appeal.</w:t>
      </w:r>
    </w:p>
    <w:p>
      <w:pPr>
        <w:pStyle w:val="Subsection"/>
      </w:pPr>
      <w:r>
        <w:tab/>
        <w:t>(3)</w:t>
      </w:r>
      <w:r>
        <w:tab/>
        <w:t>Despite subsection (2), evidence is not new evidence if it is fresh evidence under subsection (1)(b).</w:t>
      </w:r>
    </w:p>
    <w:p>
      <w:pPr>
        <w:pStyle w:val="Subsection"/>
      </w:pPr>
      <w:r>
        <w:tab/>
        <w:t>(4)</w:t>
      </w:r>
      <w:r>
        <w:tab/>
        <w:t xml:space="preserve">For the purposes of this Part, evidence relating to an offence of which an offender was convicted is </w:t>
      </w:r>
      <w:r>
        <w:rPr>
          <w:b/>
          <w:i/>
        </w:rPr>
        <w:t>compelling</w:t>
      </w:r>
      <w:r>
        <w:t xml:space="preserve"> if it is highly probative in the context of the issues in dispute at the trial of the offence.</w:t>
      </w:r>
    </w:p>
    <w:p>
      <w:pPr>
        <w:pStyle w:val="Footnotesection"/>
      </w:pPr>
      <w:r>
        <w:tab/>
        <w:t>[Section 35D inserted: No. 18 of 2022 s. 4.]</w:t>
      </w:r>
    </w:p>
    <w:p>
      <w:pPr>
        <w:pStyle w:val="Heading3"/>
      </w:pPr>
      <w:bookmarkStart w:id="83" w:name="_Toc132187750"/>
      <w:bookmarkStart w:id="84" w:name="_Toc132187850"/>
      <w:bookmarkStart w:id="85" w:name="_Toc132288208"/>
      <w:r>
        <w:rPr>
          <w:rStyle w:val="CharDivNo"/>
        </w:rPr>
        <w:t>Division 2</w:t>
      </w:r>
      <w:r>
        <w:t> — </w:t>
      </w:r>
      <w:r>
        <w:rPr>
          <w:rStyle w:val="CharDivText"/>
        </w:rPr>
        <w:t>Rights of appeal</w:t>
      </w:r>
      <w:bookmarkEnd w:id="83"/>
      <w:bookmarkEnd w:id="84"/>
      <w:bookmarkEnd w:id="85"/>
    </w:p>
    <w:p>
      <w:pPr>
        <w:pStyle w:val="Footnoteheading"/>
      </w:pPr>
      <w:r>
        <w:tab/>
        <w:t>[Heading inserted: No. 18 of 2022 s. 4.]</w:t>
      </w:r>
    </w:p>
    <w:p>
      <w:pPr>
        <w:pStyle w:val="Heading5"/>
      </w:pPr>
      <w:bookmarkStart w:id="86" w:name="_Toc132288209"/>
      <w:r>
        <w:rPr>
          <w:rStyle w:val="CharSectno"/>
        </w:rPr>
        <w:t>35E</w:t>
      </w:r>
      <w:r>
        <w:t>.</w:t>
      </w:r>
      <w:r>
        <w:tab/>
        <w:t>Second or subsequent appeal against conviction</w:t>
      </w:r>
      <w:bookmarkEnd w:id="86"/>
    </w:p>
    <w:p>
      <w:pPr>
        <w:pStyle w:val="Subsection"/>
      </w:pPr>
      <w:r>
        <w:tab/>
        <w:t>(1)</w:t>
      </w:r>
      <w:r>
        <w:tab/>
        <w:t>Subject to this Part, an offender convicted of an offence on indictment may bring a 2</w:t>
      </w:r>
      <w:r>
        <w:rPr>
          <w:vertAlign w:val="superscript"/>
        </w:rPr>
        <w:t>nd</w:t>
      </w:r>
      <w:r>
        <w:t xml:space="preserve"> or subsequent appeal to the Court of Appeal against conviction if — </w:t>
      </w:r>
    </w:p>
    <w:p>
      <w:pPr>
        <w:pStyle w:val="Indenta"/>
      </w:pPr>
      <w:r>
        <w:tab/>
        <w:t>(a)</w:t>
      </w:r>
      <w:r>
        <w:tab/>
        <w:t>there is fresh and compelling evidence relating to the offence; or</w:t>
      </w:r>
    </w:p>
    <w:p>
      <w:pPr>
        <w:pStyle w:val="Indenta"/>
      </w:pPr>
      <w:r>
        <w:tab/>
        <w:t>(b)</w:t>
      </w:r>
      <w:r>
        <w:tab/>
        <w:t>there is new and compelling evidence relating to the offence.</w:t>
      </w:r>
    </w:p>
    <w:p>
      <w:pPr>
        <w:pStyle w:val="Subsection"/>
      </w:pPr>
      <w:r>
        <w:tab/>
        <w:t>(2)</w:t>
      </w:r>
      <w:r>
        <w:tab/>
        <w:t>Evidence is not precluded from being admissible on an appeal brought under this Part just because it would not have been admissible in the earlier trial of the offence resulting in the relevant conviction.</w:t>
      </w:r>
    </w:p>
    <w:p>
      <w:pPr>
        <w:pStyle w:val="Footnotesection"/>
      </w:pPr>
      <w:r>
        <w:tab/>
        <w:t>[Section 35E inserted: No. 18 of 2022 s. 4.]</w:t>
      </w:r>
    </w:p>
    <w:p>
      <w:pPr>
        <w:pStyle w:val="Heading3"/>
      </w:pPr>
      <w:bookmarkStart w:id="87" w:name="_Toc132187752"/>
      <w:bookmarkStart w:id="88" w:name="_Toc132187852"/>
      <w:bookmarkStart w:id="89" w:name="_Toc132288210"/>
      <w:r>
        <w:rPr>
          <w:rStyle w:val="CharDivNo"/>
        </w:rPr>
        <w:lastRenderedPageBreak/>
        <w:t>Division 3</w:t>
      </w:r>
      <w:r>
        <w:t> — </w:t>
      </w:r>
      <w:r>
        <w:rPr>
          <w:rStyle w:val="CharDivText"/>
        </w:rPr>
        <w:t>Commencing and deciding appeals</w:t>
      </w:r>
      <w:bookmarkEnd w:id="87"/>
      <w:bookmarkEnd w:id="88"/>
      <w:bookmarkEnd w:id="89"/>
    </w:p>
    <w:p>
      <w:pPr>
        <w:pStyle w:val="Footnoteheading"/>
        <w:keepNext/>
      </w:pPr>
      <w:r>
        <w:tab/>
        <w:t>[Heading inserted: No. 18 of 2022 s. 4.]</w:t>
      </w:r>
    </w:p>
    <w:p>
      <w:pPr>
        <w:pStyle w:val="Heading5"/>
      </w:pPr>
      <w:bookmarkStart w:id="90" w:name="_Toc132288211"/>
      <w:r>
        <w:rPr>
          <w:rStyle w:val="CharSectno"/>
        </w:rPr>
        <w:t>35F</w:t>
      </w:r>
      <w:r>
        <w:t>.</w:t>
      </w:r>
      <w:r>
        <w:tab/>
        <w:t>Leave to appeal required in all cases</w:t>
      </w:r>
      <w:bookmarkEnd w:id="90"/>
    </w:p>
    <w:p>
      <w:pPr>
        <w:pStyle w:val="Subsection"/>
      </w:pPr>
      <w:r>
        <w:tab/>
        <w:t>(1)</w:t>
      </w:r>
      <w:r>
        <w:tab/>
        <w:t>Leave of the Court of Appeal is required for each ground of appeal in an appeal brought under this Part.</w:t>
      </w:r>
    </w:p>
    <w:p>
      <w:pPr>
        <w:pStyle w:val="Subsection"/>
      </w:pPr>
      <w:r>
        <w:tab/>
        <w:t>(2)</w:t>
      </w:r>
      <w:r>
        <w:tab/>
        <w:t>Except as provided in subsection (3), the Court of Appeal must decide whether to give leave to appeal on a ground of the appeal before the hearing of the appeal.</w:t>
      </w:r>
    </w:p>
    <w:p>
      <w:pPr>
        <w:pStyle w:val="Subsection"/>
      </w:pPr>
      <w:r>
        <w:tab/>
        <w:t>(3)</w:t>
      </w:r>
      <w:r>
        <w:tab/>
        <w:t>If the Court of Appeal considers it necessary or desirable, it may give leave to appeal at the hearing of, or when giving judgment on, the appeal.</w:t>
      </w:r>
    </w:p>
    <w:p>
      <w:pPr>
        <w:pStyle w:val="Subsection"/>
      </w:pPr>
      <w:r>
        <w:tab/>
        <w:t>(4)</w:t>
      </w:r>
      <w:r>
        <w:tab/>
        <w:t xml:space="preserve">After an appeal has commenced, the Court of Appeal must not give leave to appeal on a ground of appeal unless it is satisfied — </w:t>
      </w:r>
    </w:p>
    <w:p>
      <w:pPr>
        <w:pStyle w:val="Indenta"/>
      </w:pPr>
      <w:r>
        <w:tab/>
        <w:t>(a)</w:t>
      </w:r>
      <w:r>
        <w:tab/>
        <w:t>the ground identifies fresh and compelling evidence or new and compelling evidence that should, in the interests of justice, be considered on an appeal; and</w:t>
      </w:r>
    </w:p>
    <w:p>
      <w:pPr>
        <w:pStyle w:val="Indenta"/>
      </w:pPr>
      <w:r>
        <w:tab/>
        <w:t>(b)</w:t>
      </w:r>
      <w:r>
        <w:tab/>
        <w:t>the ground has a reasonable prospect of succeeding.</w:t>
      </w:r>
    </w:p>
    <w:p>
      <w:pPr>
        <w:pStyle w:val="Subsection"/>
      </w:pPr>
      <w:r>
        <w:tab/>
        <w:t>(5)</w:t>
      </w:r>
      <w:r>
        <w:tab/>
        <w:t>Unless the Court of Appeal gives leave to appeal on at least 1 ground of appeal, the appeal is taken to have been dismissed.</w:t>
      </w:r>
    </w:p>
    <w:p>
      <w:pPr>
        <w:pStyle w:val="Footnotesection"/>
      </w:pPr>
      <w:r>
        <w:tab/>
        <w:t>[Section 35F inserted: No. 18 of 2022 s. 4.]</w:t>
      </w:r>
    </w:p>
    <w:p>
      <w:pPr>
        <w:pStyle w:val="Heading5"/>
      </w:pPr>
      <w:bookmarkStart w:id="91" w:name="_Toc132288212"/>
      <w:r>
        <w:rPr>
          <w:rStyle w:val="CharSectno"/>
        </w:rPr>
        <w:t>35G</w:t>
      </w:r>
      <w:r>
        <w:t>.</w:t>
      </w:r>
      <w:r>
        <w:tab/>
        <w:t>Commencing appeal</w:t>
      </w:r>
      <w:bookmarkEnd w:id="91"/>
    </w:p>
    <w:p>
      <w:pPr>
        <w:pStyle w:val="Subsection"/>
      </w:pPr>
      <w:r>
        <w:tab/>
        <w:t>(1)</w:t>
      </w:r>
      <w:r>
        <w:tab/>
        <w:t>An appeal under this Part must be commenced and conducted in accordance with this Part and rules of court.</w:t>
      </w:r>
    </w:p>
    <w:p>
      <w:pPr>
        <w:pStyle w:val="Subsection"/>
      </w:pPr>
      <w:r>
        <w:tab/>
        <w:t>(2)</w:t>
      </w:r>
      <w:r>
        <w:tab/>
        <w:t>An appeal under this Part must be commenced by lodging with the Court of Appeal an application for leave to appeal that sets out the grounds for appeal.</w:t>
      </w:r>
    </w:p>
    <w:p>
      <w:pPr>
        <w:pStyle w:val="Subsection"/>
      </w:pPr>
      <w:r>
        <w:lastRenderedPageBreak/>
        <w:tab/>
        <w:t>(3)</w:t>
      </w:r>
      <w:r>
        <w:tab/>
        <w:t>On commencing an appeal, the appellant must serve a copy of the application for leave to appeal on the other party or parties to the proceedings before the trial court.</w:t>
      </w:r>
    </w:p>
    <w:p>
      <w:pPr>
        <w:pStyle w:val="Subsection"/>
      </w:pPr>
      <w:r>
        <w:tab/>
        <w:t>(4)</w:t>
      </w:r>
      <w:r>
        <w:tab/>
        <w:t>The Court of Appeal may at any time order the appellant to serve a copy of the application for leave to appeal on any other person that the court thinks fit.</w:t>
      </w:r>
    </w:p>
    <w:p>
      <w:pPr>
        <w:pStyle w:val="Footnotesection"/>
      </w:pPr>
      <w:r>
        <w:tab/>
        <w:t>[Section 35G inserted: No. 18 of 2022 s. 4.]</w:t>
      </w:r>
    </w:p>
    <w:p>
      <w:pPr>
        <w:pStyle w:val="Heading5"/>
      </w:pPr>
      <w:bookmarkStart w:id="92" w:name="_Toc132288213"/>
      <w:r>
        <w:rPr>
          <w:rStyle w:val="CharSectno"/>
        </w:rPr>
        <w:t>35H</w:t>
      </w:r>
      <w:r>
        <w:t>.</w:t>
      </w:r>
      <w:r>
        <w:tab/>
        <w:t>Decision on appeal</w:t>
      </w:r>
      <w:bookmarkEnd w:id="92"/>
    </w:p>
    <w:p>
      <w:pPr>
        <w:pStyle w:val="Subsection"/>
      </w:pPr>
      <w:r>
        <w:tab/>
        <w:t>(1)</w:t>
      </w:r>
      <w:r>
        <w:tab/>
        <w:t>Unless, under subsection (2) or (4), the Court of Appeal allows an appeal, it must dismiss the appeal.</w:t>
      </w:r>
    </w:p>
    <w:p>
      <w:pPr>
        <w:pStyle w:val="Subsection"/>
      </w:pPr>
      <w:r>
        <w:tab/>
        <w:t>(2)</w:t>
      </w:r>
      <w:r>
        <w:tab/>
        <w:t>The Court of Appeal must allow an appeal based on fresh and compelling evidence if it is satisfied there was a miscarriage of justice.</w:t>
      </w:r>
    </w:p>
    <w:p>
      <w:pPr>
        <w:pStyle w:val="Subsection"/>
      </w:pPr>
      <w:r>
        <w:tab/>
        <w:t>(3)</w:t>
      </w:r>
      <w:r>
        <w:tab/>
        <w:t>Despite subsection (2), even if 1 or more grounds might be decided in favour of the offender, the Court of Appeal may dismiss the appeal if it considers that no substantial miscarriage of justice has occurred.</w:t>
      </w:r>
    </w:p>
    <w:p>
      <w:pPr>
        <w:pStyle w:val="Subsection"/>
      </w:pPr>
      <w:r>
        <w:tab/>
        <w:t>(4)</w:t>
      </w:r>
      <w:r>
        <w:tab/>
        <w:t>The Court of Appeal must allow an appeal based on new and compelling evidence if it is satisfied on the balance of probabilities that, in light of all the evidence, the evidence establishes that the offender is innocent.</w:t>
      </w:r>
    </w:p>
    <w:p>
      <w:pPr>
        <w:pStyle w:val="Subsection"/>
      </w:pPr>
      <w:r>
        <w:tab/>
        <w:t>(5)</w:t>
      </w:r>
      <w:r>
        <w:tab/>
        <w:t xml:space="preserve">If the Court of Appeal allows the appeal, it must set aside the conviction of the offence and must — </w:t>
      </w:r>
    </w:p>
    <w:p>
      <w:pPr>
        <w:pStyle w:val="Indenta"/>
      </w:pPr>
      <w:r>
        <w:tab/>
        <w:t>(a)</w:t>
      </w:r>
      <w:r>
        <w:tab/>
        <w:t>order a new trial; or</w:t>
      </w:r>
    </w:p>
    <w:p>
      <w:pPr>
        <w:pStyle w:val="Indenta"/>
      </w:pPr>
      <w:r>
        <w:tab/>
        <w:t>(b)</w:t>
      </w:r>
      <w:r>
        <w:tab/>
        <w:t>enter a judgment, and deal with the offender in a manner, referred to in section 30(5)(b) to (e).</w:t>
      </w:r>
    </w:p>
    <w:p>
      <w:pPr>
        <w:pStyle w:val="Subsection"/>
      </w:pPr>
      <w:r>
        <w:tab/>
        <w:t>(6)</w:t>
      </w:r>
      <w:r>
        <w:tab/>
        <w:t>If the Court of Appeal orders a new trial under subsection (5)(a), section 34 applies, with any necessary modifications, as if the appeal had been brought under Part 3.</w:t>
      </w:r>
    </w:p>
    <w:p>
      <w:pPr>
        <w:pStyle w:val="Subsection"/>
      </w:pPr>
      <w:r>
        <w:lastRenderedPageBreak/>
        <w:tab/>
        <w:t>(7)</w:t>
      </w:r>
      <w:r>
        <w:tab/>
        <w:t>If the Court of Appeal enters a judgment under subsection (5)(b), section 30(6) applies, with any necessary modifications, as if the appeal had been brought under Part 3.</w:t>
      </w:r>
    </w:p>
    <w:p>
      <w:pPr>
        <w:pStyle w:val="Footnotesection"/>
      </w:pPr>
      <w:r>
        <w:tab/>
        <w:t>[Section 35H inserted: No. 18 of 2022 s. 4.]</w:t>
      </w:r>
    </w:p>
    <w:p>
      <w:pPr>
        <w:pStyle w:val="Heading3"/>
      </w:pPr>
      <w:bookmarkStart w:id="93" w:name="_Toc132187756"/>
      <w:bookmarkStart w:id="94" w:name="_Toc132187856"/>
      <w:bookmarkStart w:id="95" w:name="_Toc132288214"/>
      <w:r>
        <w:rPr>
          <w:rStyle w:val="CharDivNo"/>
        </w:rPr>
        <w:t>Division 4</w:t>
      </w:r>
      <w:r>
        <w:t> — </w:t>
      </w:r>
      <w:r>
        <w:rPr>
          <w:rStyle w:val="CharDivText"/>
        </w:rPr>
        <w:t>Fees and costs</w:t>
      </w:r>
      <w:bookmarkEnd w:id="93"/>
      <w:bookmarkEnd w:id="94"/>
      <w:bookmarkEnd w:id="95"/>
    </w:p>
    <w:p>
      <w:pPr>
        <w:pStyle w:val="Footnoteheading"/>
        <w:keepNext/>
      </w:pPr>
      <w:r>
        <w:tab/>
        <w:t>[Heading inserted: No. 18 of 2022 s. 4.]</w:t>
      </w:r>
    </w:p>
    <w:p>
      <w:pPr>
        <w:pStyle w:val="Heading5"/>
      </w:pPr>
      <w:bookmarkStart w:id="96" w:name="_Toc132288215"/>
      <w:r>
        <w:t>35I.</w:t>
      </w:r>
      <w:r>
        <w:tab/>
        <w:t>No fees</w:t>
      </w:r>
      <w:bookmarkEnd w:id="96"/>
    </w:p>
    <w:p>
      <w:pPr>
        <w:pStyle w:val="Subsection"/>
      </w:pPr>
      <w:r>
        <w:tab/>
      </w:r>
      <w:r>
        <w:tab/>
        <w:t>A party to an appeal under this Part must not be charged a fee by a court for, or in respect of, any act or proceeding that relates to the appeal or its commencement.</w:t>
      </w:r>
    </w:p>
    <w:p>
      <w:pPr>
        <w:pStyle w:val="Footnotesection"/>
      </w:pPr>
      <w:r>
        <w:tab/>
        <w:t>[Section 35I inserted: No. 18 of 2022 s. 4.]</w:t>
      </w:r>
    </w:p>
    <w:p>
      <w:pPr>
        <w:pStyle w:val="Heading5"/>
      </w:pPr>
      <w:bookmarkStart w:id="97" w:name="_Toc132288216"/>
      <w:r>
        <w:t>35J.</w:t>
      </w:r>
      <w:r>
        <w:tab/>
        <w:t>Costs against appellant</w:t>
      </w:r>
      <w:bookmarkEnd w:id="97"/>
    </w:p>
    <w:p>
      <w:pPr>
        <w:pStyle w:val="Subsection"/>
      </w:pPr>
      <w:r>
        <w:tab/>
        <w:t>(1)</w:t>
      </w:r>
      <w:r>
        <w:tab/>
        <w:t>This section applies if an application for leave to appeal under this Part is dismissed under section 35F(5).</w:t>
      </w:r>
    </w:p>
    <w:p>
      <w:pPr>
        <w:pStyle w:val="Subsection"/>
      </w:pPr>
      <w:r>
        <w:tab/>
        <w:t>(2)</w:t>
      </w:r>
      <w:r>
        <w:tab/>
        <w:t>The Court of Appeal may order the appellant to pay another party’s costs of, or relating to, the appeal.</w:t>
      </w:r>
    </w:p>
    <w:p>
      <w:pPr>
        <w:pStyle w:val="Subsection"/>
      </w:pPr>
      <w:r>
        <w:tab/>
        <w:t>(3)</w:t>
      </w:r>
      <w:r>
        <w:tab/>
        <w:t>If the Court of Appeal orders the appellant to pay any costs under subsection (2), section 21 applies, with any necessary modifications, as if the order were made under Part 2.</w:t>
      </w:r>
    </w:p>
    <w:p>
      <w:pPr>
        <w:pStyle w:val="Footnotesection"/>
      </w:pPr>
      <w:r>
        <w:tab/>
        <w:t>[Section 35J inserted: No. 18 of 2022 s. 4.]</w:t>
      </w:r>
    </w:p>
    <w:p>
      <w:pPr>
        <w:pStyle w:val="Heading2"/>
      </w:pPr>
      <w:bookmarkStart w:id="98" w:name="_Toc132187759"/>
      <w:bookmarkStart w:id="99" w:name="_Toc132187859"/>
      <w:bookmarkStart w:id="100" w:name="_Toc132288217"/>
      <w:r>
        <w:rPr>
          <w:rStyle w:val="CharPartNo"/>
        </w:rPr>
        <w:lastRenderedPageBreak/>
        <w:t>Part 4</w:t>
      </w:r>
      <w:r>
        <w:rPr>
          <w:rStyle w:val="CharDivNo"/>
        </w:rPr>
        <w:t> </w:t>
      </w:r>
      <w:r>
        <w:t>—</w:t>
      </w:r>
      <w:r>
        <w:rPr>
          <w:rStyle w:val="CharDivText"/>
        </w:rPr>
        <w:t> </w:t>
      </w:r>
      <w:r>
        <w:rPr>
          <w:rStyle w:val="CharPartText"/>
        </w:rPr>
        <w:t>Provisions applicable to any appeal</w:t>
      </w:r>
      <w:bookmarkEnd w:id="98"/>
      <w:bookmarkEnd w:id="99"/>
      <w:bookmarkEnd w:id="100"/>
    </w:p>
    <w:p>
      <w:pPr>
        <w:pStyle w:val="Heading5"/>
      </w:pPr>
      <w:bookmarkStart w:id="101" w:name="_Toc132288218"/>
      <w:r>
        <w:rPr>
          <w:rStyle w:val="CharSectno"/>
        </w:rPr>
        <w:t>36</w:t>
      </w:r>
      <w:r>
        <w:t>.</w:t>
      </w:r>
      <w:r>
        <w:tab/>
        <w:t>Terms used</w:t>
      </w:r>
      <w:bookmarkEnd w:id="101"/>
    </w:p>
    <w:p>
      <w:pPr>
        <w:pStyle w:val="Subsection"/>
      </w:pPr>
      <w:r>
        <w:tab/>
      </w:r>
      <w:r>
        <w:tab/>
        <w:t xml:space="preserve">In this Part, unless the contrary intention appears — </w:t>
      </w:r>
    </w:p>
    <w:p>
      <w:pPr>
        <w:pStyle w:val="Defstart"/>
      </w:pPr>
      <w:r>
        <w:rPr>
          <w:b/>
        </w:rPr>
        <w:tab/>
      </w:r>
      <w:r>
        <w:rPr>
          <w:rStyle w:val="CharDefText"/>
        </w:rPr>
        <w:t>appeal court</w:t>
      </w:r>
      <w:r>
        <w:t>, in relation to an appeal, means the division of the Supreme Court that has jurisdiction to hear the appeal;</w:t>
      </w:r>
    </w:p>
    <w:p>
      <w:pPr>
        <w:pStyle w:val="Defstart"/>
      </w:pPr>
      <w:r>
        <w:rPr>
          <w:b/>
        </w:rPr>
        <w:tab/>
      </w:r>
      <w:r>
        <w:rPr>
          <w:rStyle w:val="CharDefText"/>
        </w:rPr>
        <w:t>lower court</w:t>
      </w:r>
      <w:r>
        <w:t>, in relation to an appeal, means the court that made the decision that is the subject of the appeal.</w:t>
      </w:r>
    </w:p>
    <w:p>
      <w:pPr>
        <w:pStyle w:val="Heading5"/>
      </w:pPr>
      <w:bookmarkStart w:id="102" w:name="_Toc132288219"/>
      <w:r>
        <w:rPr>
          <w:rStyle w:val="CharSectno"/>
        </w:rPr>
        <w:t>37</w:t>
      </w:r>
      <w:r>
        <w:t>.</w:t>
      </w:r>
      <w:r>
        <w:tab/>
        <w:t>Application of this Part</w:t>
      </w:r>
      <w:bookmarkEnd w:id="102"/>
    </w:p>
    <w:p>
      <w:pPr>
        <w:pStyle w:val="Subsection"/>
      </w:pPr>
      <w:r>
        <w:tab/>
      </w:r>
      <w:r>
        <w:tab/>
        <w:t>This Part applies to any appeal under this Act.</w:t>
      </w:r>
    </w:p>
    <w:p>
      <w:pPr>
        <w:pStyle w:val="Heading5"/>
      </w:pPr>
      <w:bookmarkStart w:id="103" w:name="_Toc132288220"/>
      <w:r>
        <w:rPr>
          <w:rStyle w:val="CharSectno"/>
        </w:rPr>
        <w:t>38</w:t>
      </w:r>
      <w:r>
        <w:t>.</w:t>
      </w:r>
      <w:r>
        <w:tab/>
        <w:t>Multiple appeals, consolidation etc.</w:t>
      </w:r>
      <w:bookmarkEnd w:id="103"/>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04" w:name="_Toc132288221"/>
      <w:r>
        <w:rPr>
          <w:rStyle w:val="CharSectno"/>
        </w:rPr>
        <w:t>39</w:t>
      </w:r>
      <w:r>
        <w:t>.</w:t>
      </w:r>
      <w:r>
        <w:tab/>
        <w:t>Material to be considered on appeal</w:t>
      </w:r>
      <w:bookmarkEnd w:id="104"/>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lastRenderedPageBreak/>
        <w:tab/>
        <w:t>(4)</w:t>
      </w:r>
      <w:r>
        <w:tab/>
        <w:t>Subsection (1) does not prevent an appeal court from considering any evidence that the lower court refused to admit.</w:t>
      </w:r>
    </w:p>
    <w:p>
      <w:pPr>
        <w:pStyle w:val="Heading5"/>
      </w:pPr>
      <w:bookmarkStart w:id="105" w:name="_Toc132288222"/>
      <w:r>
        <w:rPr>
          <w:rStyle w:val="CharSectno"/>
        </w:rPr>
        <w:t>40</w:t>
      </w:r>
      <w:r>
        <w:t>.</w:t>
      </w:r>
      <w:r>
        <w:tab/>
        <w:t>General powers to deal with appeals</w:t>
      </w:r>
      <w:bookmarkEnd w:id="105"/>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lastRenderedPageBreak/>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lastRenderedPageBreak/>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spacing w:before="600"/>
      </w:pPr>
      <w:bookmarkStart w:id="106" w:name="_Toc132288223"/>
      <w:r>
        <w:rPr>
          <w:rStyle w:val="CharSectno"/>
        </w:rPr>
        <w:t>41</w:t>
      </w:r>
      <w:r>
        <w:t>.</w:t>
      </w:r>
      <w:r>
        <w:tab/>
        <w:t>Sentencing or re</w:t>
      </w:r>
      <w:r>
        <w:noBreakHyphen/>
        <w:t>sentencing on appeal</w:t>
      </w:r>
      <w:bookmarkEnd w:id="106"/>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rStyle w:val="CharDefText"/>
        </w:rPr>
        <w:t>sentence A</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w:t>
      </w:r>
      <w:r>
        <w:lastRenderedPageBreak/>
        <w:t>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pPr>
      <w:r>
        <w:tab/>
        <w:t>(6)</w:t>
      </w:r>
      <w:r>
        <w:tab/>
        <w:t xml:space="preserve">If an appeal court, in deciding an appeal in relation to a person sentenced to imprisonment — </w:t>
      </w:r>
    </w:p>
    <w:p>
      <w:pPr>
        <w:pStyle w:val="Indenta"/>
      </w:pPr>
      <w:r>
        <w:tab/>
        <w:t>(a)</w:t>
      </w:r>
      <w:r>
        <w:tab/>
        <w:t>sets aside the sentence; or</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pPr>
      <w:r>
        <w:tab/>
      </w:r>
      <w:r>
        <w:tab/>
        <w:t xml:space="preserve">the court must send a memorandum setting out the result of the appeal to the chief executive officer (as defined in the </w:t>
      </w:r>
      <w:r>
        <w:rPr>
          <w:i/>
        </w:rPr>
        <w:t>Prisons Act 1981</w:t>
      </w:r>
      <w:r>
        <w:t>).</w:t>
      </w:r>
    </w:p>
    <w:p>
      <w:pPr>
        <w:pStyle w:val="Subsection"/>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pPr>
      <w:r>
        <w:tab/>
        <w:t>(8)</w:t>
      </w:r>
      <w:r>
        <w:tab/>
        <w:t>If subsection (6)(b) applies, the warrant for the imprisonment of the person previously issued and in force has effect as if it were amended in accordance with the memorandum.</w:t>
      </w:r>
    </w:p>
    <w:p>
      <w:pPr>
        <w:pStyle w:val="Subsection"/>
      </w:pPr>
      <w:r>
        <w:tab/>
        <w:t>(9)</w:t>
      </w:r>
      <w:r>
        <w:tab/>
        <w:t xml:space="preserve">The memorandum is to be put in the records of the department (as defined in the </w:t>
      </w:r>
      <w:r>
        <w:rPr>
          <w:i/>
        </w:rPr>
        <w:t>Prisons Act 1981</w:t>
      </w:r>
      <w:r>
        <w:t>) and is evidence of the matters stated in it.</w:t>
      </w:r>
    </w:p>
    <w:p>
      <w:pPr>
        <w:pStyle w:val="Subsection"/>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No. 2 of 2008 s. 39.]</w:t>
      </w:r>
    </w:p>
    <w:p>
      <w:pPr>
        <w:pStyle w:val="Heading5"/>
      </w:pPr>
      <w:bookmarkStart w:id="107" w:name="_Toc132288224"/>
      <w:r>
        <w:rPr>
          <w:rStyle w:val="CharSectno"/>
        </w:rPr>
        <w:lastRenderedPageBreak/>
        <w:t>42</w:t>
      </w:r>
      <w:r>
        <w:t>.</w:t>
      </w:r>
      <w:r>
        <w:tab/>
        <w:t>Result of appeal to be given to other court</w:t>
      </w:r>
      <w:bookmarkEnd w:id="107"/>
    </w:p>
    <w:p>
      <w:pPr>
        <w:pStyle w:val="Subsection"/>
      </w:pPr>
      <w:r>
        <w:tab/>
        <w:t>(1)</w:t>
      </w:r>
      <w:r>
        <w:tab/>
        <w:t>When an appeal is concluded, the appeal court must send a memorandum setting out the result of the appeal to the lower court.</w:t>
      </w:r>
    </w:p>
    <w:p>
      <w:pPr>
        <w:pStyle w:val="Subsection"/>
        <w:keepNext/>
        <w:keepLines/>
      </w:pPr>
      <w:r>
        <w:tab/>
        <w:t>(2)</w:t>
      </w:r>
      <w:r>
        <w:tab/>
        <w:t>The memorandum is to be put in the records of the lower court and is evidence of the matters stated in it.</w:t>
      </w:r>
    </w:p>
    <w:p>
      <w:pPr>
        <w:pStyle w:val="Heading5"/>
      </w:pPr>
      <w:bookmarkStart w:id="108" w:name="_Toc132288225"/>
      <w:r>
        <w:rPr>
          <w:rStyle w:val="CharSectno"/>
        </w:rPr>
        <w:t>43</w:t>
      </w:r>
      <w:r>
        <w:t>.</w:t>
      </w:r>
      <w:r>
        <w:tab/>
        <w:t>Party in custody, entitlement to be present at appeal</w:t>
      </w:r>
      <w:bookmarkEnd w:id="108"/>
    </w:p>
    <w:p>
      <w:pPr>
        <w:pStyle w:val="Subsection"/>
      </w:pPr>
      <w:r>
        <w:tab/>
        <w:t>(1)</w:t>
      </w:r>
      <w:r>
        <w:tab/>
        <w:t xml:space="preserve">In this section — </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09" w:name="_Toc132288226"/>
      <w:r>
        <w:rPr>
          <w:rStyle w:val="CharSectno"/>
        </w:rPr>
        <w:lastRenderedPageBreak/>
        <w:t>44</w:t>
      </w:r>
      <w:r>
        <w:t>.</w:t>
      </w:r>
      <w:r>
        <w:tab/>
        <w:t>Appellant in custody, treatment of</w:t>
      </w:r>
      <w:bookmarkEnd w:id="109"/>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10" w:name="_Toc132288227"/>
      <w:r>
        <w:rPr>
          <w:rStyle w:val="CharSectno"/>
        </w:rPr>
        <w:t>45</w:t>
      </w:r>
      <w:r>
        <w:t>.</w:t>
      </w:r>
      <w:r>
        <w:tab/>
        <w:t>Exhibits</w:t>
      </w:r>
      <w:bookmarkEnd w:id="110"/>
    </w:p>
    <w:p>
      <w:pPr>
        <w:pStyle w:val="Subsection"/>
      </w:pPr>
      <w:r>
        <w:tab/>
        <w:t>(1)</w:t>
      </w:r>
      <w:r>
        <w:tab/>
        <w:t>If an appeal court orders a lower court to deal with a case again, the appeal court must return each exhibit received from the lower court to it.</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lastRenderedPageBreak/>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Footnotesection"/>
      </w:pPr>
      <w:r>
        <w:tab/>
        <w:t>[Section 45 amended: No. 5 of 2008 s. 28.]</w:t>
      </w:r>
    </w:p>
    <w:p>
      <w:pPr>
        <w:pStyle w:val="Heading2"/>
      </w:pPr>
      <w:bookmarkStart w:id="111" w:name="_Toc132187770"/>
      <w:bookmarkStart w:id="112" w:name="_Toc132187870"/>
      <w:bookmarkStart w:id="113" w:name="_Toc132288228"/>
      <w:r>
        <w:rPr>
          <w:rStyle w:val="CharPartNo"/>
        </w:rPr>
        <w:lastRenderedPageBreak/>
        <w:t>Part 5A</w:t>
      </w:r>
      <w:r>
        <w:rPr>
          <w:rStyle w:val="CharDivNo"/>
        </w:rPr>
        <w:t> </w:t>
      </w:r>
      <w:r>
        <w:t>—</w:t>
      </w:r>
      <w:r>
        <w:rPr>
          <w:rStyle w:val="CharDivText"/>
        </w:rPr>
        <w:t> </w:t>
      </w:r>
      <w:r>
        <w:rPr>
          <w:rStyle w:val="CharPartText"/>
        </w:rPr>
        <w:t>Prosecuting acquitted accused</w:t>
      </w:r>
      <w:bookmarkEnd w:id="111"/>
      <w:bookmarkEnd w:id="112"/>
      <w:bookmarkEnd w:id="113"/>
    </w:p>
    <w:p>
      <w:pPr>
        <w:pStyle w:val="Footnoteheading"/>
      </w:pPr>
      <w:r>
        <w:tab/>
        <w:t>[Heading inserted: No. 9 of 2012 s. 4.]</w:t>
      </w:r>
    </w:p>
    <w:p>
      <w:pPr>
        <w:pStyle w:val="Heading5"/>
      </w:pPr>
      <w:bookmarkStart w:id="114" w:name="_Toc132288229"/>
      <w:r>
        <w:rPr>
          <w:rStyle w:val="CharSectno"/>
        </w:rPr>
        <w:t>46A</w:t>
      </w:r>
      <w:r>
        <w:t>.</w:t>
      </w:r>
      <w:r>
        <w:tab/>
        <w:t>Terms used</w:t>
      </w:r>
      <w:bookmarkEnd w:id="114"/>
    </w:p>
    <w:p>
      <w:pPr>
        <w:pStyle w:val="Subsection"/>
      </w:pPr>
      <w:r>
        <w:tab/>
        <w:t>(1)</w:t>
      </w:r>
      <w:r>
        <w:tab/>
        <w:t>In this Part, unless the contrary intention appears —</w:t>
      </w:r>
    </w:p>
    <w:p>
      <w:pPr>
        <w:pStyle w:val="Defstart"/>
      </w:pPr>
      <w:r>
        <w:tab/>
      </w:r>
      <w:r>
        <w:rPr>
          <w:rStyle w:val="CharDefText"/>
        </w:rPr>
        <w:t>acquitted accused</w:t>
      </w:r>
      <w:r>
        <w:t xml:space="preserve"> has the meaning given in section 46B(1);</w:t>
      </w:r>
    </w:p>
    <w:p>
      <w:pPr>
        <w:pStyle w:val="Defstart"/>
      </w:pPr>
      <w:r>
        <w:tab/>
      </w:r>
      <w:r>
        <w:rPr>
          <w:rStyle w:val="CharDefText"/>
        </w:rPr>
        <w:t>AOJ offence</w:t>
      </w:r>
      <w:r>
        <w:t xml:space="preserve"> means —</w:t>
      </w:r>
    </w:p>
    <w:p>
      <w:pPr>
        <w:pStyle w:val="Defpara"/>
      </w:pPr>
      <w:r>
        <w:tab/>
        <w:t>(a)</w:t>
      </w:r>
      <w:r>
        <w:tab/>
        <w:t>an administration of justice offence listed in subsection (2); or</w:t>
      </w:r>
    </w:p>
    <w:p>
      <w:pPr>
        <w:pStyle w:val="Defpara"/>
      </w:pPr>
      <w:r>
        <w:tab/>
        <w:t>(b)</w:t>
      </w:r>
      <w:r>
        <w:tab/>
        <w:t>an offence under the law of a place outside this State that is substantially similar to an administration of justice offence listed in subsection (2);</w:t>
      </w:r>
    </w:p>
    <w:p>
      <w:pPr>
        <w:pStyle w:val="Defstart"/>
      </w:pPr>
      <w:r>
        <w:tab/>
      </w:r>
      <w:r>
        <w:rPr>
          <w:rStyle w:val="CharDefText"/>
        </w:rPr>
        <w:t>authorised officer</w:t>
      </w:r>
      <w:r>
        <w:t xml:space="preserve"> means —</w:t>
      </w:r>
    </w:p>
    <w:p>
      <w:pPr>
        <w:pStyle w:val="Defpara"/>
      </w:pPr>
      <w:r>
        <w:tab/>
        <w:t>(a)</w:t>
      </w:r>
      <w:r>
        <w:tab/>
        <w:t>the Attorney General; or</w:t>
      </w:r>
    </w:p>
    <w:p>
      <w:pPr>
        <w:pStyle w:val="Defpara"/>
        <w:rPr>
          <w:iCs/>
        </w:rPr>
      </w:pPr>
      <w:r>
        <w:tab/>
        <w:t>(b)</w:t>
      </w:r>
      <w:r>
        <w:tab/>
        <w:t xml:space="preserve">the </w:t>
      </w:r>
      <w:r>
        <w:rPr>
          <w:iCs/>
        </w:rPr>
        <w:t>Solicitor</w:t>
      </w:r>
      <w:r>
        <w:rPr>
          <w:iCs/>
        </w:rPr>
        <w:noBreakHyphen/>
        <w:t>General; or</w:t>
      </w:r>
    </w:p>
    <w:p>
      <w:pPr>
        <w:pStyle w:val="Defpara"/>
        <w:rPr>
          <w:iCs/>
        </w:rPr>
      </w:pPr>
      <w:r>
        <w:rPr>
          <w:iCs/>
        </w:rPr>
        <w:tab/>
        <w:t>(c)</w:t>
      </w:r>
      <w:r>
        <w:rPr>
          <w:iCs/>
        </w:rPr>
        <w:tab/>
        <w:t>the State Solicitor; or</w:t>
      </w:r>
    </w:p>
    <w:p>
      <w:pPr>
        <w:pStyle w:val="Defpara"/>
        <w:rPr>
          <w:iCs/>
        </w:rPr>
      </w:pPr>
      <w:r>
        <w:rPr>
          <w:iCs/>
        </w:rPr>
        <w:tab/>
        <w:t>(d)</w:t>
      </w:r>
      <w:r>
        <w:rPr>
          <w:iCs/>
        </w:rPr>
        <w:tab/>
        <w:t>the DPP; or</w:t>
      </w:r>
    </w:p>
    <w:p>
      <w:pPr>
        <w:pStyle w:val="Defpara"/>
        <w:rPr>
          <w:iCs/>
        </w:rPr>
      </w:pPr>
      <w:r>
        <w:tab/>
        <w:t>(e)</w:t>
      </w:r>
      <w:r>
        <w:tab/>
        <w:t xml:space="preserve">the Director of Public Prosecutions appointed under the </w:t>
      </w:r>
      <w:r>
        <w:rPr>
          <w:i/>
        </w:rPr>
        <w:t xml:space="preserve">Director of Public Prosecutions Act 1983 </w:t>
      </w:r>
      <w:r>
        <w:t>(Commonwealth);</w:t>
      </w:r>
    </w:p>
    <w:p>
      <w:pPr>
        <w:pStyle w:val="Defstart"/>
      </w:pPr>
      <w:r>
        <w:tab/>
      </w:r>
      <w:r>
        <w:rPr>
          <w:rStyle w:val="CharDefText"/>
        </w:rPr>
        <w:t>charge A</w:t>
      </w:r>
      <w:r>
        <w:t>, in relation to an acquitted accused, has the meaning given in section 46B(1);</w:t>
      </w:r>
    </w:p>
    <w:p>
      <w:pPr>
        <w:pStyle w:val="Defstart"/>
      </w:pPr>
      <w:r>
        <w:tab/>
      </w:r>
      <w:r>
        <w:rPr>
          <w:rStyle w:val="CharDefText"/>
        </w:rPr>
        <w:t>leave application</w:t>
      </w:r>
      <w:r>
        <w:t xml:space="preserve"> means an application for leave made under section 46E;</w:t>
      </w:r>
    </w:p>
    <w:p>
      <w:pPr>
        <w:pStyle w:val="Defstart"/>
      </w:pPr>
      <w:r>
        <w:tab/>
      </w:r>
      <w:r>
        <w:rPr>
          <w:rStyle w:val="CharDefText"/>
        </w:rPr>
        <w:t>new charge</w:t>
      </w:r>
      <w:r>
        <w:t>, in relation to an acquitted accused, has the meaning given in section 46E(1);</w:t>
      </w:r>
    </w:p>
    <w:p>
      <w:pPr>
        <w:pStyle w:val="Defstart"/>
      </w:pPr>
      <w:r>
        <w:tab/>
      </w:r>
      <w:r>
        <w:rPr>
          <w:rStyle w:val="CharDefText"/>
        </w:rPr>
        <w:t>offence A</w:t>
      </w:r>
      <w:r>
        <w:t>, in relation to an acquitted accused, has the meaning given in section 46B(1);</w:t>
      </w:r>
    </w:p>
    <w:p>
      <w:pPr>
        <w:pStyle w:val="Defstart"/>
      </w:pPr>
      <w:r>
        <w:tab/>
      </w:r>
      <w:r>
        <w:rPr>
          <w:rStyle w:val="CharDefText"/>
        </w:rPr>
        <w:t>serious offence</w:t>
      </w:r>
      <w:r>
        <w:t xml:space="preserve"> means an indictable offence the statutory penalty for which is —</w:t>
      </w:r>
    </w:p>
    <w:p>
      <w:pPr>
        <w:pStyle w:val="Defpara"/>
      </w:pPr>
      <w:r>
        <w:tab/>
        <w:t>(a)</w:t>
      </w:r>
      <w:r>
        <w:tab/>
        <w:t>life imprisonment; or</w:t>
      </w:r>
    </w:p>
    <w:p>
      <w:pPr>
        <w:pStyle w:val="Defpara"/>
      </w:pPr>
      <w:r>
        <w:lastRenderedPageBreak/>
        <w:tab/>
        <w:t>(b)</w:t>
      </w:r>
      <w:r>
        <w:tab/>
        <w:t>imprisonment for 14 years or more;</w:t>
      </w:r>
    </w:p>
    <w:p>
      <w:pPr>
        <w:pStyle w:val="Defstart"/>
      </w:pPr>
      <w:r>
        <w:tab/>
      </w:r>
      <w:r>
        <w:rPr>
          <w:rStyle w:val="CharDefText"/>
        </w:rPr>
        <w:t>trial A</w:t>
      </w:r>
      <w:r>
        <w:t>, in relation to an acquitted accused, has the meaning given in section 46B(1).</w:t>
      </w:r>
    </w:p>
    <w:p>
      <w:pPr>
        <w:pStyle w:val="Subsection"/>
      </w:pPr>
      <w:r>
        <w:tab/>
        <w:t>(2)</w:t>
      </w:r>
      <w:r>
        <w:tab/>
        <w:t xml:space="preserve">For the purposes of this Part, an offence under a section of </w:t>
      </w:r>
      <w:r>
        <w:rPr>
          <w:i/>
          <w:iCs/>
        </w:rPr>
        <w:t xml:space="preserve">The Criminal Code </w:t>
      </w:r>
      <w:r>
        <w:t>listed in the Table is an administration of justice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41"/>
        <w:gridCol w:w="4394"/>
      </w:tblGrid>
      <w:tr>
        <w:trPr>
          <w:tblHeader/>
        </w:trPr>
        <w:tc>
          <w:tcPr>
            <w:tcW w:w="941" w:type="dxa"/>
          </w:tcPr>
          <w:p>
            <w:pPr>
              <w:pStyle w:val="TableNAm"/>
            </w:pPr>
            <w:r>
              <w:rPr>
                <w:b/>
                <w:bCs/>
              </w:rPr>
              <w:t>Section</w:t>
            </w:r>
          </w:p>
        </w:tc>
        <w:tc>
          <w:tcPr>
            <w:tcW w:w="4394" w:type="dxa"/>
          </w:tcPr>
          <w:p>
            <w:pPr>
              <w:pStyle w:val="TableNAm"/>
            </w:pPr>
            <w:r>
              <w:rPr>
                <w:b/>
                <w:bCs/>
              </w:rPr>
              <w:t>Description of offence</w:t>
            </w:r>
          </w:p>
        </w:tc>
      </w:tr>
      <w:tr>
        <w:tc>
          <w:tcPr>
            <w:tcW w:w="941" w:type="dxa"/>
          </w:tcPr>
          <w:p>
            <w:pPr>
              <w:pStyle w:val="TableNAm"/>
            </w:pPr>
            <w:r>
              <w:t>s. 82</w:t>
            </w:r>
          </w:p>
        </w:tc>
        <w:tc>
          <w:tcPr>
            <w:tcW w:w="4394" w:type="dxa"/>
          </w:tcPr>
          <w:p>
            <w:pPr>
              <w:pStyle w:val="TableNAm"/>
            </w:pPr>
            <w:r>
              <w:t>Bribery of public officer</w:t>
            </w:r>
          </w:p>
        </w:tc>
      </w:tr>
      <w:tr>
        <w:tc>
          <w:tcPr>
            <w:tcW w:w="941" w:type="dxa"/>
          </w:tcPr>
          <w:p>
            <w:pPr>
              <w:pStyle w:val="TableNAm"/>
            </w:pPr>
            <w:r>
              <w:t>s. 121</w:t>
            </w:r>
          </w:p>
        </w:tc>
        <w:tc>
          <w:tcPr>
            <w:tcW w:w="4394" w:type="dxa"/>
          </w:tcPr>
          <w:p>
            <w:pPr>
              <w:pStyle w:val="TableNAm"/>
            </w:pPr>
            <w:r>
              <w:t>Judicial corruption</w:t>
            </w:r>
          </w:p>
        </w:tc>
      </w:tr>
      <w:tr>
        <w:tc>
          <w:tcPr>
            <w:tcW w:w="941" w:type="dxa"/>
          </w:tcPr>
          <w:p>
            <w:pPr>
              <w:pStyle w:val="TableNAm"/>
            </w:pPr>
            <w:r>
              <w:t>s. 122</w:t>
            </w:r>
          </w:p>
        </w:tc>
        <w:tc>
          <w:tcPr>
            <w:tcW w:w="4394" w:type="dxa"/>
          </w:tcPr>
          <w:p>
            <w:pPr>
              <w:pStyle w:val="TableNAm"/>
            </w:pPr>
            <w:r>
              <w:t>Official corruption not judicial but relating to offences</w:t>
            </w:r>
          </w:p>
        </w:tc>
      </w:tr>
      <w:tr>
        <w:tc>
          <w:tcPr>
            <w:tcW w:w="941" w:type="dxa"/>
          </w:tcPr>
          <w:p>
            <w:pPr>
              <w:pStyle w:val="TableNAm"/>
            </w:pPr>
            <w:r>
              <w:t>s. 123</w:t>
            </w:r>
          </w:p>
        </w:tc>
        <w:tc>
          <w:tcPr>
            <w:tcW w:w="4394" w:type="dxa"/>
          </w:tcPr>
          <w:p>
            <w:pPr>
              <w:pStyle w:val="TableNAm"/>
            </w:pPr>
            <w:r>
              <w:t>Corrupting or threatening jurors</w:t>
            </w:r>
          </w:p>
        </w:tc>
      </w:tr>
      <w:tr>
        <w:tc>
          <w:tcPr>
            <w:tcW w:w="941" w:type="dxa"/>
          </w:tcPr>
          <w:p>
            <w:pPr>
              <w:pStyle w:val="TableNAm"/>
            </w:pPr>
            <w:r>
              <w:t>s. 124</w:t>
            </w:r>
          </w:p>
        </w:tc>
        <w:tc>
          <w:tcPr>
            <w:tcW w:w="4394" w:type="dxa"/>
          </w:tcPr>
          <w:p>
            <w:pPr>
              <w:pStyle w:val="TableNAm"/>
            </w:pPr>
            <w:r>
              <w:t>Perjury</w:t>
            </w:r>
          </w:p>
        </w:tc>
      </w:tr>
      <w:tr>
        <w:tc>
          <w:tcPr>
            <w:tcW w:w="941" w:type="dxa"/>
          </w:tcPr>
          <w:p>
            <w:pPr>
              <w:pStyle w:val="TableNAm"/>
            </w:pPr>
            <w:r>
              <w:t>s. 129</w:t>
            </w:r>
          </w:p>
        </w:tc>
        <w:tc>
          <w:tcPr>
            <w:tcW w:w="4394" w:type="dxa"/>
          </w:tcPr>
          <w:p>
            <w:pPr>
              <w:pStyle w:val="TableNAm"/>
            </w:pPr>
            <w:r>
              <w:t>Fabricating evidence</w:t>
            </w:r>
          </w:p>
        </w:tc>
      </w:tr>
      <w:tr>
        <w:tc>
          <w:tcPr>
            <w:tcW w:w="941" w:type="dxa"/>
          </w:tcPr>
          <w:p>
            <w:pPr>
              <w:pStyle w:val="TableNAm"/>
            </w:pPr>
            <w:r>
              <w:t>s. 130</w:t>
            </w:r>
          </w:p>
        </w:tc>
        <w:tc>
          <w:tcPr>
            <w:tcW w:w="4394" w:type="dxa"/>
          </w:tcPr>
          <w:p>
            <w:pPr>
              <w:pStyle w:val="TableNAm"/>
            </w:pPr>
            <w:r>
              <w:t>Corruption of witnesses</w:t>
            </w:r>
          </w:p>
        </w:tc>
      </w:tr>
      <w:tr>
        <w:tc>
          <w:tcPr>
            <w:tcW w:w="941" w:type="dxa"/>
          </w:tcPr>
          <w:p>
            <w:pPr>
              <w:pStyle w:val="TableNAm"/>
            </w:pPr>
            <w:r>
              <w:t>s. 131</w:t>
            </w:r>
          </w:p>
        </w:tc>
        <w:tc>
          <w:tcPr>
            <w:tcW w:w="4394" w:type="dxa"/>
          </w:tcPr>
          <w:p>
            <w:pPr>
              <w:pStyle w:val="TableNAm"/>
            </w:pPr>
            <w:r>
              <w:t>Deceiving witnesses</w:t>
            </w:r>
          </w:p>
        </w:tc>
      </w:tr>
      <w:tr>
        <w:tc>
          <w:tcPr>
            <w:tcW w:w="941" w:type="dxa"/>
          </w:tcPr>
          <w:p>
            <w:pPr>
              <w:pStyle w:val="TableNAm"/>
            </w:pPr>
            <w:r>
              <w:t>s. 132</w:t>
            </w:r>
          </w:p>
        </w:tc>
        <w:tc>
          <w:tcPr>
            <w:tcW w:w="4394" w:type="dxa"/>
          </w:tcPr>
          <w:p>
            <w:pPr>
              <w:pStyle w:val="TableNAm"/>
            </w:pPr>
            <w:r>
              <w:t>Destroying evidence</w:t>
            </w:r>
          </w:p>
        </w:tc>
      </w:tr>
      <w:tr>
        <w:tc>
          <w:tcPr>
            <w:tcW w:w="941" w:type="dxa"/>
          </w:tcPr>
          <w:p>
            <w:pPr>
              <w:pStyle w:val="TableNAm"/>
            </w:pPr>
            <w:r>
              <w:t>s. 133</w:t>
            </w:r>
          </w:p>
        </w:tc>
        <w:tc>
          <w:tcPr>
            <w:tcW w:w="4394" w:type="dxa"/>
          </w:tcPr>
          <w:p>
            <w:pPr>
              <w:pStyle w:val="TableNAm"/>
            </w:pPr>
            <w:r>
              <w:t>Preventing witnesses from attending</w:t>
            </w:r>
          </w:p>
        </w:tc>
      </w:tr>
      <w:tr>
        <w:tc>
          <w:tcPr>
            <w:tcW w:w="941" w:type="dxa"/>
          </w:tcPr>
          <w:p>
            <w:pPr>
              <w:pStyle w:val="TableNAm"/>
            </w:pPr>
            <w:r>
              <w:t>s. 135</w:t>
            </w:r>
          </w:p>
        </w:tc>
        <w:tc>
          <w:tcPr>
            <w:tcW w:w="4394" w:type="dxa"/>
          </w:tcPr>
          <w:p>
            <w:pPr>
              <w:pStyle w:val="TableNAm"/>
            </w:pPr>
            <w:r>
              <w:t>Conspiring to defeat justice</w:t>
            </w:r>
          </w:p>
        </w:tc>
      </w:tr>
      <w:tr>
        <w:tc>
          <w:tcPr>
            <w:tcW w:w="941" w:type="dxa"/>
          </w:tcPr>
          <w:p>
            <w:pPr>
              <w:pStyle w:val="TableNAm"/>
            </w:pPr>
            <w:r>
              <w:t>s. 136</w:t>
            </w:r>
          </w:p>
        </w:tc>
        <w:tc>
          <w:tcPr>
            <w:tcW w:w="4394" w:type="dxa"/>
          </w:tcPr>
          <w:p>
            <w:pPr>
              <w:pStyle w:val="TableNAm"/>
            </w:pPr>
            <w:r>
              <w:t>Compounding or concealing offences</w:t>
            </w:r>
          </w:p>
        </w:tc>
      </w:tr>
      <w:tr>
        <w:tc>
          <w:tcPr>
            <w:tcW w:w="941" w:type="dxa"/>
          </w:tcPr>
          <w:p>
            <w:pPr>
              <w:pStyle w:val="TableNAm"/>
            </w:pPr>
            <w:r>
              <w:t>s. 143</w:t>
            </w:r>
          </w:p>
        </w:tc>
        <w:tc>
          <w:tcPr>
            <w:tcW w:w="4394" w:type="dxa"/>
          </w:tcPr>
          <w:p>
            <w:pPr>
              <w:pStyle w:val="TableNAm"/>
            </w:pPr>
            <w:r>
              <w:t>Attempting to pervert course of justice</w:t>
            </w:r>
          </w:p>
        </w:tc>
      </w:tr>
    </w:tbl>
    <w:p>
      <w:pPr>
        <w:pStyle w:val="Footnotesection"/>
      </w:pPr>
      <w:r>
        <w:tab/>
        <w:t>[Section 46A inserted: No. 9 of 2012 s. 4.]</w:t>
      </w:r>
    </w:p>
    <w:p>
      <w:pPr>
        <w:pStyle w:val="Heading5"/>
        <w:spacing w:before="600"/>
      </w:pPr>
      <w:bookmarkStart w:id="115" w:name="_Toc132288230"/>
      <w:r>
        <w:rPr>
          <w:rStyle w:val="CharSectno"/>
        </w:rPr>
        <w:lastRenderedPageBreak/>
        <w:t>46B</w:t>
      </w:r>
      <w:r>
        <w:t>.</w:t>
      </w:r>
      <w:r>
        <w:tab/>
        <w:t>Term used: acquitted accused</w:t>
      </w:r>
      <w:bookmarkEnd w:id="115"/>
    </w:p>
    <w:p>
      <w:pPr>
        <w:pStyle w:val="Subsection"/>
      </w:pPr>
      <w:r>
        <w:tab/>
        <w:t>(1)</w:t>
      </w:r>
      <w:r>
        <w:tab/>
        <w:t xml:space="preserve">For the purposes of this Part a person is an </w:t>
      </w:r>
      <w:r>
        <w:rPr>
          <w:rStyle w:val="CharDefText"/>
        </w:rPr>
        <w:t>acquitted accused</w:t>
      </w:r>
      <w:r>
        <w:t xml:space="preserve"> if the person, in this State or elsewhere —</w:t>
      </w:r>
    </w:p>
    <w:p>
      <w:pPr>
        <w:pStyle w:val="Indenta"/>
      </w:pPr>
      <w:r>
        <w:tab/>
        <w:t>(a)</w:t>
      </w:r>
      <w:r>
        <w:tab/>
        <w:t>is tried on a charge (</w:t>
      </w:r>
      <w:r>
        <w:rPr>
          <w:rStyle w:val="CharDefText"/>
        </w:rPr>
        <w:t>charge A</w:t>
      </w:r>
      <w:r>
        <w:t>) of a serious offence (</w:t>
      </w:r>
      <w:r>
        <w:rPr>
          <w:rStyle w:val="CharDefText"/>
        </w:rPr>
        <w:t>offence A</w:t>
      </w:r>
      <w:r>
        <w:t>); and</w:t>
      </w:r>
    </w:p>
    <w:p>
      <w:pPr>
        <w:pStyle w:val="Indenta"/>
      </w:pPr>
      <w:r>
        <w:tab/>
        <w:t>(b)</w:t>
      </w:r>
      <w:r>
        <w:tab/>
        <w:t>at the trial (</w:t>
      </w:r>
      <w:r>
        <w:rPr>
          <w:rStyle w:val="CharDefText"/>
        </w:rPr>
        <w:t>trial A</w:t>
      </w:r>
      <w:r>
        <w:t>), or on appeal from a conviction in trial A, is acquitted, other than on account of unsoundness of mind, of —</w:t>
      </w:r>
    </w:p>
    <w:p>
      <w:pPr>
        <w:pStyle w:val="Indenti"/>
      </w:pPr>
      <w:r>
        <w:tab/>
        <w:t>(i)</w:t>
      </w:r>
      <w:r>
        <w:tab/>
        <w:t>charge A; and</w:t>
      </w:r>
    </w:p>
    <w:p>
      <w:pPr>
        <w:pStyle w:val="Indenti"/>
      </w:pPr>
      <w:r>
        <w:tab/>
        <w:t>(ii)</w:t>
      </w:r>
      <w:r>
        <w:tab/>
        <w:t>any other offence of which, on charge A, the acquitted accused might have been convicted instead of offence A.</w:t>
      </w:r>
    </w:p>
    <w:p>
      <w:pPr>
        <w:pStyle w:val="Subsection"/>
      </w:pPr>
      <w:r>
        <w:tab/>
        <w:t>(2)</w:t>
      </w:r>
      <w:r>
        <w:tab/>
        <w:t>For the purposes of subsection (1) it does not matter if the acquittal occurred before or after the commencement of this Part.</w:t>
      </w:r>
    </w:p>
    <w:p>
      <w:pPr>
        <w:pStyle w:val="Footnotesection"/>
      </w:pPr>
      <w:r>
        <w:tab/>
        <w:t>[Section 46B inserted: No. 9 of 2012 s. 4.]</w:t>
      </w:r>
    </w:p>
    <w:p>
      <w:pPr>
        <w:pStyle w:val="Heading5"/>
      </w:pPr>
      <w:bookmarkStart w:id="116" w:name="_Toc132288231"/>
      <w:r>
        <w:rPr>
          <w:rStyle w:val="CharSectno"/>
        </w:rPr>
        <w:t>46C</w:t>
      </w:r>
      <w:r>
        <w:t>.</w:t>
      </w:r>
      <w:r>
        <w:tab/>
        <w:t>Criminal investigations of acquitted accused that need authorised officer’s authority</w:t>
      </w:r>
      <w:bookmarkEnd w:id="116"/>
    </w:p>
    <w:p>
      <w:pPr>
        <w:pStyle w:val="Subsection"/>
      </w:pPr>
      <w:r>
        <w:tab/>
        <w:t>(1)</w:t>
      </w:r>
      <w:r>
        <w:tab/>
        <w:t>In this section —</w:t>
      </w:r>
    </w:p>
    <w:p>
      <w:pPr>
        <w:pStyle w:val="Defstart"/>
      </w:pPr>
      <w:r>
        <w:tab/>
      </w:r>
      <w:r>
        <w:rPr>
          <w:rStyle w:val="CharDefText"/>
        </w:rPr>
        <w:t>investigate</w:t>
      </w:r>
      <w:r>
        <w:t>, an offence, includes to exercise any power under the common law, a written law or a law of the Commonwealth for the purposes of obtaining evidence as to the commission of the offence;</w:t>
      </w:r>
    </w:p>
    <w:p>
      <w:pPr>
        <w:pStyle w:val="Defstart"/>
      </w:pPr>
      <w:r>
        <w:tab/>
      </w:r>
      <w:r>
        <w:rPr>
          <w:rStyle w:val="CharDefText"/>
        </w:rPr>
        <w:t>law enforcement officer</w:t>
      </w:r>
      <w:r>
        <w:t xml:space="preserve"> means —</w:t>
      </w:r>
    </w:p>
    <w:p>
      <w:pPr>
        <w:pStyle w:val="Defpara"/>
      </w:pPr>
      <w:r>
        <w:tab/>
        <w:t>(a)</w:t>
      </w:r>
      <w:r>
        <w:tab/>
        <w:t>a police officer; or</w:t>
      </w:r>
    </w:p>
    <w:p>
      <w:pPr>
        <w:pStyle w:val="Defpara"/>
      </w:pPr>
      <w:r>
        <w:tab/>
        <w:t>(b)</w:t>
      </w:r>
      <w:r>
        <w:tab/>
        <w:t>a person, other than a police officer, appointed under a written law to an office on which the common law, a written law or a law of the Commonwealth confers powers to investigate offences;</w:t>
      </w:r>
    </w:p>
    <w:p>
      <w:pPr>
        <w:pStyle w:val="Defstart"/>
        <w:keepNext/>
      </w:pPr>
      <w:r>
        <w:lastRenderedPageBreak/>
        <w:tab/>
      </w:r>
      <w:r>
        <w:rPr>
          <w:rStyle w:val="CharDefText"/>
        </w:rPr>
        <w:t>relevant offence</w:t>
      </w:r>
      <w:r>
        <w:t xml:space="preserve"> means a serious offence, or an AOJ offence, a charge of which may be subject to —</w:t>
      </w:r>
    </w:p>
    <w:p>
      <w:pPr>
        <w:pStyle w:val="Defpara"/>
      </w:pPr>
      <w:r>
        <w:tab/>
        <w:t>(a)</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Defpara"/>
      </w:pPr>
      <w:r>
        <w:tab/>
        <w:t>(b)</w:t>
      </w:r>
      <w:r>
        <w:tab/>
        <w:t>a requirement at law to permanently stay it because it would be an abuse of process.</w:t>
      </w:r>
    </w:p>
    <w:p>
      <w:pPr>
        <w:pStyle w:val="Subsection"/>
      </w:pPr>
      <w:r>
        <w:tab/>
        <w:t>(2)</w:t>
      </w:r>
      <w:r>
        <w:tab/>
        <w:t>A law enforcement officer, whether with or without an acquitted accused’s consent, must not investigate or authorise another person to investigate whether the acquitted accused may have committed a relevant offence unless —</w:t>
      </w:r>
    </w:p>
    <w:p>
      <w:pPr>
        <w:pStyle w:val="Indenta"/>
      </w:pPr>
      <w:r>
        <w:tab/>
        <w:t>(a)</w:t>
      </w:r>
      <w:r>
        <w:tab/>
        <w:t>under subsection (4), an authorised officer, in writing, has authorised the investigation; or</w:t>
      </w:r>
    </w:p>
    <w:p>
      <w:pPr>
        <w:pStyle w:val="Indenta"/>
      </w:pPr>
      <w:r>
        <w:tab/>
        <w:t>(b)</w:t>
      </w:r>
      <w:r>
        <w:tab/>
        <w:t>the law enforcement officer believes on reasonable grounds —</w:t>
      </w:r>
    </w:p>
    <w:p>
      <w:pPr>
        <w:pStyle w:val="Indenti"/>
      </w:pPr>
      <w:r>
        <w:tab/>
        <w:t>(i)</w:t>
      </w:r>
      <w:r>
        <w:tab/>
        <w:t>the investigation needs to be done urgently in order to prevent it from being substantially and irrevocably prejudiced; and</w:t>
      </w:r>
    </w:p>
    <w:p>
      <w:pPr>
        <w:pStyle w:val="Indenti"/>
      </w:pPr>
      <w:r>
        <w:tab/>
        <w:t>(ii)</w:t>
      </w:r>
      <w:r>
        <w:tab/>
        <w:t>it is not reasonably practicable in the circumstances to obtain an authorised officer’s authorisation before doing the investigation.</w:t>
      </w:r>
    </w:p>
    <w:p>
      <w:pPr>
        <w:pStyle w:val="Subsection"/>
      </w:pPr>
      <w:r>
        <w:tab/>
        <w:t>(3)</w:t>
      </w:r>
      <w:r>
        <w:tab/>
        <w:t>If a law enforcement officer acts under subsection (2)(b) —</w:t>
      </w:r>
    </w:p>
    <w:p>
      <w:pPr>
        <w:pStyle w:val="Indenta"/>
      </w:pPr>
      <w:r>
        <w:tab/>
        <w:t>(a)</w:t>
      </w:r>
      <w:r>
        <w:tab/>
        <w:t>the officer, as soon as it is practicable to do so, must inform an authorised officer of —</w:t>
      </w:r>
    </w:p>
    <w:p>
      <w:pPr>
        <w:pStyle w:val="Indenti"/>
      </w:pPr>
      <w:r>
        <w:tab/>
        <w:t>(i)</w:t>
      </w:r>
      <w:r>
        <w:tab/>
        <w:t>the grounds for acting under that provision; and</w:t>
      </w:r>
    </w:p>
    <w:p>
      <w:pPr>
        <w:pStyle w:val="Indenti"/>
      </w:pPr>
      <w:r>
        <w:tab/>
        <w:t>(ii)</w:t>
      </w:r>
      <w:r>
        <w:tab/>
        <w:t>the action taken;</w:t>
      </w:r>
    </w:p>
    <w:p>
      <w:pPr>
        <w:pStyle w:val="Indenta"/>
      </w:pPr>
      <w:r>
        <w:tab/>
      </w:r>
      <w:r>
        <w:tab/>
        <w:t>and</w:t>
      </w:r>
    </w:p>
    <w:p>
      <w:pPr>
        <w:pStyle w:val="Indenta"/>
      </w:pPr>
      <w:r>
        <w:tab/>
        <w:t>(b)</w:t>
      </w:r>
      <w:r>
        <w:tab/>
        <w:t>the investigation of the relevant offence must not continue unless, under subsection (4), an authorised officer, in writing, has authorised the investigation.</w:t>
      </w:r>
    </w:p>
    <w:p>
      <w:pPr>
        <w:pStyle w:val="Subsection"/>
      </w:pPr>
      <w:r>
        <w:lastRenderedPageBreak/>
        <w:tab/>
        <w:t>(4)</w:t>
      </w:r>
      <w:r>
        <w:tab/>
        <w:t>An authorised officer must not authorise the investigation of a relevant offence unless —</w:t>
      </w:r>
    </w:p>
    <w:p>
      <w:pPr>
        <w:pStyle w:val="Indenta"/>
      </w:pPr>
      <w:r>
        <w:tab/>
        <w:t>(a)</w:t>
      </w:r>
      <w:r>
        <w:tab/>
        <w:t xml:space="preserve">the officer is satisfied a charge of the offence would not be subject to — </w:t>
      </w:r>
    </w:p>
    <w:p>
      <w:pPr>
        <w:pStyle w:val="Indenti"/>
      </w:pPr>
      <w:r>
        <w:tab/>
        <w:t>(i)</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Indenti"/>
      </w:pPr>
      <w:r>
        <w:tab/>
        <w:t>(ii)</w:t>
      </w:r>
      <w:r>
        <w:tab/>
        <w:t>a requirement at law to permanently stay it because it would be an abuse of process;</w:t>
      </w:r>
    </w:p>
    <w:p>
      <w:pPr>
        <w:pStyle w:val="Indenta"/>
      </w:pPr>
      <w:r>
        <w:tab/>
      </w:r>
      <w:r>
        <w:tab/>
        <w:t>or</w:t>
      </w:r>
    </w:p>
    <w:p>
      <w:pPr>
        <w:pStyle w:val="Indenta"/>
      </w:pPr>
      <w:r>
        <w:tab/>
        <w:t>(b)</w:t>
      </w:r>
      <w:r>
        <w:tab/>
        <w:t>the officer is satisfied —</w:t>
      </w:r>
    </w:p>
    <w:p>
      <w:pPr>
        <w:pStyle w:val="Indenti"/>
      </w:pPr>
      <w:r>
        <w:tab/>
        <w:t>(i)</w:t>
      </w:r>
      <w:r>
        <w:tab/>
        <w:t>there is, or the investigation is likely to obtain, evidence to justify making an application under this Part for leave to charge the acquitted accused with the relevant offence; and</w:t>
      </w:r>
    </w:p>
    <w:p>
      <w:pPr>
        <w:pStyle w:val="Indenti"/>
      </w:pPr>
      <w:r>
        <w:tab/>
        <w:t>(ii)</w:t>
      </w:r>
      <w:r>
        <w:tab/>
        <w:t>it is in the public interest to investigate the relevant offence.</w:t>
      </w:r>
    </w:p>
    <w:p>
      <w:pPr>
        <w:pStyle w:val="Footnotesection"/>
      </w:pPr>
      <w:r>
        <w:tab/>
        <w:t>[Section 46C inserted: No. 9 of 2012 s. 4.]</w:t>
      </w:r>
    </w:p>
    <w:p>
      <w:pPr>
        <w:pStyle w:val="Heading5"/>
      </w:pPr>
      <w:bookmarkStart w:id="117" w:name="_Toc132288232"/>
      <w:r>
        <w:rPr>
          <w:rStyle w:val="CharSectno"/>
        </w:rPr>
        <w:t>46D</w:t>
      </w:r>
      <w:r>
        <w:t>.</w:t>
      </w:r>
      <w:r>
        <w:tab/>
        <w:t>Charges against acquitted accused that need leave</w:t>
      </w:r>
      <w:bookmarkEnd w:id="117"/>
    </w:p>
    <w:p>
      <w:pPr>
        <w:pStyle w:val="Subsection"/>
      </w:pPr>
      <w:r>
        <w:tab/>
      </w:r>
      <w:r>
        <w:tab/>
        <w:t>A person cannot charge an acquitted accused with any of these charges without the leave of the Court of Appeal given under this Part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Footnotesection"/>
      </w:pPr>
      <w:r>
        <w:tab/>
        <w:t>[Section 46D inserted: No. 9 of 2012 s. 4.]</w:t>
      </w:r>
    </w:p>
    <w:p>
      <w:pPr>
        <w:pStyle w:val="Heading5"/>
      </w:pPr>
      <w:bookmarkStart w:id="118" w:name="_Toc132288233"/>
      <w:r>
        <w:rPr>
          <w:rStyle w:val="CharSectno"/>
        </w:rPr>
        <w:lastRenderedPageBreak/>
        <w:t>46E</w:t>
      </w:r>
      <w:r>
        <w:t>.</w:t>
      </w:r>
      <w:r>
        <w:tab/>
        <w:t>Applying for leave for new charge</w:t>
      </w:r>
      <w:bookmarkEnd w:id="118"/>
    </w:p>
    <w:p>
      <w:pPr>
        <w:pStyle w:val="Subsection"/>
      </w:pPr>
      <w:r>
        <w:tab/>
        <w:t>(1)</w:t>
      </w:r>
      <w:r>
        <w:tab/>
        <w:t xml:space="preserve">An authorised officer may apply to the Court of Appeal for leave to charge an acquitted accused with a new charge (the </w:t>
      </w:r>
      <w:r>
        <w:rPr>
          <w:rStyle w:val="CharDefText"/>
        </w:rPr>
        <w:t>new charge</w:t>
      </w:r>
      <w:r>
        <w:t>) being one of these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Subsection"/>
      </w:pPr>
      <w:r>
        <w:tab/>
        <w:t>(2)</w:t>
      </w:r>
      <w:r>
        <w:tab/>
        <w:t>An application cannot be made under subsection (1) if —</w:t>
      </w:r>
    </w:p>
    <w:p>
      <w:pPr>
        <w:pStyle w:val="Indenta"/>
      </w:pPr>
      <w:r>
        <w:tab/>
        <w:t>(a)</w:t>
      </w:r>
      <w:r>
        <w:tab/>
        <w:t>the acquittal in trial A (as described in section 46B(1)(b)) of the acquitted accused occurred on a charge for which leave had been given under this Part; and</w:t>
      </w:r>
    </w:p>
    <w:p>
      <w:pPr>
        <w:pStyle w:val="Indenta"/>
      </w:pPr>
      <w:r>
        <w:tab/>
        <w:t>(b)</w:t>
      </w:r>
      <w:r>
        <w:tab/>
        <w:t>that leave was given because, under section 46H(2)(c)(i), the Court of Appeal was satisfied that fresh and compelling evidence (within the meaning given by section 46I) existed against the acquitted accused in relation to the charge.</w:t>
      </w:r>
    </w:p>
    <w:p>
      <w:pPr>
        <w:pStyle w:val="Subsection"/>
      </w:pPr>
      <w:r>
        <w:tab/>
        <w:t>(3)</w:t>
      </w:r>
      <w:r>
        <w:tab/>
        <w:t>An application made under subsection (1) may relate to 2 or more new charges.</w:t>
      </w:r>
    </w:p>
    <w:p>
      <w:pPr>
        <w:pStyle w:val="Subsection"/>
      </w:pPr>
      <w:r>
        <w:tab/>
        <w:t>(4)</w:t>
      </w:r>
      <w:r>
        <w:tab/>
        <w:t>An application permitted by subsection (1) must be made in accordance with this Part and rules of court.</w:t>
      </w:r>
    </w:p>
    <w:p>
      <w:pPr>
        <w:pStyle w:val="Subsection"/>
      </w:pPr>
      <w:r>
        <w:tab/>
        <w:t>(5)</w:t>
      </w:r>
      <w:r>
        <w:tab/>
        <w:t>An application made under subsection (1) may be made without giving notice of it to the acquitted accused.</w:t>
      </w:r>
    </w:p>
    <w:p>
      <w:pPr>
        <w:pStyle w:val="Footnotesection"/>
      </w:pPr>
      <w:r>
        <w:tab/>
        <w:t>[Section 46E inserted: No. 9 of 2012 s. 4.]</w:t>
      </w:r>
    </w:p>
    <w:p>
      <w:pPr>
        <w:pStyle w:val="Heading5"/>
      </w:pPr>
      <w:bookmarkStart w:id="119" w:name="_Toc132288234"/>
      <w:r>
        <w:rPr>
          <w:rStyle w:val="CharSectno"/>
        </w:rPr>
        <w:lastRenderedPageBreak/>
        <w:t>46F</w:t>
      </w:r>
      <w:r>
        <w:t>.</w:t>
      </w:r>
      <w:r>
        <w:tab/>
        <w:t>Procedure on leave applications</w:t>
      </w:r>
      <w:bookmarkEnd w:id="119"/>
    </w:p>
    <w:p>
      <w:pPr>
        <w:pStyle w:val="Subsection"/>
      </w:pPr>
      <w:r>
        <w:tab/>
        <w:t>(1)</w:t>
      </w:r>
      <w:r>
        <w:tab/>
        <w:t>As soon as practicable after a leave application is made, the Court of Appeal, unless it is satisfied the application is an abuse of process, must —</w:t>
      </w:r>
    </w:p>
    <w:p>
      <w:pPr>
        <w:pStyle w:val="Indenta"/>
      </w:pPr>
      <w:r>
        <w:tab/>
        <w:t>(a)</w:t>
      </w:r>
      <w:r>
        <w:tab/>
        <w:t>issue a summons that requires the acquitted accused to appear before the court; or</w:t>
      </w:r>
    </w:p>
    <w:p>
      <w:pPr>
        <w:pStyle w:val="Indenta"/>
      </w:pPr>
      <w:r>
        <w:tab/>
        <w:t>(b)</w:t>
      </w:r>
      <w:r>
        <w:tab/>
        <w:t>issue an arrest warrant to have the acquitted accused brought before the court.</w:t>
      </w:r>
    </w:p>
    <w:p>
      <w:pPr>
        <w:pStyle w:val="Subsection"/>
      </w:pPr>
      <w:r>
        <w:tab/>
        <w:t>(2)</w:t>
      </w:r>
      <w:r>
        <w:tab/>
        <w:t>If the acquitted accused does not obey a summons issued under subsection (1), the court must issue an arrest warrant to have the accused brought before the court.</w:t>
      </w:r>
    </w:p>
    <w:p>
      <w:pPr>
        <w:pStyle w:val="Subsection"/>
      </w:pPr>
      <w:r>
        <w:tab/>
        <w:t>(3)</w:t>
      </w:r>
      <w:r>
        <w:tab/>
        <w:t>On being served with the summons or arrested (as the case may be), the acquitted accused must be given a copy of the leave application.</w:t>
      </w:r>
    </w:p>
    <w:p>
      <w:pPr>
        <w:pStyle w:val="Subsection"/>
      </w:pPr>
      <w:r>
        <w:tab/>
        <w:t>(4)</w:t>
      </w:r>
      <w:r>
        <w:tab/>
        <w:t xml:space="preserve">When the acquitted accused appears or is brought before the Court of Appeal, the court — </w:t>
      </w:r>
    </w:p>
    <w:p>
      <w:pPr>
        <w:pStyle w:val="Indenta"/>
      </w:pPr>
      <w:r>
        <w:tab/>
        <w:t>(a)</w:t>
      </w:r>
      <w:r>
        <w:tab/>
        <w:t>may make any order necessary in relation to hearing the leave application; and</w:t>
      </w:r>
    </w:p>
    <w:p>
      <w:pPr>
        <w:pStyle w:val="Indenta"/>
      </w:pPr>
      <w:r>
        <w:tab/>
        <w:t>(b)</w:t>
      </w:r>
      <w:r>
        <w:tab/>
        <w:t xml:space="preserve">subject to the </w:t>
      </w:r>
      <w:r>
        <w:rPr>
          <w:i/>
          <w:iCs/>
        </w:rPr>
        <w:t>Bail Act 1982</w:t>
      </w:r>
      <w:r>
        <w:t>, may order that the accused be kept in custody until the hearing.</w:t>
      </w:r>
    </w:p>
    <w:p>
      <w:pPr>
        <w:pStyle w:val="Footnotesection"/>
      </w:pPr>
      <w:r>
        <w:tab/>
        <w:t>[Section 46F inserted: No. 9 of 2012 s. 4.]</w:t>
      </w:r>
    </w:p>
    <w:p>
      <w:pPr>
        <w:pStyle w:val="Heading5"/>
      </w:pPr>
      <w:bookmarkStart w:id="120" w:name="_Toc132288235"/>
      <w:r>
        <w:rPr>
          <w:rStyle w:val="CharSectno"/>
        </w:rPr>
        <w:t>46G</w:t>
      </w:r>
      <w:r>
        <w:t>.</w:t>
      </w:r>
      <w:r>
        <w:tab/>
        <w:t>Hearing leave applications</w:t>
      </w:r>
      <w:bookmarkEnd w:id="120"/>
    </w:p>
    <w:p>
      <w:pPr>
        <w:pStyle w:val="Subsection"/>
      </w:pPr>
      <w:r>
        <w:tab/>
        <w:t>(1)</w:t>
      </w:r>
      <w:r>
        <w:tab/>
        <w:t>The acquitted accused is entitled to be heard at the hearing of a leave application.</w:t>
      </w:r>
    </w:p>
    <w:p>
      <w:pPr>
        <w:pStyle w:val="Subsection"/>
      </w:pPr>
      <w:r>
        <w:tab/>
        <w:t>(2)</w:t>
      </w:r>
      <w:r>
        <w:tab/>
        <w:t>For the purpose of dealing with a leave application —</w:t>
      </w:r>
    </w:p>
    <w:p>
      <w:pPr>
        <w:pStyle w:val="Indenta"/>
      </w:pPr>
      <w:r>
        <w:tab/>
        <w:t>(a)</w:t>
      </w:r>
      <w:r>
        <w:tab/>
        <w:t>the Court of Appeal may exercise any power in section 40 as if the application were an appeal; and</w:t>
      </w:r>
    </w:p>
    <w:p>
      <w:pPr>
        <w:pStyle w:val="Indenta"/>
      </w:pPr>
      <w:r>
        <w:tab/>
        <w:t>(b)</w:t>
      </w:r>
      <w:r>
        <w:tab/>
        <w:t>if the acquitted accused is in custody, section 43 applies, with any necessary changes, as if the application were an appeal.</w:t>
      </w:r>
    </w:p>
    <w:p>
      <w:pPr>
        <w:pStyle w:val="Subsection"/>
      </w:pPr>
      <w:r>
        <w:lastRenderedPageBreak/>
        <w:tab/>
        <w:t>(3)</w:t>
      </w:r>
      <w:r>
        <w:tab/>
        <w:t>The Court of Appeal may deal with 2 or more leave applications at one hearing if the new charges for which leave is sought will or may be tried together.</w:t>
      </w:r>
    </w:p>
    <w:p>
      <w:pPr>
        <w:pStyle w:val="Subsection"/>
      </w:pPr>
      <w:r>
        <w:tab/>
        <w:t>(4)</w:t>
      </w:r>
      <w:r>
        <w:tab/>
        <w:t>If the Court of Appeal is satisfied the acquitted accused has received adequate notice of the hearing, the court may hear a leave application in the absence of the acquitted accused.</w:t>
      </w:r>
    </w:p>
    <w:p>
      <w:pPr>
        <w:pStyle w:val="Footnotesection"/>
      </w:pPr>
      <w:r>
        <w:tab/>
        <w:t>[Section 46G inserted: No. 9 of 2012 s. 4.]</w:t>
      </w:r>
    </w:p>
    <w:p>
      <w:pPr>
        <w:pStyle w:val="Heading5"/>
      </w:pPr>
      <w:bookmarkStart w:id="121" w:name="_Toc132288236"/>
      <w:r>
        <w:rPr>
          <w:rStyle w:val="CharSectno"/>
        </w:rPr>
        <w:t>46H</w:t>
      </w:r>
      <w:r>
        <w:t>.</w:t>
      </w:r>
      <w:r>
        <w:tab/>
        <w:t>Deciding leave applications</w:t>
      </w:r>
      <w:bookmarkEnd w:id="121"/>
    </w:p>
    <w:p>
      <w:pPr>
        <w:pStyle w:val="Subsection"/>
      </w:pPr>
      <w:r>
        <w:tab/>
        <w:t>(1)</w:t>
      </w:r>
      <w:r>
        <w:tab/>
        <w:t>On a leave application, the Court of Appeal may give or refuse to give the applicant leave to charge the acquitted accused with the new charge.</w:t>
      </w:r>
    </w:p>
    <w:p>
      <w:pPr>
        <w:pStyle w:val="Subsection"/>
      </w:pPr>
      <w:r>
        <w:tab/>
        <w:t>(2)</w:t>
      </w:r>
      <w:r>
        <w:tab/>
        <w:t>If the new charge to which a leave application relates is —</w:t>
      </w:r>
    </w:p>
    <w:p>
      <w:pPr>
        <w:pStyle w:val="Indenta"/>
      </w:pPr>
      <w:r>
        <w:tab/>
        <w:t>(a)</w:t>
      </w:r>
      <w:r>
        <w:tab/>
        <w:t>a charge of a serious offence the details of which are the same or substantially the same as those in charge A; or</w:t>
      </w:r>
    </w:p>
    <w:p>
      <w:pPr>
        <w:pStyle w:val="Indenta"/>
      </w:pPr>
      <w:r>
        <w:tab/>
        <w:t>(b)</w:t>
      </w:r>
      <w:r>
        <w:tab/>
        <w:t>a charge of some other serious offence of which, at trial A, the acquitted accused might have been convicted instead of offence A,</w:t>
      </w:r>
    </w:p>
    <w:p>
      <w:pPr>
        <w:pStyle w:val="Subsection"/>
      </w:pPr>
      <w:r>
        <w:tab/>
      </w:r>
      <w:r>
        <w:tab/>
        <w:t>but not a charge of an AOJ offence allegedly committed in or in connection with trial A, the Court of Appeal must not give leave unless —</w:t>
      </w:r>
    </w:p>
    <w:p>
      <w:pPr>
        <w:pStyle w:val="Indenta"/>
      </w:pPr>
      <w:r>
        <w:tab/>
        <w:t>(c)</w:t>
      </w:r>
      <w:r>
        <w:tab/>
        <w:t>the Court of Appeal is satisfied on the balance of probabilities —</w:t>
      </w:r>
    </w:p>
    <w:p>
      <w:pPr>
        <w:pStyle w:val="Indenti"/>
      </w:pPr>
      <w:r>
        <w:tab/>
        <w:t>(i)</w:t>
      </w:r>
      <w:r>
        <w:tab/>
        <w:t>there is fresh and compelling evidence (within the meaning given by section 46I) against the acquitted accused in relation to the new charge; or</w:t>
      </w:r>
    </w:p>
    <w:p>
      <w:pPr>
        <w:pStyle w:val="Indenti"/>
      </w:pPr>
      <w:r>
        <w:tab/>
        <w:t>(ii)</w:t>
      </w:r>
      <w:r>
        <w:tab/>
        <w:t>the acquittal in trial A is a tainted acquittal (within the meaning given by section 46J);</w:t>
      </w:r>
    </w:p>
    <w:p>
      <w:pPr>
        <w:pStyle w:val="Indenta"/>
      </w:pPr>
      <w:r>
        <w:tab/>
      </w:r>
      <w:r>
        <w:tab/>
        <w:t>and</w:t>
      </w:r>
    </w:p>
    <w:p>
      <w:pPr>
        <w:pStyle w:val="Indenta"/>
      </w:pPr>
      <w:r>
        <w:tab/>
        <w:t>(d)</w:t>
      </w:r>
      <w:r>
        <w:tab/>
        <w:t xml:space="preserve">the Court of Appeal is satisfied on the balance of probabilities that charging the acquitted accused with the </w:t>
      </w:r>
      <w:r>
        <w:lastRenderedPageBreak/>
        <w:t>new charge is in the interests of justice having regard to section 46K.</w:t>
      </w:r>
    </w:p>
    <w:p>
      <w:pPr>
        <w:pStyle w:val="Subsection"/>
      </w:pPr>
      <w:r>
        <w:tab/>
        <w:t>(3)</w:t>
      </w:r>
      <w:r>
        <w:tab/>
        <w:t>If the new charge to which a leave application relates is a charge of an AOJ offence allegedly committed in or in connection with trial A, the Court of Appeal must not give leave unless it is satisfied on the balance of probabilities that charging the acquitted accused with the AOJ offence is in the interests of justice having regard to section 46K.</w:t>
      </w:r>
    </w:p>
    <w:p>
      <w:pPr>
        <w:pStyle w:val="Subsection"/>
      </w:pPr>
      <w:r>
        <w:tab/>
        <w:t>(4)</w:t>
      </w:r>
      <w:r>
        <w:tab/>
        <w:t>If the acquitted accused is an acquitted accused for the purposes of this Part because, in a place outside this State, he or she was charged with and acquitted of an offence under the law of that place —</w:t>
      </w:r>
    </w:p>
    <w:p>
      <w:pPr>
        <w:pStyle w:val="Indenta"/>
      </w:pPr>
      <w:r>
        <w:tab/>
        <w:t>(a)</w:t>
      </w:r>
      <w:r>
        <w:tab/>
        <w:t>leave cannot be given under subsection (2) if the law of that place does not permit the person to be tried —</w:t>
      </w:r>
    </w:p>
    <w:p>
      <w:pPr>
        <w:pStyle w:val="Indenti"/>
      </w:pPr>
      <w:r>
        <w:tab/>
        <w:t>(i)</w:t>
      </w:r>
      <w:r>
        <w:tab/>
        <w:t>on another charge of offence A the details of which are the same or substantially the same as those in charge A; or</w:t>
      </w:r>
    </w:p>
    <w:p>
      <w:pPr>
        <w:pStyle w:val="Indenti"/>
      </w:pPr>
      <w:r>
        <w:tab/>
        <w:t>(ii)</w:t>
      </w:r>
      <w:r>
        <w:tab/>
        <w:t>on a charge of some other offence of which, on charge A, the acquitted accused might have been convicted instead of offence A;</w:t>
      </w:r>
    </w:p>
    <w:p>
      <w:pPr>
        <w:pStyle w:val="Indenta"/>
      </w:pPr>
      <w:r>
        <w:tab/>
      </w:r>
      <w:r>
        <w:tab/>
        <w:t>and</w:t>
      </w:r>
    </w:p>
    <w:p>
      <w:pPr>
        <w:pStyle w:val="Indenta"/>
      </w:pPr>
      <w:r>
        <w:tab/>
        <w:t>(b)</w:t>
      </w:r>
      <w:r>
        <w:tab/>
        <w:t>leave cannot be given under subsection (3) if the law of that place does not permit the person to be tried on a charge of an AOJ offence allegedly committed in or in connection with trial A; and</w:t>
      </w:r>
    </w:p>
    <w:p>
      <w:pPr>
        <w:pStyle w:val="Indenta"/>
      </w:pPr>
      <w:r>
        <w:tab/>
        <w:t>(c)</w:t>
      </w:r>
      <w:r>
        <w:tab/>
        <w:t xml:space="preserve">leave cannot be given under subsection (2) or (3) if the application of this Part to the person is inconsistent with the </w:t>
      </w:r>
      <w:r>
        <w:rPr>
          <w:i/>
          <w:iCs/>
        </w:rPr>
        <w:t xml:space="preserve">Constitution </w:t>
      </w:r>
      <w:r>
        <w:t>(Commonwealth) or the law of the Commonwealth.</w:t>
      </w:r>
    </w:p>
    <w:p>
      <w:pPr>
        <w:pStyle w:val="Subsection"/>
      </w:pPr>
      <w:r>
        <w:tab/>
        <w:t>(5)</w:t>
      </w:r>
      <w:r>
        <w:tab/>
        <w:t>If the Court of Appeal refuses to give leave to charge the acquitted accused with a new charge, it must discharge the acquitted accused.</w:t>
      </w:r>
    </w:p>
    <w:p>
      <w:pPr>
        <w:pStyle w:val="Subsection"/>
      </w:pPr>
      <w:r>
        <w:lastRenderedPageBreak/>
        <w:tab/>
        <w:t>(6)</w:t>
      </w:r>
      <w:r>
        <w:tab/>
        <w:t xml:space="preserve">If the Court of Appeal gives leave to charge the acquitted accused with a new charge, then, subject to the </w:t>
      </w:r>
      <w:r>
        <w:rPr>
          <w:i/>
          <w:iCs/>
        </w:rPr>
        <w:t>Bail Act 1982</w:t>
      </w:r>
      <w:r>
        <w:t>, it may order that the acquitted accused be kept in custody until —</w:t>
      </w:r>
    </w:p>
    <w:p>
      <w:pPr>
        <w:pStyle w:val="Indenta"/>
      </w:pPr>
      <w:r>
        <w:tab/>
        <w:t>(a)</w:t>
      </w:r>
      <w:r>
        <w:tab/>
        <w:t>his or her first appearance in the court in which the prosecution of the new charge is commenced; or</w:t>
      </w:r>
    </w:p>
    <w:p>
      <w:pPr>
        <w:pStyle w:val="Indenta"/>
      </w:pPr>
      <w:r>
        <w:tab/>
        <w:t>(b)</w:t>
      </w:r>
      <w:r>
        <w:tab/>
        <w:t>the time for commencing the prosecution of the new charge expires,</w:t>
      </w:r>
    </w:p>
    <w:p>
      <w:pPr>
        <w:pStyle w:val="Subsection"/>
      </w:pPr>
      <w:r>
        <w:tab/>
      </w:r>
      <w:r>
        <w:tab/>
        <w:t>whichever occurs first.</w:t>
      </w:r>
    </w:p>
    <w:p>
      <w:pPr>
        <w:pStyle w:val="Footnotesection"/>
      </w:pPr>
      <w:r>
        <w:tab/>
        <w:t>[Section 46H inserted: No. 9 of 2012 s. 4.]</w:t>
      </w:r>
    </w:p>
    <w:p>
      <w:pPr>
        <w:pStyle w:val="Heading5"/>
      </w:pPr>
      <w:bookmarkStart w:id="122" w:name="_Toc132288237"/>
      <w:r>
        <w:rPr>
          <w:rStyle w:val="CharSectno"/>
        </w:rPr>
        <w:t>46I</w:t>
      </w:r>
      <w:r>
        <w:t>.</w:t>
      </w:r>
      <w:r>
        <w:tab/>
        <w:t>Meaning of fresh and compelling evidence</w:t>
      </w:r>
      <w:bookmarkEnd w:id="122"/>
    </w:p>
    <w:p>
      <w:pPr>
        <w:pStyle w:val="Subsection"/>
      </w:pPr>
      <w:r>
        <w:tab/>
        <w:t>(1)</w:t>
      </w:r>
      <w:r>
        <w:tab/>
        <w:t>For the purposes of section 46H, evidence is fresh in relation to the new charge if —</w:t>
      </w:r>
    </w:p>
    <w:p>
      <w:pPr>
        <w:pStyle w:val="Indenta"/>
      </w:pPr>
      <w:r>
        <w:tab/>
        <w:t>(a)</w:t>
      </w:r>
      <w:r>
        <w:tab/>
        <w:t>despite the exercise of reasonable diligence by those who investigated offence A, it was not and could not have been made available to the prosecutor in trial A; or</w:t>
      </w:r>
    </w:p>
    <w:p>
      <w:pPr>
        <w:pStyle w:val="Indenta"/>
      </w:pPr>
      <w:r>
        <w:tab/>
        <w:t>(b)</w:t>
      </w:r>
      <w:r>
        <w:tab/>
        <w:t>it was available to the prosecutor in trial A but was not and could not have been adduced in it.</w:t>
      </w:r>
    </w:p>
    <w:p>
      <w:pPr>
        <w:pStyle w:val="Subsection"/>
      </w:pPr>
      <w:r>
        <w:tab/>
        <w:t>(2)</w:t>
      </w:r>
      <w:r>
        <w:tab/>
        <w:t>For the purposes of section 46H, evidence is compelling in relation to the new charge if, in the context of the issues in dispute in trial A, it is highly probative of the new charge.</w:t>
      </w:r>
    </w:p>
    <w:p>
      <w:pPr>
        <w:pStyle w:val="Subsection"/>
      </w:pPr>
      <w:r>
        <w:tab/>
        <w:t>(3)</w:t>
      </w:r>
      <w:r>
        <w:tab/>
        <w:t>For the purposes of this section, it is irrelevant whether the evidence being considered by the Court of Appeal would have been admissible in trial A against the acquitted accused.</w:t>
      </w:r>
    </w:p>
    <w:p>
      <w:pPr>
        <w:pStyle w:val="Footnotesection"/>
      </w:pPr>
      <w:r>
        <w:tab/>
        <w:t>[Section 46I inserted: No. 9 of 2012 s. 4.]</w:t>
      </w:r>
    </w:p>
    <w:p>
      <w:pPr>
        <w:pStyle w:val="Heading5"/>
      </w:pPr>
      <w:bookmarkStart w:id="123" w:name="_Toc132288238"/>
      <w:r>
        <w:rPr>
          <w:rStyle w:val="CharSectno"/>
        </w:rPr>
        <w:t>46J</w:t>
      </w:r>
      <w:r>
        <w:t>.</w:t>
      </w:r>
      <w:r>
        <w:tab/>
        <w:t>Meaning of tainted acquittal</w:t>
      </w:r>
      <w:bookmarkEnd w:id="123"/>
    </w:p>
    <w:p>
      <w:pPr>
        <w:pStyle w:val="Subsection"/>
      </w:pPr>
      <w:r>
        <w:tab/>
      </w:r>
      <w:r>
        <w:tab/>
        <w:t>For the purposes of section 46H, the acquittal in trial A is tainted if —</w:t>
      </w:r>
    </w:p>
    <w:p>
      <w:pPr>
        <w:pStyle w:val="Indenta"/>
      </w:pPr>
      <w:r>
        <w:tab/>
        <w:t>(a)</w:t>
      </w:r>
      <w:r>
        <w:tab/>
        <w:t>the acquitted accused or another person has been convicted in this State or elsewhere of an AOJ offence committed in or in connection with trial A; and</w:t>
      </w:r>
    </w:p>
    <w:p>
      <w:pPr>
        <w:pStyle w:val="Indenta"/>
      </w:pPr>
      <w:r>
        <w:lastRenderedPageBreak/>
        <w:tab/>
        <w:t>(b)</w:t>
      </w:r>
      <w:r>
        <w:tab/>
        <w:t>but for the commission of that AOJ offence, it is more likely than not that the acquitted accused would have been found guilty of, or would have been acquitted on account of unsoundness of mind of —</w:t>
      </w:r>
    </w:p>
    <w:p>
      <w:pPr>
        <w:pStyle w:val="Indenti"/>
        <w:spacing w:before="60"/>
      </w:pPr>
      <w:r>
        <w:tab/>
        <w:t>(i)</w:t>
      </w:r>
      <w:r>
        <w:tab/>
        <w:t>offence A; or</w:t>
      </w:r>
    </w:p>
    <w:p>
      <w:pPr>
        <w:pStyle w:val="Indenti"/>
        <w:spacing w:before="60"/>
      </w:pPr>
      <w:r>
        <w:tab/>
        <w:t>(ii)</w:t>
      </w:r>
      <w:r>
        <w:tab/>
        <w:t>some other offence of which, on charge A, the acquitted accused might have been convicted instead of offence A.</w:t>
      </w:r>
    </w:p>
    <w:p>
      <w:pPr>
        <w:pStyle w:val="Footnotesection"/>
        <w:spacing w:before="100"/>
      </w:pPr>
      <w:r>
        <w:tab/>
        <w:t>[Section 46J inserted: No. 9 of 2012 s. 4.]</w:t>
      </w:r>
    </w:p>
    <w:p>
      <w:pPr>
        <w:pStyle w:val="Heading5"/>
      </w:pPr>
      <w:bookmarkStart w:id="124" w:name="_Toc132288239"/>
      <w:r>
        <w:rPr>
          <w:rStyle w:val="CharSectno"/>
        </w:rPr>
        <w:t>46K</w:t>
      </w:r>
      <w:r>
        <w:t>.</w:t>
      </w:r>
      <w:r>
        <w:tab/>
        <w:t>Interests of justice, matters to be considered</w:t>
      </w:r>
      <w:bookmarkEnd w:id="124"/>
    </w:p>
    <w:p>
      <w:pPr>
        <w:pStyle w:val="Subsection"/>
      </w:pPr>
      <w:r>
        <w:tab/>
        <w:t>(1)</w:t>
      </w:r>
      <w:r>
        <w:tab/>
        <w:t>This section applies for the purposes of section 46H.</w:t>
      </w:r>
    </w:p>
    <w:p>
      <w:pPr>
        <w:pStyle w:val="Subsection"/>
      </w:pPr>
      <w:r>
        <w:tab/>
        <w:t>(2)</w:t>
      </w:r>
      <w:r>
        <w:tab/>
        <w:t>Charging the acquitted accused with the new charge is not in the interests of justice if the Court of Appeal is satisfied a fair trial of the new charge is unlikely having regard to —</w:t>
      </w:r>
    </w:p>
    <w:p>
      <w:pPr>
        <w:pStyle w:val="Indenta"/>
        <w:spacing w:before="60"/>
      </w:pPr>
      <w:r>
        <w:tab/>
        <w:t>(a)</w:t>
      </w:r>
      <w:r>
        <w:tab/>
        <w:t>the length of time since offence A was allegedly committed or since trial A; and</w:t>
      </w:r>
    </w:p>
    <w:p>
      <w:pPr>
        <w:pStyle w:val="Indenta"/>
        <w:spacing w:before="60"/>
      </w:pPr>
      <w:r>
        <w:tab/>
        <w:t>(b)</w:t>
      </w:r>
      <w:r>
        <w:tab/>
        <w:t>all other existing circumstances.</w:t>
      </w:r>
    </w:p>
    <w:p>
      <w:pPr>
        <w:pStyle w:val="Subsection"/>
      </w:pPr>
      <w:r>
        <w:tab/>
        <w:t>(3)</w:t>
      </w:r>
      <w:r>
        <w:tab/>
        <w:t>The Court of Appeal is to have regard in particular to the following —</w:t>
      </w:r>
    </w:p>
    <w:p>
      <w:pPr>
        <w:pStyle w:val="Indenta"/>
        <w:spacing w:before="60"/>
      </w:pPr>
      <w:r>
        <w:tab/>
        <w:t>(a)</w:t>
      </w:r>
      <w:r>
        <w:tab/>
        <w:t>whether any police officer or prosecutor has failed to act with reasonable diligence or expedition in connection with applying for leave to charge the acquitted accused with the new charge;</w:t>
      </w:r>
    </w:p>
    <w:p>
      <w:pPr>
        <w:pStyle w:val="Indenta"/>
        <w:spacing w:before="60"/>
      </w:pPr>
      <w:r>
        <w:tab/>
        <w:t>(b)</w:t>
      </w:r>
      <w:r>
        <w:tab/>
        <w:t>the objective seriousness of the facts of the new charge.</w:t>
      </w:r>
    </w:p>
    <w:p>
      <w:pPr>
        <w:pStyle w:val="Footnotesection"/>
        <w:spacing w:before="100"/>
      </w:pPr>
      <w:r>
        <w:tab/>
        <w:t>[Section 46K inserted: No. 9 of 2012 s. 4.]</w:t>
      </w:r>
    </w:p>
    <w:p>
      <w:pPr>
        <w:pStyle w:val="Heading5"/>
      </w:pPr>
      <w:bookmarkStart w:id="125" w:name="_Toc132288240"/>
      <w:r>
        <w:rPr>
          <w:rStyle w:val="CharSectno"/>
        </w:rPr>
        <w:t>46L</w:t>
      </w:r>
      <w:r>
        <w:t>.</w:t>
      </w:r>
      <w:r>
        <w:tab/>
        <w:t>Restrictions on publicity</w:t>
      </w:r>
      <w:bookmarkEnd w:id="125"/>
    </w:p>
    <w:p>
      <w:pPr>
        <w:pStyle w:val="Subsection"/>
      </w:pPr>
      <w:r>
        <w:tab/>
        <w:t>(1)</w:t>
      </w:r>
      <w:r>
        <w:tab/>
        <w:t>This section does not affect any prohibition in any other written law of the publication of any information.</w:t>
      </w:r>
    </w:p>
    <w:p>
      <w:pPr>
        <w:pStyle w:val="Subsection"/>
        <w:keepNext/>
      </w:pPr>
      <w:r>
        <w:lastRenderedPageBreak/>
        <w:tab/>
        <w:t>(2)</w:t>
      </w:r>
      <w:r>
        <w:tab/>
        <w:t>A person must not publish any information that conveys or has the effect of conveying that a person whom the information identifies directly or indirectly is the subject of any of these —</w:t>
      </w:r>
    </w:p>
    <w:p>
      <w:pPr>
        <w:pStyle w:val="Indenta"/>
      </w:pPr>
      <w:r>
        <w:tab/>
        <w:t>(a)</w:t>
      </w:r>
      <w:r>
        <w:tab/>
        <w:t>an application made under section 46C;</w:t>
      </w:r>
    </w:p>
    <w:p>
      <w:pPr>
        <w:pStyle w:val="Indenta"/>
      </w:pPr>
      <w:r>
        <w:tab/>
        <w:t>(b)</w:t>
      </w:r>
      <w:r>
        <w:tab/>
        <w:t>an investigation authorised under section 46C;</w:t>
      </w:r>
    </w:p>
    <w:p>
      <w:pPr>
        <w:pStyle w:val="Indenta"/>
      </w:pPr>
      <w:r>
        <w:tab/>
        <w:t>(c)</w:t>
      </w:r>
      <w:r>
        <w:tab/>
        <w:t>a leave application;</w:t>
      </w:r>
    </w:p>
    <w:p>
      <w:pPr>
        <w:pStyle w:val="Indenta"/>
      </w:pPr>
      <w:r>
        <w:tab/>
        <w:t>(d)</w:t>
      </w:r>
      <w:r>
        <w:tab/>
        <w:t>leave given under section 46H;</w:t>
      </w:r>
    </w:p>
    <w:p>
      <w:pPr>
        <w:pStyle w:val="Indenta"/>
      </w:pPr>
      <w:r>
        <w:tab/>
        <w:t>(e)</w:t>
      </w:r>
      <w:r>
        <w:tab/>
        <w:t>a new charge laid pursuant to leave given under section 46H.</w:t>
      </w:r>
    </w:p>
    <w:p>
      <w:pPr>
        <w:pStyle w:val="Subsection"/>
      </w:pPr>
      <w:r>
        <w:tab/>
        <w:t>(3)</w:t>
      </w:r>
      <w:r>
        <w:tab/>
        <w:t>The prohibition on publication in subsection (2) does not apply —</w:t>
      </w:r>
    </w:p>
    <w:p>
      <w:pPr>
        <w:pStyle w:val="Indenta"/>
      </w:pPr>
      <w:r>
        <w:tab/>
        <w:t>(a)</w:t>
      </w:r>
      <w:r>
        <w:tab/>
        <w:t>if and to the extent an order made under subsection (4) authorises publication; or</w:t>
      </w:r>
    </w:p>
    <w:p>
      <w:pPr>
        <w:pStyle w:val="Indenta"/>
      </w:pPr>
      <w:r>
        <w:tab/>
        <w:t>(b)</w:t>
      </w:r>
      <w:r>
        <w:tab/>
        <w:t>if subsection (2) has ceased to operate under subsection (9).</w:t>
      </w:r>
    </w:p>
    <w:p>
      <w:pPr>
        <w:pStyle w:val="Subsection"/>
      </w:pPr>
      <w:r>
        <w:tab/>
        <w:t>(4)</w:t>
      </w:r>
      <w:r>
        <w:tab/>
        <w:t>The Court of Appeal or the court in which the acquitted accused is being tried on the new charge may make an order that authorises the publication of some or all of the information to which subsection (2) applies.</w:t>
      </w:r>
    </w:p>
    <w:p>
      <w:pPr>
        <w:pStyle w:val="Subsection"/>
      </w:pPr>
      <w:r>
        <w:tab/>
        <w:t>(5)</w:t>
      </w:r>
      <w:r>
        <w:tab/>
        <w:t>An order made under subsection (4) may be in any terms, and include any conditions, the court thinks just.</w:t>
      </w:r>
    </w:p>
    <w:p>
      <w:pPr>
        <w:pStyle w:val="Subsection"/>
      </w:pPr>
      <w:r>
        <w:tab/>
        <w:t>(6)</w:t>
      </w:r>
      <w:r>
        <w:tab/>
        <w:t>A court must not make an order under subsection (4) unless satisfied it is in the interests of justice to do so.</w:t>
      </w:r>
    </w:p>
    <w:p>
      <w:pPr>
        <w:pStyle w:val="Subsection"/>
      </w:pPr>
      <w:r>
        <w:tab/>
        <w:t>(7)</w:t>
      </w:r>
      <w:r>
        <w:tab/>
        <w:t>Before making an order under subsection (4) a court must give the acquitted accused a reasonable opportunity to be heard on the application for the order.</w:t>
      </w:r>
    </w:p>
    <w:p>
      <w:pPr>
        <w:pStyle w:val="Subsection"/>
      </w:pPr>
      <w:r>
        <w:tab/>
        <w:t>(8)</w:t>
      </w:r>
      <w:r>
        <w:tab/>
        <w:t>A court that has made an order under subsection (4) may amend or cancel it at any time.</w:t>
      </w:r>
    </w:p>
    <w:p>
      <w:pPr>
        <w:pStyle w:val="Subsection"/>
        <w:keepNext/>
      </w:pPr>
      <w:r>
        <w:lastRenderedPageBreak/>
        <w:tab/>
        <w:t>(9)</w:t>
      </w:r>
      <w:r>
        <w:tab/>
        <w:t>Subject to any order made under subsection (4), the prohibition in subsection (2) ceases to have effect —</w:t>
      </w:r>
    </w:p>
    <w:p>
      <w:pPr>
        <w:pStyle w:val="Indenta"/>
      </w:pPr>
      <w:r>
        <w:tab/>
        <w:t>(a)</w:t>
      </w:r>
      <w:r>
        <w:tab/>
        <w:t>when there is no longer any step that could be taken in order to charge and try the acquitted accused with a new charge under this Part; or</w:t>
      </w:r>
    </w:p>
    <w:p>
      <w:pPr>
        <w:pStyle w:val="Indenta"/>
      </w:pPr>
      <w:r>
        <w:tab/>
        <w:t>(b)</w:t>
      </w:r>
      <w:r>
        <w:tab/>
        <w:t>when the trial (if any) of the acquitted accused on a new charge concludes,</w:t>
      </w:r>
    </w:p>
    <w:p>
      <w:pPr>
        <w:pStyle w:val="Subsection"/>
      </w:pPr>
      <w:r>
        <w:tab/>
      </w:r>
      <w:r>
        <w:tab/>
        <w:t>whichever occurs first.</w:t>
      </w:r>
    </w:p>
    <w:p>
      <w:pPr>
        <w:pStyle w:val="Subsection"/>
      </w:pPr>
      <w:r>
        <w:tab/>
        <w:t>(10)</w:t>
      </w:r>
      <w:r>
        <w:tab/>
        <w:t>A person who contravenes subsection (2) commits a contempt of the Supreme Court.</w:t>
      </w:r>
    </w:p>
    <w:p>
      <w:pPr>
        <w:pStyle w:val="Footnotesection"/>
      </w:pPr>
      <w:r>
        <w:tab/>
        <w:t>[Section 46L inserted: No. 9 of 2012 s. 4.]</w:t>
      </w:r>
    </w:p>
    <w:p>
      <w:pPr>
        <w:pStyle w:val="Heading5"/>
      </w:pPr>
      <w:bookmarkStart w:id="126" w:name="_Toc132288241"/>
      <w:r>
        <w:rPr>
          <w:rStyle w:val="CharSectno"/>
        </w:rPr>
        <w:t>46M</w:t>
      </w:r>
      <w:r>
        <w:t>.</w:t>
      </w:r>
      <w:r>
        <w:tab/>
        <w:t>Leave for new charge, effect of</w:t>
      </w:r>
      <w:bookmarkEnd w:id="126"/>
    </w:p>
    <w:p>
      <w:pPr>
        <w:pStyle w:val="Subsection"/>
      </w:pPr>
      <w:r>
        <w:tab/>
        <w:t>(1)</w:t>
      </w:r>
      <w:r>
        <w:tab/>
        <w:t>If under this Part the Court of Appeal gives leave to charge an acquitted accused with a new charge, only the person given leave, or another authorised officer, may commence a prosecution of the new charge.</w:t>
      </w:r>
    </w:p>
    <w:p>
      <w:pPr>
        <w:pStyle w:val="Subsection"/>
      </w:pPr>
      <w:r>
        <w:tab/>
        <w:t>(2)</w:t>
      </w:r>
      <w:r>
        <w:tab/>
        <w:t>A prosecution of a new charge cannot be commenced after —</w:t>
      </w:r>
    </w:p>
    <w:p>
      <w:pPr>
        <w:pStyle w:val="Indenta"/>
      </w:pPr>
      <w:r>
        <w:tab/>
        <w:t>(a)</w:t>
      </w:r>
      <w:r>
        <w:tab/>
        <w:t>2 months after the date on which leave is given; or</w:t>
      </w:r>
    </w:p>
    <w:p>
      <w:pPr>
        <w:pStyle w:val="Indenta"/>
      </w:pPr>
      <w:r>
        <w:tab/>
        <w:t>(b)</w:t>
      </w:r>
      <w:r>
        <w:tab/>
        <w:t>any longer period that the Court of Appeal may allow on an application made before the 2 months elapse.</w:t>
      </w:r>
    </w:p>
    <w:p>
      <w:pPr>
        <w:pStyle w:val="Subsection"/>
      </w:pPr>
      <w:r>
        <w:tab/>
        <w:t>(3)</w:t>
      </w:r>
      <w:r>
        <w:tab/>
        <w:t>The Court of Appeal must not allow a longer period under subsection (2)(b) unless it is satisfied —</w:t>
      </w:r>
    </w:p>
    <w:p>
      <w:pPr>
        <w:pStyle w:val="Indenta"/>
      </w:pPr>
      <w:r>
        <w:tab/>
        <w:t>(a)</w:t>
      </w:r>
      <w:r>
        <w:tab/>
        <w:t>the person given leave has taken and is taking reasonable steps to commence the prosecution as quickly as possible; and</w:t>
      </w:r>
    </w:p>
    <w:p>
      <w:pPr>
        <w:pStyle w:val="Indenta"/>
      </w:pPr>
      <w:r>
        <w:tab/>
        <w:t>(b)</w:t>
      </w:r>
      <w:r>
        <w:tab/>
        <w:t>there is a good reason why a longer period should be allowed.</w:t>
      </w:r>
    </w:p>
    <w:p>
      <w:pPr>
        <w:pStyle w:val="Subsection"/>
        <w:keepNext/>
      </w:pPr>
      <w:r>
        <w:lastRenderedPageBreak/>
        <w:tab/>
        <w:t>(4)</w:t>
      </w:r>
      <w:r>
        <w:tab/>
        <w:t>In a prosecution of the new charge —</w:t>
      </w:r>
    </w:p>
    <w:p>
      <w:pPr>
        <w:pStyle w:val="Indenta"/>
      </w:pPr>
      <w:r>
        <w:tab/>
        <w:t>(a)</w:t>
      </w:r>
      <w:r>
        <w:tab/>
        <w:t>a court dealing with the new charge cannot stay it because it is an abuse of process unless it is an abuse of process for reasons unrelated to it being —</w:t>
      </w:r>
    </w:p>
    <w:p>
      <w:pPr>
        <w:pStyle w:val="Indenti"/>
      </w:pPr>
      <w:r>
        <w:tab/>
        <w:t>(i)</w:t>
      </w:r>
      <w:r>
        <w:tab/>
        <w:t>a charge of a serious offence the details of which are the same or substantially the same as those in charge A; or</w:t>
      </w:r>
    </w:p>
    <w:p>
      <w:pPr>
        <w:pStyle w:val="Indenti"/>
      </w:pPr>
      <w:r>
        <w:tab/>
        <w:t>(ii)</w:t>
      </w:r>
      <w:r>
        <w:tab/>
        <w:t>a charge of some other serious offence of which, at trial A, the acquitted accused might have been convicted instead of offence A; or</w:t>
      </w:r>
    </w:p>
    <w:p>
      <w:pPr>
        <w:pStyle w:val="Indenti"/>
      </w:pPr>
      <w:r>
        <w:tab/>
        <w:t>(iii)</w:t>
      </w:r>
      <w:r>
        <w:tab/>
        <w:t>a charge of an AOJ offence allegedly committed in or in connection with trial A;</w:t>
      </w:r>
    </w:p>
    <w:p>
      <w:pPr>
        <w:pStyle w:val="Indenta"/>
      </w:pPr>
      <w:r>
        <w:tab/>
      </w:r>
      <w:r>
        <w:tab/>
        <w:t>and</w:t>
      </w:r>
    </w:p>
    <w:p>
      <w:pPr>
        <w:pStyle w:val="Indenta"/>
      </w:pPr>
      <w:r>
        <w:tab/>
        <w:t>(b)</w:t>
      </w:r>
      <w:r>
        <w:tab/>
        <w:t xml:space="preserve">the acquitted accused is not entitled — </w:t>
      </w:r>
    </w:p>
    <w:p>
      <w:pPr>
        <w:pStyle w:val="Indenti"/>
      </w:pPr>
      <w:r>
        <w:tab/>
        <w:t>(i)</w:t>
      </w:r>
      <w:r>
        <w:tab/>
        <w:t xml:space="preserve">on the grounds of the acquittal in trial A, to plead a defence under </w:t>
      </w:r>
      <w:r>
        <w:rPr>
          <w:i/>
          <w:iCs/>
        </w:rPr>
        <w:t xml:space="preserve">The Criminal Code </w:t>
      </w:r>
      <w:r>
        <w:t>section 17; or</w:t>
      </w:r>
    </w:p>
    <w:p>
      <w:pPr>
        <w:pStyle w:val="Indenti"/>
      </w:pPr>
      <w:r>
        <w:tab/>
        <w:t>(ii)</w:t>
      </w:r>
      <w:r>
        <w:tab/>
        <w:t>to prove or refer to the acquittal in trial A;</w:t>
      </w:r>
    </w:p>
    <w:p>
      <w:pPr>
        <w:pStyle w:val="Indenta"/>
      </w:pPr>
      <w:r>
        <w:tab/>
      </w:r>
      <w:r>
        <w:tab/>
        <w:t>and</w:t>
      </w:r>
    </w:p>
    <w:p>
      <w:pPr>
        <w:pStyle w:val="Indenta"/>
      </w:pPr>
      <w:r>
        <w:tab/>
        <w:t>(c)</w:t>
      </w:r>
      <w:r>
        <w:tab/>
        <w:t xml:space="preserve">the defence under </w:t>
      </w:r>
      <w:r>
        <w:rPr>
          <w:i/>
          <w:iCs/>
        </w:rPr>
        <w:t xml:space="preserve">The Criminal Code </w:t>
      </w:r>
      <w:r>
        <w:t>section 17 to the new charge that, but for this section, would exist by virtue of the acquittal in trial A does not apply to the new charge; and</w:t>
      </w:r>
    </w:p>
    <w:p>
      <w:pPr>
        <w:pStyle w:val="Indenta"/>
      </w:pPr>
      <w:r>
        <w:tab/>
        <w:t>(d)</w:t>
      </w:r>
      <w:r>
        <w:tab/>
        <w:t>the prosecutor is not entitled to refer to the fact that the Court of Appeal has given leave to charge the acquitted accused with the new charge or to any findings of the Court of Appeal in doing so.</w:t>
      </w:r>
    </w:p>
    <w:p>
      <w:pPr>
        <w:pStyle w:val="Subsection"/>
      </w:pPr>
      <w:r>
        <w:tab/>
        <w:t>(5)</w:t>
      </w:r>
      <w:r>
        <w:tab/>
        <w:t>If —</w:t>
      </w:r>
    </w:p>
    <w:p>
      <w:pPr>
        <w:pStyle w:val="Indenta"/>
      </w:pPr>
      <w:r>
        <w:tab/>
        <w:t>(a)</w:t>
      </w:r>
      <w:r>
        <w:tab/>
        <w:t>a new charge against an acquitted accused is the same or substantially the same as charge A; and</w:t>
      </w:r>
    </w:p>
    <w:p>
      <w:pPr>
        <w:pStyle w:val="Indenta"/>
      </w:pPr>
      <w:r>
        <w:tab/>
        <w:t>(b)</w:t>
      </w:r>
      <w:r>
        <w:tab/>
        <w:t>the acquitted accused was acquitted of charge A in trial A; and</w:t>
      </w:r>
    </w:p>
    <w:p>
      <w:pPr>
        <w:pStyle w:val="Indenta"/>
      </w:pPr>
      <w:r>
        <w:lastRenderedPageBreak/>
        <w:tab/>
        <w:t>(c)</w:t>
      </w:r>
      <w:r>
        <w:tab/>
        <w:t>trial A occurred in this State; and</w:t>
      </w:r>
    </w:p>
    <w:p>
      <w:pPr>
        <w:pStyle w:val="Indenta"/>
      </w:pPr>
      <w:r>
        <w:tab/>
        <w:t>(d)</w:t>
      </w:r>
      <w:r>
        <w:tab/>
        <w:t>the acquitted accused is convicted on the new charge,</w:t>
      </w:r>
    </w:p>
    <w:p>
      <w:pPr>
        <w:pStyle w:val="Subsection"/>
      </w:pPr>
      <w:r>
        <w:tab/>
      </w:r>
      <w:r>
        <w:tab/>
        <w:t>the court dealing with the new charge must set aside the judgment of acquittal, entered in trial A, of charge A.</w:t>
      </w:r>
    </w:p>
    <w:p>
      <w:pPr>
        <w:pStyle w:val="Footnotesection"/>
      </w:pPr>
      <w:r>
        <w:tab/>
        <w:t>[Section 46M inserted: No. 9 of 2012 s. 4.]</w:t>
      </w:r>
    </w:p>
    <w:p>
      <w:pPr>
        <w:pStyle w:val="Heading2"/>
        <w:ind w:left="284" w:right="283"/>
      </w:pPr>
      <w:bookmarkStart w:id="127" w:name="_Toc132187784"/>
      <w:bookmarkStart w:id="128" w:name="_Toc132187884"/>
      <w:bookmarkStart w:id="129" w:name="_Toc132288242"/>
      <w:r>
        <w:rPr>
          <w:rStyle w:val="CharPartNo"/>
        </w:rPr>
        <w:lastRenderedPageBreak/>
        <w:t>Part 5</w:t>
      </w:r>
      <w:r>
        <w:rPr>
          <w:rStyle w:val="CharDivNo"/>
        </w:rPr>
        <w:t> </w:t>
      </w:r>
      <w:r>
        <w:t>—</w:t>
      </w:r>
      <w:r>
        <w:rPr>
          <w:rStyle w:val="CharDivText"/>
        </w:rPr>
        <w:t> </w:t>
      </w:r>
      <w:r>
        <w:rPr>
          <w:rStyle w:val="CharPartText"/>
        </w:rPr>
        <w:t>Referrals of questions of law to the Court of Appeal</w:t>
      </w:r>
      <w:bookmarkEnd w:id="127"/>
      <w:bookmarkEnd w:id="128"/>
      <w:bookmarkEnd w:id="129"/>
    </w:p>
    <w:p>
      <w:pPr>
        <w:pStyle w:val="Heading5"/>
      </w:pPr>
      <w:bookmarkStart w:id="130" w:name="_Toc132288243"/>
      <w:r>
        <w:rPr>
          <w:rStyle w:val="CharSectno"/>
        </w:rPr>
        <w:t>46</w:t>
      </w:r>
      <w:r>
        <w:t>.</w:t>
      </w:r>
      <w:r>
        <w:tab/>
        <w:t>Referrals by superior courts</w:t>
      </w:r>
      <w:bookmarkEnd w:id="130"/>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31" w:name="_Toc132288244"/>
      <w:r>
        <w:rPr>
          <w:rStyle w:val="CharSectno"/>
        </w:rPr>
        <w:t>47</w:t>
      </w:r>
      <w:r>
        <w:t>.</w:t>
      </w:r>
      <w:r>
        <w:tab/>
        <w:t>Referrals by Attorney General</w:t>
      </w:r>
      <w:bookmarkEnd w:id="131"/>
    </w:p>
    <w:p>
      <w:pPr>
        <w:pStyle w:val="Subsection"/>
      </w:pPr>
      <w:r>
        <w:tab/>
        <w:t>(1)</w:t>
      </w:r>
      <w:r>
        <w:tab/>
        <w:t xml:space="preserve">In this section — </w:t>
      </w:r>
    </w:p>
    <w:p>
      <w:pPr>
        <w:pStyle w:val="Defstart"/>
      </w:pPr>
      <w:r>
        <w:rPr>
          <w:b/>
        </w:rPr>
        <w:tab/>
      </w:r>
      <w:r>
        <w:rPr>
          <w:rStyle w:val="CharDefText"/>
        </w:rPr>
        <w:t>superior court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 and</w:t>
      </w:r>
    </w:p>
    <w:p>
      <w:pPr>
        <w:pStyle w:val="Indenta"/>
      </w:pPr>
      <w:r>
        <w:lastRenderedPageBreak/>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32" w:name="_Toc132288245"/>
      <w:r>
        <w:rPr>
          <w:rStyle w:val="CharSectno"/>
        </w:rPr>
        <w:t>48</w:t>
      </w:r>
      <w:r>
        <w:t>.</w:t>
      </w:r>
      <w:r>
        <w:tab/>
        <w:t>Referrals, general provisions about</w:t>
      </w:r>
      <w:bookmarkEnd w:id="132"/>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lastRenderedPageBreak/>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33" w:name="_Toc132187788"/>
      <w:bookmarkStart w:id="134" w:name="_Toc132187888"/>
      <w:bookmarkStart w:id="135" w:name="_Toc132288246"/>
      <w:r>
        <w:rPr>
          <w:rStyle w:val="CharPartNo"/>
        </w:rPr>
        <w:lastRenderedPageBreak/>
        <w:t>Part 6</w:t>
      </w:r>
      <w:r>
        <w:rPr>
          <w:rStyle w:val="CharDivNo"/>
        </w:rPr>
        <w:t> </w:t>
      </w:r>
      <w:r>
        <w:t>—</w:t>
      </w:r>
      <w:r>
        <w:rPr>
          <w:rStyle w:val="CharDivText"/>
        </w:rPr>
        <w:t> </w:t>
      </w:r>
      <w:r>
        <w:rPr>
          <w:rStyle w:val="CharPartText"/>
        </w:rPr>
        <w:t>Miscellaneous</w:t>
      </w:r>
      <w:bookmarkEnd w:id="133"/>
      <w:bookmarkEnd w:id="134"/>
      <w:bookmarkEnd w:id="135"/>
    </w:p>
    <w:p>
      <w:pPr>
        <w:pStyle w:val="Heading5"/>
      </w:pPr>
      <w:bookmarkStart w:id="136" w:name="_Toc132288247"/>
      <w:r>
        <w:rPr>
          <w:rStyle w:val="CharSectno"/>
        </w:rPr>
        <w:t>49</w:t>
      </w:r>
      <w:r>
        <w:t>.</w:t>
      </w:r>
      <w:r>
        <w:tab/>
        <w:t>Sentence may be varied etc. in specific cases</w:t>
      </w:r>
      <w:bookmarkEnd w:id="136"/>
    </w:p>
    <w:p>
      <w:pPr>
        <w:pStyle w:val="Subsection"/>
      </w:pPr>
      <w:r>
        <w:tab/>
      </w:r>
      <w:r>
        <w:tab/>
        <w:t xml:space="preserve">If — </w:t>
      </w:r>
    </w:p>
    <w:p>
      <w:pPr>
        <w:pStyle w:val="Indenta"/>
      </w:pPr>
      <w:r>
        <w:tab/>
        <w:t>(a)</w:t>
      </w:r>
      <w:r>
        <w:tab/>
        <w:t>a sentence imposed on a person (</w:t>
      </w:r>
      <w:r>
        <w:rPr>
          <w:rStyle w:val="CharDefText"/>
        </w:rPr>
        <w:t>sentence A</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rStyle w:val="CharDefText"/>
        </w:rPr>
        <w:t>sentence B</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37" w:name="_Toc132288248"/>
      <w:r>
        <w:rPr>
          <w:rStyle w:val="CharSectno"/>
        </w:rPr>
        <w:t>50</w:t>
      </w:r>
      <w:r>
        <w:t>.</w:t>
      </w:r>
      <w:r>
        <w:tab/>
        <w:t>Rules of court</w:t>
      </w:r>
      <w:bookmarkEnd w:id="137"/>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lastRenderedPageBreak/>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pPr>
      <w:bookmarkStart w:id="138" w:name="_Toc132288249"/>
      <w:r>
        <w:rPr>
          <w:rStyle w:val="CharSectno"/>
        </w:rPr>
        <w:t>51</w:t>
      </w:r>
      <w:r>
        <w:rPr>
          <w:szCs w:val="22"/>
        </w:rPr>
        <w:t>.</w:t>
      </w:r>
      <w:r>
        <w:rPr>
          <w:szCs w:val="22"/>
        </w:rPr>
        <w:tab/>
        <w:t>Certain amendments to be reviewed</w:t>
      </w:r>
      <w:bookmarkEnd w:id="138"/>
    </w:p>
    <w:p>
      <w:pPr>
        <w:pStyle w:val="Subsection"/>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pPr>
      <w:r>
        <w:tab/>
        <w:t>(2)</w:t>
      </w:r>
      <w:r>
        <w:tab/>
        <w:t>The Minister must prepare a report based on the review and, as soon as practicable after the report is prepared, cause it to be laid before each House of Parliament.</w:t>
      </w:r>
    </w:p>
    <w:p>
      <w:pPr>
        <w:pStyle w:val="Footnotesection"/>
      </w:pPr>
      <w:r>
        <w:tab/>
        <w:t>[Section 51 inserted: No. 2 of 2008 s. 40.]</w:t>
      </w:r>
    </w:p>
    <w:p>
      <w:pPr>
        <w:pStyle w:val="Heading5"/>
      </w:pPr>
      <w:bookmarkStart w:id="139" w:name="_Toc132288250"/>
      <w:r>
        <w:rPr>
          <w:rStyle w:val="CharSectno"/>
        </w:rPr>
        <w:lastRenderedPageBreak/>
        <w:t>52</w:t>
      </w:r>
      <w:r>
        <w:t>.</w:t>
      </w:r>
      <w:r>
        <w:tab/>
        <w:t>Double jeopardy amendments to be reviewed</w:t>
      </w:r>
      <w:bookmarkEnd w:id="139"/>
    </w:p>
    <w:p>
      <w:pPr>
        <w:pStyle w:val="Subsection"/>
      </w:pPr>
      <w:r>
        <w:tab/>
        <w:t>(1)</w:t>
      </w:r>
      <w:r>
        <w:tab/>
        <w:t xml:space="preserve">The Minister must carry out a review of the operation of the amendments made to this Act and </w:t>
      </w:r>
      <w:r>
        <w:rPr>
          <w:i/>
        </w:rPr>
        <w:t>The Criminal Code</w:t>
      </w:r>
      <w:r>
        <w:t xml:space="preserve"> by the </w:t>
      </w:r>
      <w:r>
        <w:rPr>
          <w:i/>
        </w:rPr>
        <w:t>Criminal Appeals Amendment (Double Jeopardy) Act 2012</w:t>
      </w:r>
      <w:r>
        <w:t xml:space="preserve"> as soon as practicable after the expiration of 5 years after the date on which the amendments come into operation.</w:t>
      </w:r>
    </w:p>
    <w:p>
      <w:pPr>
        <w:pStyle w:val="Subsection"/>
      </w:pPr>
      <w:r>
        <w:tab/>
        <w:t>(2)</w:t>
      </w:r>
      <w:r>
        <w:tab/>
        <w:t>The Minister must prepare a report based on the review and, as soon as practicable after the report is prepared and in any event not more than 18 months after the expiry of the period referred to in subsection (1), cause it to be laid before each House of Parliament.</w:t>
      </w:r>
    </w:p>
    <w:p>
      <w:pPr>
        <w:pStyle w:val="Footnotesection"/>
      </w:pPr>
      <w:r>
        <w:tab/>
        <w:t>[Section 52 inserted: No. 9 of 2012 s. 5.]</w:t>
      </w:r>
    </w:p>
    <w:p>
      <w:pPr>
        <w:pStyle w:val="Heading5"/>
      </w:pPr>
      <w:bookmarkStart w:id="140" w:name="_Toc132288251"/>
      <w:r>
        <w:rPr>
          <w:rStyle w:val="CharSectno"/>
        </w:rPr>
        <w:t>53</w:t>
      </w:r>
      <w:r>
        <w:t>.</w:t>
      </w:r>
      <w:r>
        <w:tab/>
        <w:t xml:space="preserve">Review of amendments made by </w:t>
      </w:r>
      <w:r>
        <w:rPr>
          <w:i/>
        </w:rPr>
        <w:t>Criminal Appeals Amendment Act 2022</w:t>
      </w:r>
      <w:bookmarkEnd w:id="140"/>
    </w:p>
    <w:p>
      <w:pPr>
        <w:pStyle w:val="Subsection"/>
      </w:pPr>
      <w:r>
        <w:tab/>
        <w:t>(1)</w:t>
      </w:r>
      <w:r>
        <w:tab/>
      </w:r>
      <w:r>
        <w:rPr>
          <w:snapToGrid w:val="0"/>
        </w:rPr>
        <w:t xml:space="preserve">The Minister must review the operation and effectiveness of the amendments made to this Act by the </w:t>
      </w:r>
      <w:r>
        <w:rPr>
          <w:i/>
        </w:rPr>
        <w:t>Criminal Appeals Amendment Act 2022</w:t>
      </w:r>
      <w:r>
        <w:t xml:space="preserve">, </w:t>
      </w:r>
      <w:r>
        <w:rPr>
          <w:snapToGrid w:val="0"/>
        </w:rPr>
        <w:t>and prepare a report based on the review, as soon as practicable after the 5</w:t>
      </w:r>
      <w:r>
        <w:rPr>
          <w:snapToGrid w:val="0"/>
          <w:vertAlign w:val="superscript"/>
        </w:rPr>
        <w:t>th</w:t>
      </w:r>
      <w:r>
        <w:rPr>
          <w:snapToGrid w:val="0"/>
        </w:rPr>
        <w:t xml:space="preserve"> anniversary of the day on which the </w:t>
      </w:r>
      <w:r>
        <w:rPr>
          <w:i/>
        </w:rPr>
        <w:t>Criminal Appeals Amendment Act 2022</w:t>
      </w:r>
      <w:r>
        <w:t xml:space="preserve"> section 4 comes into operation.</w:t>
      </w:r>
    </w:p>
    <w:p>
      <w:pPr>
        <w:pStyle w:val="Subsection"/>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53 inserted: No. 18 of 2022 s. 5.]</w:t>
      </w:r>
    </w:p>
    <w:p>
      <w:pPr>
        <w:pStyle w:val="CentredBaseLine"/>
        <w:jc w:val="center"/>
      </w:pPr>
      <w:r>
        <w:rPr>
          <w:noProof/>
        </w:rPr>
        <w:drawing>
          <wp:inline distT="0" distB="0" distL="0" distR="0">
            <wp:extent cx="934085"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085"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141" w:name="_Toc132187794"/>
      <w:bookmarkStart w:id="142" w:name="_Toc132187894"/>
      <w:bookmarkStart w:id="143" w:name="_Toc132288252"/>
      <w:r>
        <w:lastRenderedPageBreak/>
        <w:t>Notes</w:t>
      </w:r>
      <w:bookmarkEnd w:id="141"/>
      <w:bookmarkEnd w:id="142"/>
      <w:bookmarkEnd w:id="143"/>
    </w:p>
    <w:p>
      <w:pPr>
        <w:pStyle w:val="nStatement"/>
      </w:pPr>
      <w:r>
        <w:t xml:space="preserve">This is a compilation of the </w:t>
      </w:r>
      <w:r>
        <w:rPr>
          <w:i/>
          <w:noProof/>
        </w:rPr>
        <w:t>Criminal Appeals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4" w:name="_Toc132288253"/>
      <w:r>
        <w:t>Compilation table</w:t>
      </w:r>
      <w:bookmarkEnd w:id="144"/>
    </w:p>
    <w:tbl>
      <w:tblPr>
        <w:tblW w:w="7184" w:type="dxa"/>
        <w:tblInd w:w="28" w:type="dxa"/>
        <w:tblLayout w:type="fixed"/>
        <w:tblCellMar>
          <w:left w:w="56" w:type="dxa"/>
          <w:right w:w="56" w:type="dxa"/>
        </w:tblCellMar>
        <w:tblLook w:val="0000" w:firstRow="0" w:lastRow="0" w:firstColumn="0" w:lastColumn="0" w:noHBand="0" w:noVBand="0"/>
      </w:tblPr>
      <w:tblGrid>
        <w:gridCol w:w="28"/>
        <w:gridCol w:w="2240"/>
        <w:gridCol w:w="27"/>
        <w:gridCol w:w="1107"/>
        <w:gridCol w:w="27"/>
        <w:gridCol w:w="1107"/>
        <w:gridCol w:w="67"/>
        <w:gridCol w:w="2485"/>
        <w:gridCol w:w="65"/>
        <w:gridCol w:w="31"/>
      </w:tblGrid>
      <w:tr>
        <w:trPr>
          <w:gridAfter w:val="2"/>
          <w:wAfter w:w="96" w:type="dxa"/>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2"/>
          <w:wAfter w:w="96" w:type="dxa"/>
        </w:trPr>
        <w:tc>
          <w:tcPr>
            <w:tcW w:w="2268" w:type="dxa"/>
            <w:gridSpan w:val="2"/>
            <w:tcBorders>
              <w:top w:val="single" w:sz="8" w:space="0" w:color="auto"/>
            </w:tcBorders>
          </w:tcPr>
          <w:p>
            <w:pPr>
              <w:pStyle w:val="nTable"/>
              <w:spacing w:after="40"/>
              <w:rPr>
                <w:i/>
              </w:rPr>
            </w:pPr>
            <w:r>
              <w:rPr>
                <w:i/>
              </w:rPr>
              <w:t>Criminal Appeals Act 2004</w:t>
            </w:r>
          </w:p>
        </w:tc>
        <w:tc>
          <w:tcPr>
            <w:tcW w:w="1134" w:type="dxa"/>
            <w:gridSpan w:val="2"/>
            <w:tcBorders>
              <w:top w:val="single" w:sz="8" w:space="0" w:color="auto"/>
            </w:tcBorders>
          </w:tcPr>
          <w:p>
            <w:pPr>
              <w:pStyle w:val="nTable"/>
              <w:spacing w:after="40"/>
            </w:pPr>
            <w:r>
              <w:t>60 of 2004</w:t>
            </w:r>
          </w:p>
        </w:tc>
        <w:tc>
          <w:tcPr>
            <w:tcW w:w="1134" w:type="dxa"/>
            <w:gridSpan w:val="2"/>
            <w:tcBorders>
              <w:top w:val="single" w:sz="8" w:space="0" w:color="auto"/>
            </w:tcBorders>
          </w:tcPr>
          <w:p>
            <w:pPr>
              <w:pStyle w:val="nTable"/>
              <w:spacing w:after="40"/>
            </w:pPr>
            <w:r>
              <w:t>23 Nov 2004</w:t>
            </w:r>
          </w:p>
        </w:tc>
        <w:tc>
          <w:tcPr>
            <w:tcW w:w="2552" w:type="dxa"/>
            <w:gridSpan w:val="2"/>
            <w:tcBorders>
              <w:top w:val="single" w:sz="8" w:space="0" w:color="auto"/>
            </w:tcBorders>
          </w:tcPr>
          <w:p>
            <w:pPr>
              <w:pStyle w:val="nTable"/>
              <w:spacing w:after="40"/>
            </w:pPr>
            <w:r>
              <w:t>s. 1 and 2: 23 Nov 2004;</w:t>
            </w:r>
            <w:r>
              <w:br/>
              <w:t>Act other than s. 1 and 2: 2 May 2005 (see s. 2 and Gazette 31 Dec 2004 p. 7129)</w:t>
            </w:r>
          </w:p>
        </w:tc>
      </w:tr>
      <w:tr>
        <w:trPr>
          <w:gridAfter w:val="2"/>
          <w:wAfter w:w="96" w:type="dxa"/>
        </w:trPr>
        <w:tc>
          <w:tcPr>
            <w:tcW w:w="2268" w:type="dxa"/>
            <w:gridSpan w:val="2"/>
          </w:tcPr>
          <w:p>
            <w:pPr>
              <w:pStyle w:val="nTable"/>
              <w:spacing w:after="40"/>
              <w:rPr>
                <w:i/>
              </w:rPr>
            </w:pPr>
            <w:r>
              <w:rPr>
                <w:i/>
              </w:rPr>
              <w:t>Criminal Investigation (Consequential Provisions) Act 2006 s. 73</w:t>
            </w:r>
          </w:p>
        </w:tc>
        <w:tc>
          <w:tcPr>
            <w:tcW w:w="1134" w:type="dxa"/>
            <w:gridSpan w:val="2"/>
          </w:tcPr>
          <w:p>
            <w:pPr>
              <w:pStyle w:val="nTable"/>
              <w:spacing w:after="40"/>
            </w:pPr>
            <w:r>
              <w:t>59 of 2006</w:t>
            </w:r>
          </w:p>
        </w:tc>
        <w:tc>
          <w:tcPr>
            <w:tcW w:w="1134" w:type="dxa"/>
            <w:gridSpan w:val="2"/>
          </w:tcPr>
          <w:p>
            <w:pPr>
              <w:pStyle w:val="nTable"/>
              <w:spacing w:after="40"/>
            </w:pPr>
            <w:r>
              <w:t>16 Nov 2006</w:t>
            </w:r>
          </w:p>
        </w:tc>
        <w:tc>
          <w:tcPr>
            <w:tcW w:w="2552" w:type="dxa"/>
            <w:gridSpan w:val="2"/>
          </w:tcPr>
          <w:p>
            <w:pPr>
              <w:pStyle w:val="nTable"/>
              <w:spacing w:after="40"/>
            </w:pPr>
            <w:r>
              <w:t>1 Jul 2007 (see s. 2 and Gazette 22 Jun 2007 p. 2838)</w:t>
            </w:r>
          </w:p>
        </w:tc>
      </w:tr>
      <w:tr>
        <w:trPr>
          <w:gridAfter w:val="2"/>
          <w:wAfter w:w="96" w:type="dxa"/>
        </w:trPr>
        <w:tc>
          <w:tcPr>
            <w:tcW w:w="2268" w:type="dxa"/>
            <w:gridSpan w:val="2"/>
          </w:tcPr>
          <w:p>
            <w:pPr>
              <w:pStyle w:val="nTable"/>
              <w:spacing w:after="40"/>
              <w:rPr>
                <w:i/>
              </w:rPr>
            </w:pPr>
            <w:r>
              <w:rPr>
                <w:i/>
              </w:rPr>
              <w:t>Criminal Law and Evidence Amendment Act 2008 Pt. 4</w:t>
            </w:r>
          </w:p>
        </w:tc>
        <w:tc>
          <w:tcPr>
            <w:tcW w:w="1134" w:type="dxa"/>
            <w:gridSpan w:val="2"/>
          </w:tcPr>
          <w:p>
            <w:pPr>
              <w:pStyle w:val="nTable"/>
              <w:spacing w:after="40"/>
            </w:pPr>
            <w:r>
              <w:t>2 of 2008</w:t>
            </w:r>
          </w:p>
        </w:tc>
        <w:tc>
          <w:tcPr>
            <w:tcW w:w="1134" w:type="dxa"/>
            <w:gridSpan w:val="2"/>
          </w:tcPr>
          <w:p>
            <w:pPr>
              <w:pStyle w:val="nTable"/>
              <w:spacing w:after="40"/>
            </w:pPr>
            <w:r>
              <w:t>12 Mar 2008</w:t>
            </w:r>
          </w:p>
        </w:tc>
        <w:tc>
          <w:tcPr>
            <w:tcW w:w="2552" w:type="dxa"/>
            <w:gridSpan w:val="2"/>
          </w:tcPr>
          <w:p>
            <w:pPr>
              <w:pStyle w:val="nTable"/>
              <w:spacing w:after="40"/>
            </w:pPr>
            <w:r>
              <w:t>27 Apr 2008 (see s. 2 and Gazette 24 Apr 2008 p. 1559)</w:t>
            </w:r>
          </w:p>
        </w:tc>
      </w:tr>
      <w:tr>
        <w:trPr>
          <w:gridAfter w:val="2"/>
          <w:wAfter w:w="96" w:type="dxa"/>
        </w:trPr>
        <w:tc>
          <w:tcPr>
            <w:tcW w:w="2268" w:type="dxa"/>
            <w:gridSpan w:val="2"/>
          </w:tcPr>
          <w:p>
            <w:pPr>
              <w:pStyle w:val="nTable"/>
              <w:spacing w:after="40"/>
              <w:rPr>
                <w:i/>
              </w:rPr>
            </w:pPr>
            <w:r>
              <w:rPr>
                <w:i/>
              </w:rPr>
              <w:t>Acts Amendment (Justice) Act 2008 Pt. 6</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2" w:type="dxa"/>
            <w:gridSpan w:val="2"/>
          </w:tcPr>
          <w:p>
            <w:pPr>
              <w:pStyle w:val="nTable"/>
              <w:spacing w:after="40"/>
            </w:pPr>
            <w:r>
              <w:t>30 Sep 2008 (see s. 2(d) and Gazette 11 Jul 2008 p. 3253)</w:t>
            </w:r>
          </w:p>
        </w:tc>
      </w:tr>
      <w:tr>
        <w:trPr>
          <w:gridBefore w:val="1"/>
          <w:gridAfter w:val="1"/>
          <w:wBefore w:w="28" w:type="dxa"/>
          <w:wAfter w:w="31" w:type="dxa"/>
        </w:trPr>
        <w:tc>
          <w:tcPr>
            <w:tcW w:w="7125" w:type="dxa"/>
            <w:gridSpan w:val="8"/>
          </w:tcPr>
          <w:p>
            <w:pPr>
              <w:pStyle w:val="nTable"/>
              <w:spacing w:after="40"/>
              <w:rPr>
                <w:snapToGrid w:val="0"/>
              </w:rPr>
            </w:pPr>
            <w:r>
              <w:rPr>
                <w:b/>
                <w:bCs/>
                <w:snapToGrid w:val="0"/>
              </w:rPr>
              <w:t xml:space="preserve">Reprint 1: The </w:t>
            </w:r>
            <w:r>
              <w:rPr>
                <w:b/>
                <w:bCs/>
                <w:i/>
                <w:noProof/>
                <w:snapToGrid w:val="0"/>
              </w:rPr>
              <w:t>Criminal Appeals Act 2004</w:t>
            </w:r>
            <w:r>
              <w:rPr>
                <w:b/>
                <w:bCs/>
                <w:snapToGrid w:val="0"/>
              </w:rPr>
              <w:t xml:space="preserve"> as at 23 Jan 2009</w:t>
            </w:r>
            <w:r>
              <w:rPr>
                <w:snapToGrid w:val="0"/>
              </w:rPr>
              <w:t xml:space="preserve"> (includes amendments listed above)</w:t>
            </w:r>
          </w:p>
        </w:tc>
      </w:tr>
      <w:tr>
        <w:tblPrEx>
          <w:tblCellMar>
            <w:left w:w="57" w:type="dxa"/>
            <w:right w:w="57" w:type="dxa"/>
          </w:tblCellMar>
        </w:tblPrEx>
        <w:trPr>
          <w:gridBefore w:val="1"/>
          <w:wBefore w:w="28" w:type="dxa"/>
        </w:trPr>
        <w:tc>
          <w:tcPr>
            <w:tcW w:w="2267" w:type="dxa"/>
            <w:gridSpan w:val="2"/>
            <w:shd w:val="clear" w:color="auto" w:fill="auto"/>
          </w:tcPr>
          <w:p>
            <w:pPr>
              <w:pStyle w:val="nTable"/>
              <w:spacing w:after="40"/>
              <w:rPr>
                <w:snapToGrid w:val="0"/>
                <w:vertAlign w:val="superscript"/>
              </w:rPr>
            </w:pPr>
            <w:r>
              <w:rPr>
                <w:i/>
                <w:snapToGrid w:val="0"/>
              </w:rPr>
              <w:t xml:space="preserve">Road Traffic Legislation Amendment Act 2012 </w:t>
            </w:r>
            <w:r>
              <w:rPr>
                <w:snapToGrid w:val="0"/>
              </w:rPr>
              <w:t>Pt. 4 Div. 13</w:t>
            </w:r>
            <w:r>
              <w:rPr>
                <w:vertAlign w:val="superscript"/>
              </w:rPr>
              <w:t> </w:t>
            </w:r>
          </w:p>
        </w:tc>
        <w:tc>
          <w:tcPr>
            <w:tcW w:w="1134" w:type="dxa"/>
            <w:gridSpan w:val="2"/>
            <w:shd w:val="clear" w:color="auto" w:fill="auto"/>
          </w:tcPr>
          <w:p>
            <w:pPr>
              <w:pStyle w:val="nTable"/>
              <w:spacing w:after="40"/>
              <w:rPr>
                <w:snapToGrid w:val="0"/>
              </w:rPr>
            </w:pPr>
            <w:r>
              <w:rPr>
                <w:snapToGrid w:val="0"/>
              </w:rPr>
              <w:t>8 of 2012</w:t>
            </w:r>
          </w:p>
        </w:tc>
        <w:tc>
          <w:tcPr>
            <w:tcW w:w="1174" w:type="dxa"/>
            <w:gridSpan w:val="2"/>
            <w:shd w:val="clear" w:color="auto" w:fill="auto"/>
          </w:tcPr>
          <w:p>
            <w:pPr>
              <w:pStyle w:val="nTable"/>
              <w:spacing w:after="40"/>
              <w:rPr>
                <w:snapToGrid w:val="0"/>
              </w:rPr>
            </w:pPr>
            <w:r>
              <w:t>21 May 2012</w:t>
            </w:r>
          </w:p>
        </w:tc>
        <w:tc>
          <w:tcPr>
            <w:tcW w:w="2581" w:type="dxa"/>
            <w:gridSpan w:val="3"/>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28" w:type="dxa"/>
          <w:wAfter w:w="31" w:type="dxa"/>
        </w:trPr>
        <w:tc>
          <w:tcPr>
            <w:tcW w:w="2267" w:type="dxa"/>
            <w:gridSpan w:val="2"/>
            <w:shd w:val="clear" w:color="auto" w:fill="auto"/>
          </w:tcPr>
          <w:p>
            <w:pPr>
              <w:pStyle w:val="nTable"/>
              <w:spacing w:after="40"/>
              <w:rPr>
                <w:i/>
                <w:snapToGrid w:val="0"/>
              </w:rPr>
            </w:pPr>
            <w:r>
              <w:rPr>
                <w:i/>
                <w:snapToGrid w:val="0"/>
              </w:rPr>
              <w:t>Criminal Appeals Amendment (Double Jeopardy) Act 2012</w:t>
            </w:r>
            <w:r>
              <w:rPr>
                <w:snapToGrid w:val="0"/>
              </w:rPr>
              <w:t xml:space="preserve"> Pt. 2</w:t>
            </w:r>
          </w:p>
        </w:tc>
        <w:tc>
          <w:tcPr>
            <w:tcW w:w="1134" w:type="dxa"/>
            <w:gridSpan w:val="2"/>
            <w:shd w:val="clear" w:color="auto" w:fill="auto"/>
          </w:tcPr>
          <w:p>
            <w:pPr>
              <w:pStyle w:val="nTable"/>
              <w:spacing w:after="40"/>
              <w:rPr>
                <w:snapToGrid w:val="0"/>
              </w:rPr>
            </w:pPr>
            <w:r>
              <w:t>9 of 2012</w:t>
            </w:r>
          </w:p>
        </w:tc>
        <w:tc>
          <w:tcPr>
            <w:tcW w:w="1174" w:type="dxa"/>
            <w:gridSpan w:val="2"/>
            <w:shd w:val="clear" w:color="auto" w:fill="auto"/>
          </w:tcPr>
          <w:p>
            <w:pPr>
              <w:pStyle w:val="nTable"/>
              <w:spacing w:after="40"/>
            </w:pPr>
            <w:r>
              <w:t>21 May 2012</w:t>
            </w:r>
          </w:p>
        </w:tc>
        <w:tc>
          <w:tcPr>
            <w:tcW w:w="2550" w:type="dxa"/>
            <w:gridSpan w:val="2"/>
            <w:shd w:val="clear" w:color="auto" w:fill="auto"/>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gridBefore w:val="1"/>
          <w:gridAfter w:val="1"/>
          <w:wBefore w:w="28" w:type="dxa"/>
          <w:wAfter w:w="31" w:type="dxa"/>
        </w:trPr>
        <w:tc>
          <w:tcPr>
            <w:tcW w:w="7125" w:type="dxa"/>
            <w:gridSpan w:val="8"/>
            <w:shd w:val="clear" w:color="auto" w:fill="auto"/>
          </w:tcPr>
          <w:p>
            <w:pPr>
              <w:pStyle w:val="nTable"/>
              <w:spacing w:after="40"/>
              <w:rPr>
                <w:snapToGrid w:val="0"/>
              </w:rPr>
            </w:pPr>
            <w:r>
              <w:rPr>
                <w:b/>
                <w:bCs/>
                <w:snapToGrid w:val="0"/>
              </w:rPr>
              <w:t xml:space="preserve">Reprint 2: The </w:t>
            </w:r>
            <w:r>
              <w:rPr>
                <w:b/>
                <w:bCs/>
                <w:i/>
                <w:noProof/>
                <w:snapToGrid w:val="0"/>
              </w:rPr>
              <w:t>Criminal Appeals Act 2004</w:t>
            </w:r>
            <w:r>
              <w:rPr>
                <w:b/>
                <w:bCs/>
                <w:snapToGrid w:val="0"/>
              </w:rPr>
              <w:t xml:space="preserve"> as at 12 Apr 2013</w:t>
            </w:r>
            <w:r>
              <w:rPr>
                <w:snapToGrid w:val="0"/>
              </w:rPr>
              <w:t xml:space="preserve"> (includes amendments listed above except those in the </w:t>
            </w:r>
            <w:r>
              <w:rPr>
                <w:i/>
                <w:snapToGrid w:val="0"/>
              </w:rPr>
              <w:t xml:space="preserve">Road Traffic Legislation Amendment Act 2012 </w:t>
            </w:r>
            <w:r>
              <w:rPr>
                <w:snapToGrid w:val="0"/>
              </w:rPr>
              <w:t>Pt. 4 Div. 13)</w:t>
            </w:r>
          </w:p>
        </w:tc>
      </w:tr>
      <w:tr>
        <w:trPr>
          <w:gridBefore w:val="1"/>
          <w:gridAfter w:val="1"/>
          <w:wBefore w:w="28" w:type="dxa"/>
          <w:wAfter w:w="31" w:type="dxa"/>
        </w:trPr>
        <w:tc>
          <w:tcPr>
            <w:tcW w:w="2267" w:type="dxa"/>
            <w:gridSpan w:val="2"/>
            <w:shd w:val="clear" w:color="auto" w:fill="auto"/>
          </w:tcPr>
          <w:p>
            <w:pPr>
              <w:pStyle w:val="nTable"/>
              <w:spacing w:after="40"/>
              <w:rPr>
                <w:i/>
                <w:snapToGrid w:val="0"/>
              </w:rPr>
            </w:pPr>
            <w:r>
              <w:rPr>
                <w:i/>
                <w:snapToGrid w:val="0"/>
              </w:rPr>
              <w:t xml:space="preserve">Courts and Tribunals (Electronic Processes Facilitation) Act 2013 </w:t>
            </w:r>
            <w:r>
              <w:rPr>
                <w:snapToGrid w:val="0"/>
              </w:rPr>
              <w:t>Pt. 3 Div. 5</w:t>
            </w:r>
          </w:p>
        </w:tc>
        <w:tc>
          <w:tcPr>
            <w:tcW w:w="1134" w:type="dxa"/>
            <w:gridSpan w:val="2"/>
            <w:shd w:val="clear" w:color="auto" w:fill="auto"/>
          </w:tcPr>
          <w:p>
            <w:pPr>
              <w:pStyle w:val="nTable"/>
              <w:spacing w:after="40"/>
              <w:rPr>
                <w:snapToGrid w:val="0"/>
              </w:rPr>
            </w:pPr>
            <w:r>
              <w:rPr>
                <w:snapToGrid w:val="0"/>
              </w:rPr>
              <w:t>20 of 2013</w:t>
            </w:r>
          </w:p>
        </w:tc>
        <w:tc>
          <w:tcPr>
            <w:tcW w:w="1174" w:type="dxa"/>
            <w:gridSpan w:val="2"/>
            <w:shd w:val="clear" w:color="auto" w:fill="auto"/>
          </w:tcPr>
          <w:p>
            <w:pPr>
              <w:pStyle w:val="nTable"/>
              <w:spacing w:after="40"/>
            </w:pPr>
            <w:r>
              <w:t>4 Nov 2013</w:t>
            </w:r>
          </w:p>
        </w:tc>
        <w:tc>
          <w:tcPr>
            <w:tcW w:w="2550" w:type="dxa"/>
            <w:gridSpan w:val="2"/>
            <w:shd w:val="clear" w:color="auto" w:fill="auto"/>
          </w:tcPr>
          <w:p>
            <w:pPr>
              <w:pStyle w:val="nTable"/>
              <w:spacing w:after="40"/>
              <w:rPr>
                <w:snapToGrid w:val="0"/>
              </w:rPr>
            </w:pPr>
            <w:r>
              <w:rPr>
                <w:snapToGrid w:val="0"/>
              </w:rPr>
              <w:t xml:space="preserve">25 Nov 2013 (see s. 2(b) and </w:t>
            </w:r>
            <w:r>
              <w:rPr>
                <w:i/>
                <w:snapToGrid w:val="0"/>
              </w:rPr>
              <w:t>Gazette</w:t>
            </w:r>
            <w:r>
              <w:rPr>
                <w:snapToGrid w:val="0"/>
              </w:rPr>
              <w:t xml:space="preserve"> 22 Nov 2013 p. 5391)</w:t>
            </w:r>
          </w:p>
        </w:tc>
      </w:tr>
      <w:tr>
        <w:trPr>
          <w:gridBefore w:val="1"/>
          <w:gridAfter w:val="1"/>
          <w:wBefore w:w="28" w:type="dxa"/>
          <w:wAfter w:w="31" w:type="dxa"/>
        </w:trPr>
        <w:tc>
          <w:tcPr>
            <w:tcW w:w="2267" w:type="dxa"/>
            <w:gridSpan w:val="2"/>
            <w:tcBorders>
              <w:bottom w:val="single" w:sz="8" w:space="0" w:color="auto"/>
            </w:tcBorders>
            <w:shd w:val="clear" w:color="auto" w:fill="auto"/>
          </w:tcPr>
          <w:p>
            <w:pPr>
              <w:pStyle w:val="nTable"/>
              <w:spacing w:after="40"/>
              <w:rPr>
                <w:i/>
                <w:snapToGrid w:val="0"/>
              </w:rPr>
            </w:pPr>
            <w:r>
              <w:rPr>
                <w:i/>
              </w:rPr>
              <w:t>Criminal Appeals Amendment Act 2022</w:t>
            </w:r>
            <w:r>
              <w:t xml:space="preserve"> Pt. 2</w:t>
            </w:r>
          </w:p>
        </w:tc>
        <w:tc>
          <w:tcPr>
            <w:tcW w:w="1134" w:type="dxa"/>
            <w:gridSpan w:val="2"/>
            <w:tcBorders>
              <w:bottom w:val="single" w:sz="8" w:space="0" w:color="auto"/>
            </w:tcBorders>
            <w:shd w:val="clear" w:color="auto" w:fill="auto"/>
          </w:tcPr>
          <w:p>
            <w:pPr>
              <w:pStyle w:val="nTable"/>
              <w:spacing w:after="40"/>
              <w:rPr>
                <w:snapToGrid w:val="0"/>
              </w:rPr>
            </w:pPr>
            <w:r>
              <w:t>18 of 2022</w:t>
            </w:r>
          </w:p>
        </w:tc>
        <w:tc>
          <w:tcPr>
            <w:tcW w:w="1174" w:type="dxa"/>
            <w:gridSpan w:val="2"/>
            <w:tcBorders>
              <w:bottom w:val="single" w:sz="8" w:space="0" w:color="auto"/>
            </w:tcBorders>
            <w:shd w:val="clear" w:color="auto" w:fill="auto"/>
          </w:tcPr>
          <w:p>
            <w:pPr>
              <w:pStyle w:val="nTable"/>
              <w:spacing w:after="40"/>
            </w:pPr>
            <w:r>
              <w:t>24 Jun 2022</w:t>
            </w:r>
          </w:p>
        </w:tc>
        <w:tc>
          <w:tcPr>
            <w:tcW w:w="2550" w:type="dxa"/>
            <w:gridSpan w:val="2"/>
            <w:tcBorders>
              <w:bottom w:val="single" w:sz="8" w:space="0" w:color="auto"/>
            </w:tcBorders>
            <w:shd w:val="clear" w:color="auto" w:fill="auto"/>
          </w:tcPr>
          <w:p>
            <w:pPr>
              <w:pStyle w:val="nTable"/>
              <w:spacing w:after="40"/>
              <w:rPr>
                <w:snapToGrid w:val="0"/>
              </w:rPr>
            </w:pPr>
            <w:r>
              <w:t>1 Jan 2023 (see s. 2(b) and SL 2022/212 cl. 2)</w:t>
            </w:r>
          </w:p>
        </w:tc>
      </w:tr>
    </w:tbl>
    <w:p>
      <w:pPr>
        <w:pStyle w:val="nHeading3"/>
      </w:pPr>
      <w:bookmarkStart w:id="145" w:name="_Toc132288254"/>
      <w:r>
        <w:lastRenderedPageBreak/>
        <w:t>Uncommenced provisions table</w:t>
      </w:r>
      <w:bookmarkEnd w:id="14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Criminal Law (Mental Impairment) Act 2023</w:t>
            </w:r>
            <w:r>
              <w:t xml:space="preserve"> Pt. 15 Div. 6</w:t>
            </w:r>
          </w:p>
        </w:tc>
        <w:tc>
          <w:tcPr>
            <w:tcW w:w="1134" w:type="dxa"/>
          </w:tcPr>
          <w:p>
            <w:pPr>
              <w:pStyle w:val="nTable"/>
              <w:spacing w:after="40"/>
            </w:pPr>
            <w:r>
              <w:t>10 of 2023</w:t>
            </w:r>
          </w:p>
        </w:tc>
        <w:tc>
          <w:tcPr>
            <w:tcW w:w="1134" w:type="dxa"/>
          </w:tcPr>
          <w:p>
            <w:pPr>
              <w:pStyle w:val="nTable"/>
              <w:spacing w:after="40"/>
            </w:pPr>
            <w:r>
              <w:t>13 Apr 2023</w:t>
            </w:r>
          </w:p>
        </w:tc>
        <w:tc>
          <w:tcPr>
            <w:tcW w:w="2552" w:type="dxa"/>
          </w:tcPr>
          <w:p>
            <w:pPr>
              <w:pStyle w:val="nTable"/>
              <w:spacing w:after="40"/>
            </w:pPr>
            <w:r>
              <w:t>To be proclaimed (see s. 2(b))</w:t>
            </w:r>
          </w:p>
        </w:tc>
      </w:tr>
    </w:tbl>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147" w:name="_Toc132187796"/>
      <w:bookmarkStart w:id="148" w:name="_Toc132187897"/>
      <w:bookmarkStart w:id="149" w:name="_Toc132288255"/>
      <w:r>
        <w:rPr>
          <w:sz w:val="28"/>
        </w:rPr>
        <w:lastRenderedPageBreak/>
        <w:t>Defined terms</w:t>
      </w:r>
      <w:bookmarkEnd w:id="147"/>
      <w:bookmarkEnd w:id="148"/>
      <w:bookmarkEnd w:id="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acquitted accused</w:t>
      </w:r>
      <w:r>
        <w:tab/>
        <w:t>46A(1), 46B(1)</w:t>
      </w:r>
    </w:p>
    <w:p>
      <w:pPr>
        <w:pStyle w:val="DefinedTerms"/>
      </w:pPr>
      <w:r>
        <w:t>AOJ offence</w:t>
      </w:r>
      <w:r>
        <w:tab/>
        <w:t>46A(1)</w:t>
      </w:r>
    </w:p>
    <w:p>
      <w:pPr>
        <w:pStyle w:val="DefinedTerms"/>
      </w:pPr>
      <w:r>
        <w:t>appeal</w:t>
      </w:r>
      <w:r>
        <w:tab/>
        <w:t>4(2)</w:t>
      </w:r>
    </w:p>
    <w:p>
      <w:pPr>
        <w:pStyle w:val="DefinedTerms"/>
      </w:pPr>
      <w:r>
        <w:t>appeal court</w:t>
      </w:r>
      <w:r>
        <w:tab/>
        <w:t>36</w:t>
      </w:r>
    </w:p>
    <w:p>
      <w:pPr>
        <w:pStyle w:val="DefinedTerms"/>
      </w:pPr>
      <w:r>
        <w:t>appellant</w:t>
      </w:r>
      <w:r>
        <w:tab/>
        <w:t>4(2)</w:t>
      </w:r>
    </w:p>
    <w:p>
      <w:pPr>
        <w:pStyle w:val="DefinedTerms"/>
      </w:pPr>
      <w:r>
        <w:t>authorised officer</w:t>
      </w:r>
      <w:r>
        <w:tab/>
        <w:t>46A(1)</w:t>
      </w:r>
    </w:p>
    <w:p>
      <w:pPr>
        <w:pStyle w:val="DefinedTerms"/>
      </w:pPr>
      <w:r>
        <w:t>charge A</w:t>
      </w:r>
      <w:r>
        <w:tab/>
        <w:t>46A(1), 46B(1)</w:t>
      </w:r>
    </w:p>
    <w:p>
      <w:pPr>
        <w:pStyle w:val="DefinedTerms"/>
      </w:pPr>
      <w:r>
        <w:t>concluded</w:t>
      </w:r>
      <w:r>
        <w:tab/>
        <w:t>4(1)</w:t>
      </w:r>
    </w:p>
    <w:p>
      <w:pPr>
        <w:pStyle w:val="DefinedTerms"/>
      </w:pPr>
      <w:r>
        <w:t>Court of Appeal Registrar</w:t>
      </w:r>
      <w:r>
        <w:tab/>
        <w:t>4(2)</w:t>
      </w:r>
    </w:p>
    <w:p>
      <w:pPr>
        <w:pStyle w:val="DefinedTerms"/>
      </w:pPr>
      <w:r>
        <w:t>court of summary jurisdiction</w:t>
      </w:r>
      <w:r>
        <w:tab/>
        <w:t>4(2)</w:t>
      </w:r>
    </w:p>
    <w:p>
      <w:pPr>
        <w:pStyle w:val="DefinedTerms"/>
      </w:pPr>
      <w:r>
        <w:t>decision</w:t>
      </w:r>
      <w:r>
        <w:tab/>
        <w:t>6</w:t>
      </w:r>
    </w:p>
    <w:p>
      <w:pPr>
        <w:pStyle w:val="DefinedTerms"/>
      </w:pPr>
      <w:r>
        <w:t>factual finding</w:t>
      </w:r>
      <w:r>
        <w:tab/>
        <w:t>32(2)</w:t>
      </w:r>
    </w:p>
    <w:p>
      <w:pPr>
        <w:pStyle w:val="DefinedTerms"/>
      </w:pPr>
      <w:r>
        <w:t>investigate</w:t>
      </w:r>
      <w:r>
        <w:tab/>
        <w:t>46C(1)</w:t>
      </w:r>
    </w:p>
    <w:p>
      <w:pPr>
        <w:pStyle w:val="DefinedTerms"/>
      </w:pPr>
      <w:r>
        <w:t>law enforcement officer</w:t>
      </w:r>
      <w:r>
        <w:tab/>
        <w:t>46C</w:t>
      </w:r>
    </w:p>
    <w:p>
      <w:pPr>
        <w:pStyle w:val="DefinedTerms"/>
      </w:pPr>
      <w:r>
        <w:t>leave application</w:t>
      </w:r>
      <w:r>
        <w:tab/>
        <w:t>46A(1)</w:t>
      </w:r>
    </w:p>
    <w:p>
      <w:pPr>
        <w:pStyle w:val="DefinedTerms"/>
      </w:pPr>
      <w:r>
        <w:t>lower court</w:t>
      </w:r>
      <w:r>
        <w:tab/>
        <w:t>36</w:t>
      </w:r>
    </w:p>
    <w:p>
      <w:pPr>
        <w:pStyle w:val="DefinedTerms"/>
      </w:pPr>
      <w:r>
        <w:t>new charge</w:t>
      </w:r>
      <w:r>
        <w:tab/>
        <w:t>46A(1), 46E(1)</w:t>
      </w:r>
    </w:p>
    <w:p>
      <w:pPr>
        <w:pStyle w:val="DefinedTerms"/>
      </w:pPr>
      <w:r>
        <w:t>offence A</w:t>
      </w:r>
      <w:r>
        <w:tab/>
        <w:t>30(5), 32(2), 46A(1)</w:t>
      </w:r>
    </w:p>
    <w:p>
      <w:pPr>
        <w:pStyle w:val="DefinedTerms"/>
      </w:pPr>
      <w:r>
        <w:t>offence A</w:t>
      </w:r>
      <w:r>
        <w:tab/>
        <w:t>46B(1)</w:t>
      </w:r>
    </w:p>
    <w:p>
      <w:pPr>
        <w:pStyle w:val="DefinedTerms"/>
      </w:pPr>
      <w:r>
        <w:t>offence B</w:t>
      </w:r>
      <w:r>
        <w:tab/>
        <w:t>30(5), 30(5), 32(6), 32(7)</w:t>
      </w:r>
    </w:p>
    <w:p>
      <w:pPr>
        <w:pStyle w:val="DefinedTerms"/>
      </w:pPr>
      <w:r>
        <w:t>offender</w:t>
      </w:r>
      <w:r>
        <w:tab/>
        <w:t>22, 35C</w:t>
      </w:r>
    </w:p>
    <w:p>
      <w:pPr>
        <w:pStyle w:val="DefinedTerms"/>
      </w:pPr>
      <w:r>
        <w:t>relevant offence</w:t>
      </w:r>
      <w:r>
        <w:tab/>
        <w:t>46C(1)</w:t>
      </w:r>
    </w:p>
    <w:p>
      <w:pPr>
        <w:pStyle w:val="DefinedTerms"/>
      </w:pPr>
      <w:r>
        <w:t>rules of court</w:t>
      </w:r>
      <w:r>
        <w:tab/>
        <w:t>4(1)</w:t>
      </w:r>
    </w:p>
    <w:p>
      <w:pPr>
        <w:pStyle w:val="DefinedTerms"/>
      </w:pPr>
      <w:r>
        <w:t>section 27 finding</w:t>
      </w:r>
      <w:r>
        <w:tab/>
        <w:t>32(2)</w:t>
      </w:r>
    </w:p>
    <w:p>
      <w:pPr>
        <w:pStyle w:val="DefinedTerms"/>
      </w:pPr>
      <w:r>
        <w:t>sentence A</w:t>
      </w:r>
      <w:r>
        <w:tab/>
        <w:t>41(2), 49</w:t>
      </w:r>
    </w:p>
    <w:p>
      <w:pPr>
        <w:pStyle w:val="DefinedTerms"/>
      </w:pPr>
      <w:r>
        <w:t>sentence B</w:t>
      </w:r>
      <w:r>
        <w:tab/>
        <w:t>49</w:t>
      </w:r>
    </w:p>
    <w:p>
      <w:pPr>
        <w:pStyle w:val="DefinedTerms"/>
      </w:pPr>
      <w:r>
        <w:t>serious offence</w:t>
      </w:r>
      <w:r>
        <w:tab/>
        <w:t>46A(1)</w:t>
      </w:r>
    </w:p>
    <w:p>
      <w:pPr>
        <w:pStyle w:val="DefinedTerms"/>
      </w:pPr>
      <w:r>
        <w:t>superior court</w:t>
      </w:r>
      <w:r>
        <w:tab/>
        <w:t>4(2), 47(1)</w:t>
      </w:r>
    </w:p>
    <w:p>
      <w:pPr>
        <w:pStyle w:val="DefinedTerms"/>
      </w:pPr>
      <w:r>
        <w:t>Supreme Court</w:t>
      </w:r>
      <w:r>
        <w:tab/>
        <w:t>4(2), 5(3)</w:t>
      </w:r>
    </w:p>
    <w:p>
      <w:pPr>
        <w:pStyle w:val="DefinedTerms"/>
      </w:pPr>
      <w:r>
        <w:t>trial A</w:t>
      </w:r>
      <w:r>
        <w:tab/>
        <w:t>46A(1), 46B(1)</w:t>
      </w:r>
    </w:p>
    <w:p>
      <w:pPr>
        <w:pStyle w:val="DefinedTerms"/>
      </w:pPr>
      <w:r>
        <w:t>trial court</w:t>
      </w:r>
      <w:r>
        <w:tab/>
        <w:t>21(4)</w:t>
      </w:r>
    </w:p>
    <w:p>
      <w:pPr>
        <w:pStyle w:val="DefinedTerms"/>
      </w:pPr>
      <w:r>
        <w:t>video link</w:t>
      </w:r>
      <w:r>
        <w:tab/>
        <w:t>43(1)</w:t>
      </w:r>
    </w:p>
    <w:p/>
    <w:p>
      <w:pPr>
        <w:rPr>
          <w:rFonts w:ascii="Arial" w:hAnsi="Arial" w:cs="Arial"/>
          <w:sz w:val="12"/>
        </w:rPr>
        <w:sectPr>
          <w:headerReference w:type="even" r:id="rId27"/>
          <w:headerReference w:type="default" r:id="rId28"/>
          <w:pgSz w:w="11907" w:h="16840" w:code="9"/>
          <w:pgMar w:top="2381" w:right="2409" w:bottom="3543" w:left="2409" w:header="720" w:footer="3544"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6" w:name="Compilation"/>
    <w:bookmarkEnd w:id="1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0" w:name="DefinedTerms"/>
    <w:bookmarkEnd w:id="15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 w:name="Coversheet"/>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00851"/>
    <w:docVar w:name="WAFER_20140115095234" w:val="RemoveTocBookmarks,RemoveUnusedBookmarks,RemoveLanguageTags,UsedStyles,ResetPageSize,UpdateArrangement"/>
    <w:docVar w:name="WAFER_20140115095234_GUID" w:val="75e36350-13ee-4c4b-b411-7d2979d29009"/>
    <w:docVar w:name="WAFER_20140115095242" w:val="RemoveTocBookmarks,RunningHeaders"/>
    <w:docVar w:name="WAFER_20140115095242_GUID" w:val="51069801-15ff-4bfb-b926-a5cdb63cd1ee"/>
    <w:docVar w:name="WAFER_20140306114325" w:val="RemoveTocBookmarks,RemoveUnusedBookmarks,RemoveLanguageTags,UsedStyles,ResetPageSize"/>
    <w:docVar w:name="WAFER_20140306114325_GUID" w:val="69560688-7df2-4202-b1f3-d58d91138a1b"/>
    <w:docVar w:name="WAFER_20140306114930" w:val="RemoveTocBookmarks,RunningHeaders"/>
    <w:docVar w:name="WAFER_20140306114930_GUID" w:val="dada7dea-073a-4a1d-bc38-8c4494f1d40a"/>
    <w:docVar w:name="WAFER_20150401134952" w:val="ResetPageSize,UpdateArrangement,UpdateNTable"/>
    <w:docVar w:name="WAFER_20150401134952_GUID" w:val="fe03ad76-96ba-4c4d-afde-955c85d5da68"/>
    <w:docVar w:name="WAFER_20151103102611" w:val="UpdateStyles,UsedStyles"/>
    <w:docVar w:name="WAFER_20151103102611_GUID" w:val="2b5b64ec-1b28-422f-9631-d88430d82b12"/>
    <w:docVar w:name="WAFER_202206241515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51516_GUID" w:val="19e8aaf3-ba81-4be4-b57c-1f5654574c80"/>
    <w:docVar w:name="WAFER_202212211139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13946_GUID" w:val="1014f502-b69d-442e-ade3-b1f781dbbdd6"/>
    <w:docVar w:name="WAFER_202304121008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00851_GUID" w:val="c43b4952-39b9-4a26-9fdf-81fa54bb17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42423-8AC4-4449-AB07-E03E7965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16841</Words>
  <Characters>76292</Characters>
  <Application>Microsoft Office Word</Application>
  <DocSecurity>0</DocSecurity>
  <Lines>2119</Lines>
  <Paragraphs>1293</Paragraphs>
  <ScaleCrop>false</ScaleCrop>
  <HeadingPairs>
    <vt:vector size="2" baseType="variant">
      <vt:variant>
        <vt:lpstr>Title</vt:lpstr>
      </vt:variant>
      <vt:variant>
        <vt:i4>1</vt:i4>
      </vt:variant>
    </vt:vector>
  </HeadingPairs>
  <TitlesOfParts>
    <vt:vector size="1" baseType="lpstr">
      <vt:lpstr>Criminal Appeals Act 2004</vt:lpstr>
    </vt:vector>
  </TitlesOfParts>
  <Manager/>
  <Company/>
  <LinksUpToDate>false</LinksUpToDate>
  <CharactersWithSpaces>91840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2004 - 02-g0-00</dc:title>
  <dc:subject/>
  <dc:creator/>
  <cp:keywords/>
  <dc:description/>
  <cp:lastModifiedBy>Master Repository Process</cp:lastModifiedBy>
  <cp:revision>4</cp:revision>
  <cp:lastPrinted>2013-04-10T23:57:00Z</cp:lastPrinted>
  <dcterms:created xsi:type="dcterms:W3CDTF">2023-04-14T00:22:00Z</dcterms:created>
  <dcterms:modified xsi:type="dcterms:W3CDTF">2023-04-14T00:22:00Z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DocumentType">
    <vt:lpwstr>Act</vt:lpwstr>
  </property>
  <property fmtid="{D5CDD505-2E9C-101B-9397-08002B2CF9AE}" pid="4" name="OwlsUID">
    <vt:i4>9267</vt:i4>
  </property>
  <property fmtid="{D5CDD505-2E9C-101B-9397-08002B2CF9AE}" pid="5" name="ReprintNo">
    <vt:lpwstr>2</vt:lpwstr>
  </property>
  <property fmtid="{D5CDD505-2E9C-101B-9397-08002B2CF9AE}" pid="6" name="ReprintedAsAt">
    <vt:filetime>2013-04-11T16:00:00Z</vt:filetime>
  </property>
  <property fmtid="{D5CDD505-2E9C-101B-9397-08002B2CF9AE}" pid="7" name="AsAtDate">
    <vt:lpwstr>13 Apr 2023</vt:lpwstr>
  </property>
  <property fmtid="{D5CDD505-2E9C-101B-9397-08002B2CF9AE}" pid="8" name="Suffix">
    <vt:lpwstr>02-g0-00</vt:lpwstr>
  </property>
  <property fmtid="{D5CDD505-2E9C-101B-9397-08002B2CF9AE}" pid="9" name="CommencementDate">
    <vt:lpwstr>20230413</vt:lpwstr>
  </property>
</Properties>
</file>