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Disability Services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_Toc132298217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_Toc132298218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_Toc132298219 \h </w:instrText>
      </w:r>
      <w:r>
        <w:fldChar w:fldCharType="separate"/>
      </w:r>
      <w:r>
        <w:t>2</w:t>
      </w:r>
      <w:r>
        <w:fldChar w:fldCharType="end"/>
      </w:r>
    </w:p>
    <w:p>
      <w:pPr>
        <w:pStyle w:val="TOC8"/>
        <w:rPr>
          <w:rFonts w:asciiTheme="minorHAnsi" w:eastAsiaTheme="minorEastAsia" w:hAnsiTheme="minorHAnsi" w:cstheme="minorBidi"/>
          <w:szCs w:val="22"/>
        </w:rPr>
      </w:pPr>
      <w:r>
        <w:t>3A.</w:t>
      </w:r>
      <w:r>
        <w:tab/>
        <w:t>Persons who are carers</w:t>
      </w:r>
      <w:r>
        <w:tab/>
      </w:r>
      <w:r>
        <w:fldChar w:fldCharType="begin"/>
      </w:r>
      <w:r>
        <w:instrText xml:space="preserve"> PAGEREF _Toc132298220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Legal proceedings to enforce provision of a service</w:t>
      </w:r>
      <w:r>
        <w:tab/>
      </w:r>
      <w:r>
        <w:fldChar w:fldCharType="begin"/>
      </w:r>
      <w:r>
        <w:instrText xml:space="preserve"> PAGEREF _Toc132298221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_Toc132298222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Disability Services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personnel</w:t>
      </w:r>
    </w:p>
    <w:p>
      <w:pPr>
        <w:pStyle w:val="TOC8"/>
        <w:rPr>
          <w:rFonts w:asciiTheme="minorHAnsi" w:eastAsiaTheme="minorEastAsia" w:hAnsiTheme="minorHAnsi" w:cstheme="minorBidi"/>
          <w:szCs w:val="22"/>
        </w:rPr>
      </w:pPr>
      <w:r>
        <w:t>6</w:t>
      </w:r>
      <w:r>
        <w:rPr>
          <w:snapToGrid w:val="0"/>
        </w:rPr>
        <w:t>.</w:t>
      </w:r>
      <w:r>
        <w:rPr>
          <w:snapToGrid w:val="0"/>
        </w:rPr>
        <w:tab/>
        <w:t>Commission a body corporate</w:t>
      </w:r>
      <w:r>
        <w:tab/>
      </w:r>
      <w:r>
        <w:fldChar w:fldCharType="begin"/>
      </w:r>
      <w:r>
        <w:instrText xml:space="preserve"> PAGEREF _Toc132298225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of Commission</w:t>
      </w:r>
      <w:r>
        <w:tab/>
      </w:r>
      <w:r>
        <w:fldChar w:fldCharType="begin"/>
      </w:r>
      <w:r>
        <w:instrText xml:space="preserve"> PAGEREF _Toc132298226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Chief executive officer</w:t>
      </w:r>
      <w:r>
        <w:tab/>
      </w:r>
      <w:r>
        <w:fldChar w:fldCharType="begin"/>
      </w:r>
      <w:r>
        <w:instrText xml:space="preserve"> PAGEREF _Toc132298227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Other personnel</w:t>
      </w:r>
      <w:r>
        <w:tab/>
      </w:r>
      <w:r>
        <w:fldChar w:fldCharType="begin"/>
      </w:r>
      <w:r>
        <w:instrText xml:space="preserve"> PAGEREF _Toc132298228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Use of other government staff and facilities</w:t>
      </w:r>
      <w:r>
        <w:tab/>
      </w:r>
      <w:r>
        <w:fldChar w:fldCharType="begin"/>
      </w:r>
      <w:r>
        <w:instrText xml:space="preserve"> PAGEREF _Toc132298229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Superannuation and leave entitlements</w:t>
      </w:r>
      <w:r>
        <w:tab/>
      </w:r>
      <w:r>
        <w:fldChar w:fldCharType="begin"/>
      </w:r>
      <w:r>
        <w:instrText xml:space="preserve"> PAGEREF _Toc132298230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_Toc132298232 \h </w:instrText>
      </w:r>
      <w:r>
        <w:fldChar w:fldCharType="separate"/>
      </w:r>
      <w:r>
        <w:t>9</w:t>
      </w:r>
      <w:r>
        <w:fldChar w:fldCharType="end"/>
      </w:r>
    </w:p>
    <w:p>
      <w:pPr>
        <w:pStyle w:val="TOC8"/>
        <w:rPr>
          <w:rFonts w:asciiTheme="minorHAnsi" w:eastAsiaTheme="minorEastAsia" w:hAnsiTheme="minorHAnsi" w:cstheme="minorBidi"/>
          <w:szCs w:val="22"/>
        </w:rPr>
      </w:pPr>
      <w:r>
        <w:t>12A.</w:t>
      </w:r>
      <w:r>
        <w:tab/>
        <w:t>Contracts to provide goods or services to Commission</w:t>
      </w:r>
      <w:r>
        <w:tab/>
      </w:r>
      <w:r>
        <w:fldChar w:fldCharType="begin"/>
      </w:r>
      <w:r>
        <w:instrText xml:space="preserve"> PAGEREF _Toc132298233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fix fees and charges</w:t>
      </w:r>
      <w:r>
        <w:tab/>
      </w:r>
      <w:r>
        <w:fldChar w:fldCharType="begin"/>
      </w:r>
      <w:r>
        <w:instrText xml:space="preserve"> PAGEREF _Toc132298234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w:t>
      </w:r>
      <w:r>
        <w:tab/>
      </w:r>
      <w:r>
        <w:fldChar w:fldCharType="begin"/>
      </w:r>
      <w:r>
        <w:instrText xml:space="preserve"> PAGEREF _Toc132298235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15</w:t>
      </w:r>
      <w:r>
        <w:rPr>
          <w:snapToGrid w:val="0"/>
        </w:rPr>
        <w:t>.</w:t>
      </w:r>
      <w:r>
        <w:rPr>
          <w:snapToGrid w:val="0"/>
        </w:rPr>
        <w:tab/>
        <w:t>Funds of Commission</w:t>
      </w:r>
      <w:r>
        <w:tab/>
      </w:r>
      <w:r>
        <w:fldChar w:fldCharType="begin"/>
      </w:r>
      <w:r>
        <w:instrText xml:space="preserve"> PAGEREF _Toc132298237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Borrowing from Treasurer</w:t>
      </w:r>
      <w:r>
        <w:tab/>
      </w:r>
      <w:r>
        <w:fldChar w:fldCharType="begin"/>
      </w:r>
      <w:r>
        <w:instrText xml:space="preserve"> PAGEREF _Toc132298238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Borrowing generally</w:t>
      </w:r>
      <w:r>
        <w:tab/>
      </w:r>
      <w:r>
        <w:fldChar w:fldCharType="begin"/>
      </w:r>
      <w:r>
        <w:instrText xml:space="preserve"> PAGEREF _Toc132298239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Treasurer’s guarantee</w:t>
      </w:r>
      <w:r>
        <w:tab/>
      </w:r>
      <w:r>
        <w:fldChar w:fldCharType="begin"/>
      </w:r>
      <w:r>
        <w:instrText xml:space="preserve"> PAGEREF _Toc132298240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_Toc132298241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Relationship with the Minister</w:t>
      </w:r>
    </w:p>
    <w:p>
      <w:pPr>
        <w:pStyle w:val="TOC8"/>
        <w:rPr>
          <w:rFonts w:asciiTheme="minorHAnsi" w:eastAsiaTheme="minorEastAsia" w:hAnsiTheme="minorHAnsi" w:cstheme="minorBidi"/>
          <w:szCs w:val="22"/>
        </w:rPr>
      </w:pPr>
      <w:r>
        <w:t>20</w:t>
      </w:r>
      <w:r>
        <w:rPr>
          <w:snapToGrid w:val="0"/>
        </w:rPr>
        <w:t>.</w:t>
      </w:r>
      <w:r>
        <w:rPr>
          <w:snapToGrid w:val="0"/>
        </w:rPr>
        <w:tab/>
        <w:t>Minister may give directions</w:t>
      </w:r>
      <w:r>
        <w:tab/>
      </w:r>
      <w:r>
        <w:fldChar w:fldCharType="begin"/>
      </w:r>
      <w:r>
        <w:instrText xml:space="preserve"> PAGEREF _Toc132298243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Minister to have access to information</w:t>
      </w:r>
      <w:r>
        <w:tab/>
      </w:r>
      <w:r>
        <w:fldChar w:fldCharType="begin"/>
      </w:r>
      <w:r>
        <w:instrText xml:space="preserve"> PAGEREF _Toc132298244 \h </w:instrText>
      </w:r>
      <w:r>
        <w:fldChar w:fldCharType="separate"/>
      </w:r>
      <w:r>
        <w:t>15</w:t>
      </w:r>
      <w:r>
        <w:fldChar w:fldCharType="end"/>
      </w:r>
    </w:p>
    <w:p>
      <w:pPr>
        <w:pStyle w:val="TOC8"/>
        <w:rPr>
          <w:rFonts w:asciiTheme="minorHAnsi" w:eastAsiaTheme="minorEastAsia" w:hAnsiTheme="minorHAnsi" w:cstheme="minorBidi"/>
          <w:szCs w:val="22"/>
        </w:rPr>
      </w:pPr>
      <w:r>
        <w:t>21A.</w:t>
      </w:r>
      <w:r>
        <w:tab/>
        <w:t>Notification of general policies of Government</w:t>
      </w:r>
      <w:r>
        <w:tab/>
      </w:r>
      <w:r>
        <w:fldChar w:fldCharType="begin"/>
      </w:r>
      <w:r>
        <w:instrText xml:space="preserve"> PAGEREF _Toc132298245 \h </w:instrText>
      </w:r>
      <w:r>
        <w:fldChar w:fldCharType="separate"/>
      </w:r>
      <w:r>
        <w:t>17</w:t>
      </w:r>
      <w:r>
        <w:fldChar w:fldCharType="end"/>
      </w:r>
    </w:p>
    <w:p>
      <w:pPr>
        <w:pStyle w:val="TOC8"/>
        <w:rPr>
          <w:rFonts w:asciiTheme="minorHAnsi" w:eastAsiaTheme="minorEastAsia" w:hAnsiTheme="minorHAnsi" w:cstheme="minorBidi"/>
          <w:szCs w:val="22"/>
        </w:rPr>
      </w:pPr>
      <w:r>
        <w:t>21B.</w:t>
      </w:r>
      <w:r>
        <w:tab/>
        <w:t>Minister to be consulted on major initiatives</w:t>
      </w:r>
      <w:r>
        <w:tab/>
      </w:r>
      <w:r>
        <w:fldChar w:fldCharType="begin"/>
      </w:r>
      <w:r>
        <w:instrText xml:space="preserve"> PAGEREF _Toc132298246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Ministerial Advisory Council on Disability</w:t>
      </w:r>
    </w:p>
    <w:p>
      <w:pPr>
        <w:pStyle w:val="TOC8"/>
        <w:rPr>
          <w:rFonts w:asciiTheme="minorHAnsi" w:eastAsiaTheme="minorEastAsia" w:hAnsiTheme="minorHAnsi" w:cstheme="minorBidi"/>
          <w:szCs w:val="22"/>
        </w:rPr>
      </w:pPr>
      <w:r>
        <w:t>22.</w:t>
      </w:r>
      <w:r>
        <w:tab/>
        <w:t>Council established</w:t>
      </w:r>
      <w:r>
        <w:tab/>
      </w:r>
      <w:r>
        <w:fldChar w:fldCharType="begin"/>
      </w:r>
      <w:r>
        <w:instrText xml:space="preserve"> PAGEREF _Toc132298248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Council’s functions</w:t>
      </w:r>
      <w:r>
        <w:tab/>
      </w:r>
      <w:r>
        <w:fldChar w:fldCharType="begin"/>
      </w:r>
      <w:r>
        <w:instrText xml:space="preserve"> PAGEREF _Toc132298249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for matters relating to people with disability</w:t>
      </w:r>
    </w:p>
    <w:p>
      <w:pPr>
        <w:pStyle w:val="TOC8"/>
        <w:rPr>
          <w:rFonts w:asciiTheme="minorHAnsi" w:eastAsiaTheme="minorEastAsia" w:hAnsiTheme="minorHAnsi" w:cstheme="minorBidi"/>
          <w:szCs w:val="22"/>
        </w:rPr>
      </w:pPr>
      <w:r>
        <w:t>24</w:t>
      </w:r>
      <w:r>
        <w:rPr>
          <w:snapToGrid w:val="0"/>
        </w:rPr>
        <w:t>.</w:t>
      </w:r>
      <w:r>
        <w:rPr>
          <w:snapToGrid w:val="0"/>
        </w:rPr>
        <w:tab/>
        <w:t>Grants of financial assistance</w:t>
      </w:r>
      <w:r>
        <w:tab/>
      </w:r>
      <w:r>
        <w:fldChar w:fldCharType="begin"/>
      </w:r>
      <w:r>
        <w:instrText xml:space="preserve"> PAGEREF _Toc132298251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Grant to be subject of agreement</w:t>
      </w:r>
      <w:r>
        <w:tab/>
      </w:r>
      <w:r>
        <w:fldChar w:fldCharType="begin"/>
      </w:r>
      <w:r>
        <w:instrText xml:space="preserve"> PAGEREF _Toc132298252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Minister may review Commission’s decisions</w:t>
      </w:r>
      <w:r>
        <w:tab/>
      </w:r>
      <w:r>
        <w:fldChar w:fldCharType="begin"/>
      </w:r>
      <w:r>
        <w:instrText xml:space="preserve"> PAGEREF _Toc132298253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4A — Contracts to provide some disability services</w:t>
      </w:r>
    </w:p>
    <w:p>
      <w:pPr>
        <w:pStyle w:val="TOC8"/>
        <w:rPr>
          <w:rFonts w:asciiTheme="minorHAnsi" w:eastAsiaTheme="minorEastAsia" w:hAnsiTheme="minorHAnsi" w:cstheme="minorBidi"/>
          <w:szCs w:val="22"/>
        </w:rPr>
      </w:pPr>
      <w:r>
        <w:t>26A.</w:t>
      </w:r>
      <w:r>
        <w:tab/>
        <w:t>Terms used</w:t>
      </w:r>
      <w:r>
        <w:tab/>
      </w:r>
      <w:r>
        <w:fldChar w:fldCharType="begin"/>
      </w:r>
      <w:r>
        <w:instrText xml:space="preserve"> PAGEREF _Toc132298255 \h </w:instrText>
      </w:r>
      <w:r>
        <w:fldChar w:fldCharType="separate"/>
      </w:r>
      <w:r>
        <w:t>23</w:t>
      </w:r>
      <w:r>
        <w:fldChar w:fldCharType="end"/>
      </w:r>
    </w:p>
    <w:p>
      <w:pPr>
        <w:pStyle w:val="TOC8"/>
        <w:rPr>
          <w:rFonts w:asciiTheme="minorHAnsi" w:eastAsiaTheme="minorEastAsia" w:hAnsiTheme="minorHAnsi" w:cstheme="minorBidi"/>
          <w:szCs w:val="22"/>
        </w:rPr>
      </w:pPr>
      <w:r>
        <w:t>26B.</w:t>
      </w:r>
      <w:r>
        <w:tab/>
        <w:t>Method of contracting to provide services for people with disability</w:t>
      </w:r>
      <w:r>
        <w:tab/>
      </w:r>
      <w:r>
        <w:fldChar w:fldCharType="begin"/>
      </w:r>
      <w:r>
        <w:instrText xml:space="preserve"> PAGEREF _Toc132298256 \h </w:instrText>
      </w:r>
      <w:r>
        <w:fldChar w:fldCharType="separate"/>
      </w:r>
      <w:r>
        <w:t>23</w:t>
      </w:r>
      <w:r>
        <w:fldChar w:fldCharType="end"/>
      </w:r>
    </w:p>
    <w:p>
      <w:pPr>
        <w:pStyle w:val="TOC8"/>
        <w:rPr>
          <w:rFonts w:asciiTheme="minorHAnsi" w:eastAsiaTheme="minorEastAsia" w:hAnsiTheme="minorHAnsi" w:cstheme="minorBidi"/>
          <w:szCs w:val="22"/>
        </w:rPr>
      </w:pPr>
      <w:r>
        <w:t>26C.</w:t>
      </w:r>
      <w:r>
        <w:tab/>
        <w:t>Assignment of benefit of contract</w:t>
      </w:r>
      <w:r>
        <w:tab/>
      </w:r>
      <w:r>
        <w:fldChar w:fldCharType="begin"/>
      </w:r>
      <w:r>
        <w:instrText xml:space="preserve"> PAGEREF _Toc132298257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Trial of disability services model</w:t>
      </w:r>
    </w:p>
    <w:p>
      <w:pPr>
        <w:pStyle w:val="TOC8"/>
        <w:rPr>
          <w:rFonts w:asciiTheme="minorHAnsi" w:eastAsiaTheme="minorEastAsia" w:hAnsiTheme="minorHAnsi" w:cstheme="minorBidi"/>
          <w:szCs w:val="22"/>
        </w:rPr>
      </w:pPr>
      <w:r>
        <w:t>26D.</w:t>
      </w:r>
      <w:r>
        <w:tab/>
        <w:t>Purpose of this Part</w:t>
      </w:r>
      <w:r>
        <w:tab/>
      </w:r>
      <w:r>
        <w:fldChar w:fldCharType="begin"/>
      </w:r>
      <w:r>
        <w:instrText xml:space="preserve"> PAGEREF _Toc132298259 \h </w:instrText>
      </w:r>
      <w:r>
        <w:fldChar w:fldCharType="separate"/>
      </w:r>
      <w:r>
        <w:t>25</w:t>
      </w:r>
      <w:r>
        <w:fldChar w:fldCharType="end"/>
      </w:r>
    </w:p>
    <w:p>
      <w:pPr>
        <w:pStyle w:val="TOC8"/>
        <w:rPr>
          <w:rFonts w:asciiTheme="minorHAnsi" w:eastAsiaTheme="minorEastAsia" w:hAnsiTheme="minorHAnsi" w:cstheme="minorBidi"/>
          <w:szCs w:val="22"/>
        </w:rPr>
      </w:pPr>
      <w:r>
        <w:t>26E.</w:t>
      </w:r>
      <w:r>
        <w:tab/>
        <w:t>Terms used</w:t>
      </w:r>
      <w:r>
        <w:tab/>
      </w:r>
      <w:r>
        <w:fldChar w:fldCharType="begin"/>
      </w:r>
      <w:r>
        <w:instrText xml:space="preserve"> PAGEREF _Toc132298260 \h </w:instrText>
      </w:r>
      <w:r>
        <w:fldChar w:fldCharType="separate"/>
      </w:r>
      <w:r>
        <w:t>25</w:t>
      </w:r>
      <w:r>
        <w:fldChar w:fldCharType="end"/>
      </w:r>
    </w:p>
    <w:p>
      <w:pPr>
        <w:pStyle w:val="TOC8"/>
        <w:rPr>
          <w:rFonts w:asciiTheme="minorHAnsi" w:eastAsiaTheme="minorEastAsia" w:hAnsiTheme="minorHAnsi" w:cstheme="minorBidi"/>
          <w:szCs w:val="22"/>
        </w:rPr>
      </w:pPr>
      <w:r>
        <w:t>26F.</w:t>
      </w:r>
      <w:r>
        <w:tab/>
        <w:t>Effect of certain terms in the NDIS Act</w:t>
      </w:r>
      <w:r>
        <w:tab/>
      </w:r>
      <w:r>
        <w:fldChar w:fldCharType="begin"/>
      </w:r>
      <w:r>
        <w:instrText xml:space="preserve"> PAGEREF _Toc132298261 \h </w:instrText>
      </w:r>
      <w:r>
        <w:fldChar w:fldCharType="separate"/>
      </w:r>
      <w:r>
        <w:t>25</w:t>
      </w:r>
      <w:r>
        <w:fldChar w:fldCharType="end"/>
      </w:r>
    </w:p>
    <w:p>
      <w:pPr>
        <w:pStyle w:val="TOC8"/>
        <w:rPr>
          <w:rFonts w:asciiTheme="minorHAnsi" w:eastAsiaTheme="minorEastAsia" w:hAnsiTheme="minorHAnsi" w:cstheme="minorBidi"/>
          <w:szCs w:val="22"/>
        </w:rPr>
      </w:pPr>
      <w:r>
        <w:t>26G.</w:t>
      </w:r>
      <w:r>
        <w:tab/>
        <w:t>Trial of disability services model</w:t>
      </w:r>
      <w:r>
        <w:tab/>
      </w:r>
      <w:r>
        <w:fldChar w:fldCharType="begin"/>
      </w:r>
      <w:r>
        <w:instrText xml:space="preserve"> PAGEREF _Toc132298262 \h </w:instrText>
      </w:r>
      <w:r>
        <w:fldChar w:fldCharType="separate"/>
      </w:r>
      <w:r>
        <w:t>26</w:t>
      </w:r>
      <w:r>
        <w:fldChar w:fldCharType="end"/>
      </w:r>
    </w:p>
    <w:p>
      <w:pPr>
        <w:pStyle w:val="TOC8"/>
        <w:rPr>
          <w:rFonts w:asciiTheme="minorHAnsi" w:eastAsiaTheme="minorEastAsia" w:hAnsiTheme="minorHAnsi" w:cstheme="minorBidi"/>
          <w:szCs w:val="22"/>
        </w:rPr>
      </w:pPr>
      <w:r>
        <w:t>26H.</w:t>
      </w:r>
      <w:r>
        <w:tab/>
        <w:t>Trial participants</w:t>
      </w:r>
      <w:r>
        <w:tab/>
      </w:r>
      <w:r>
        <w:fldChar w:fldCharType="begin"/>
      </w:r>
      <w:r>
        <w:instrText xml:space="preserve"> PAGEREF _Toc132298263 \h </w:instrText>
      </w:r>
      <w:r>
        <w:fldChar w:fldCharType="separate"/>
      </w:r>
      <w:r>
        <w:t>26</w:t>
      </w:r>
      <w:r>
        <w:fldChar w:fldCharType="end"/>
      </w:r>
    </w:p>
    <w:p>
      <w:pPr>
        <w:pStyle w:val="TOC8"/>
        <w:rPr>
          <w:rFonts w:asciiTheme="minorHAnsi" w:eastAsiaTheme="minorEastAsia" w:hAnsiTheme="minorHAnsi" w:cstheme="minorBidi"/>
          <w:szCs w:val="22"/>
        </w:rPr>
      </w:pPr>
      <w:r>
        <w:t>26I.</w:t>
      </w:r>
      <w:r>
        <w:tab/>
        <w:t>Reasonable and necessary supports for participants</w:t>
      </w:r>
      <w:r>
        <w:tab/>
      </w:r>
      <w:r>
        <w:fldChar w:fldCharType="begin"/>
      </w:r>
      <w:r>
        <w:instrText xml:space="preserve"> PAGEREF _Toc132298264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Disability access and inclusion plans by public authorities</w:t>
      </w:r>
    </w:p>
    <w:p>
      <w:pPr>
        <w:pStyle w:val="TOC8"/>
        <w:rPr>
          <w:rFonts w:asciiTheme="minorHAnsi" w:eastAsiaTheme="minorEastAsia" w:hAnsiTheme="minorHAnsi" w:cstheme="minorBidi"/>
          <w:szCs w:val="22"/>
        </w:rPr>
      </w:pPr>
      <w:r>
        <w:t>27</w:t>
      </w:r>
      <w:r>
        <w:rPr>
          <w:snapToGrid w:val="0"/>
        </w:rPr>
        <w:t>.</w:t>
      </w:r>
      <w:r>
        <w:rPr>
          <w:snapToGrid w:val="0"/>
        </w:rPr>
        <w:tab/>
        <w:t>Application of Part</w:t>
      </w:r>
      <w:r>
        <w:tab/>
      </w:r>
      <w:r>
        <w:fldChar w:fldCharType="begin"/>
      </w:r>
      <w:r>
        <w:instrText xml:space="preserve"> PAGEREF _Toc132298266 \h </w:instrText>
      </w:r>
      <w:r>
        <w:fldChar w:fldCharType="separate"/>
      </w:r>
      <w:r>
        <w:t>29</w:t>
      </w:r>
      <w:r>
        <w:fldChar w:fldCharType="end"/>
      </w:r>
    </w:p>
    <w:p>
      <w:pPr>
        <w:pStyle w:val="TOC8"/>
        <w:rPr>
          <w:rFonts w:asciiTheme="minorHAnsi" w:eastAsiaTheme="minorEastAsia" w:hAnsiTheme="minorHAnsi" w:cstheme="minorBidi"/>
          <w:szCs w:val="22"/>
        </w:rPr>
      </w:pPr>
      <w:r>
        <w:t>28.</w:t>
      </w:r>
      <w:r>
        <w:tab/>
        <w:t>Disability access and inclusion plans</w:t>
      </w:r>
      <w:r>
        <w:tab/>
      </w:r>
      <w:r>
        <w:fldChar w:fldCharType="begin"/>
      </w:r>
      <w:r>
        <w:instrText xml:space="preserve"> PAGEREF _Toc132298267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 about disability access and inclusion plan</w:t>
      </w:r>
      <w:r>
        <w:tab/>
      </w:r>
      <w:r>
        <w:fldChar w:fldCharType="begin"/>
      </w:r>
      <w:r>
        <w:instrText xml:space="preserve"> PAGEREF _Toc132298268 \h </w:instrText>
      </w:r>
      <w:r>
        <w:fldChar w:fldCharType="separate"/>
      </w:r>
      <w:r>
        <w:t>30</w:t>
      </w:r>
      <w:r>
        <w:fldChar w:fldCharType="end"/>
      </w:r>
    </w:p>
    <w:p>
      <w:pPr>
        <w:pStyle w:val="TOC8"/>
        <w:rPr>
          <w:rFonts w:asciiTheme="minorHAnsi" w:eastAsiaTheme="minorEastAsia" w:hAnsiTheme="minorHAnsi" w:cstheme="minorBidi"/>
          <w:szCs w:val="22"/>
        </w:rPr>
      </w:pPr>
      <w:r>
        <w:t>29A.</w:t>
      </w:r>
      <w:r>
        <w:tab/>
        <w:t>Disability access and inclusion plans to be made available</w:t>
      </w:r>
      <w:r>
        <w:tab/>
      </w:r>
      <w:r>
        <w:fldChar w:fldCharType="begin"/>
      </w:r>
      <w:r>
        <w:instrText xml:space="preserve"> PAGEREF _Toc132298269 \h </w:instrText>
      </w:r>
      <w:r>
        <w:fldChar w:fldCharType="separate"/>
      </w:r>
      <w:r>
        <w:t>31</w:t>
      </w:r>
      <w:r>
        <w:fldChar w:fldCharType="end"/>
      </w:r>
    </w:p>
    <w:p>
      <w:pPr>
        <w:pStyle w:val="TOC8"/>
        <w:rPr>
          <w:rFonts w:asciiTheme="minorHAnsi" w:eastAsiaTheme="minorEastAsia" w:hAnsiTheme="minorHAnsi" w:cstheme="minorBidi"/>
          <w:szCs w:val="22"/>
        </w:rPr>
      </w:pPr>
      <w:r>
        <w:t>29B.</w:t>
      </w:r>
      <w:r>
        <w:tab/>
        <w:t>Public authorities to ensure implementation of disability access and inclusion plan</w:t>
      </w:r>
      <w:r>
        <w:tab/>
      </w:r>
      <w:r>
        <w:fldChar w:fldCharType="begin"/>
      </w:r>
      <w:r>
        <w:instrText xml:space="preserve"> PAGEREF _Toc132298270 \h </w:instrText>
      </w:r>
      <w:r>
        <w:fldChar w:fldCharType="separate"/>
      </w:r>
      <w:r>
        <w:t>31</w:t>
      </w:r>
      <w:r>
        <w:fldChar w:fldCharType="end"/>
      </w:r>
    </w:p>
    <w:p>
      <w:pPr>
        <w:pStyle w:val="TOC8"/>
        <w:rPr>
          <w:rFonts w:asciiTheme="minorHAnsi" w:eastAsiaTheme="minorEastAsia" w:hAnsiTheme="minorHAnsi" w:cstheme="minorBidi"/>
          <w:szCs w:val="22"/>
        </w:rPr>
      </w:pPr>
      <w:r>
        <w:t>29C.</w:t>
      </w:r>
      <w:r>
        <w:tab/>
        <w:t>Annual report by Commission about plans</w:t>
      </w:r>
      <w:r>
        <w:tab/>
      </w:r>
      <w:r>
        <w:fldChar w:fldCharType="begin"/>
      </w:r>
      <w:r>
        <w:instrText xml:space="preserve"> PAGEREF _Toc132298271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Complaints about some disability services and resident services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30</w:t>
      </w:r>
      <w:r>
        <w:rPr>
          <w:snapToGrid w:val="0"/>
        </w:rPr>
        <w:t>.</w:t>
      </w:r>
      <w:r>
        <w:rPr>
          <w:snapToGrid w:val="0"/>
        </w:rPr>
        <w:tab/>
        <w:t>Terms used</w:t>
      </w:r>
      <w:r>
        <w:tab/>
      </w:r>
      <w:r>
        <w:fldChar w:fldCharType="begin"/>
      </w:r>
      <w:r>
        <w:instrText xml:space="preserve"> PAGEREF _Toc132298274 \h </w:instrText>
      </w:r>
      <w:r>
        <w:fldChar w:fldCharType="separate"/>
      </w:r>
      <w:r>
        <w:t>33</w:t>
      </w:r>
      <w:r>
        <w:fldChar w:fldCharType="end"/>
      </w:r>
    </w:p>
    <w:p>
      <w:pPr>
        <w:pStyle w:val="TOC8"/>
        <w:rPr>
          <w:rFonts w:asciiTheme="minorHAnsi" w:eastAsiaTheme="minorEastAsia" w:hAnsiTheme="minorHAnsi" w:cstheme="minorBidi"/>
          <w:szCs w:val="22"/>
        </w:rPr>
      </w:pPr>
      <w:r>
        <w:t>30AA.</w:t>
      </w:r>
      <w:r>
        <w:tab/>
        <w:t xml:space="preserve">This Part to be read with </w:t>
      </w:r>
      <w:r>
        <w:rPr>
          <w:i/>
          <w:iCs/>
        </w:rPr>
        <w:t>Health and Disability Services (Complaints) Act 1995</w:t>
      </w:r>
      <w:r>
        <w:tab/>
      </w:r>
      <w:r>
        <w:fldChar w:fldCharType="begin"/>
      </w:r>
      <w:r>
        <w:instrText xml:space="preserve"> PAGEREF _Toc132298275 \h </w:instrText>
      </w:r>
      <w:r>
        <w:fldChar w:fldCharType="separate"/>
      </w:r>
      <w:r>
        <w:t>34</w:t>
      </w:r>
      <w:r>
        <w:fldChar w:fldCharType="end"/>
      </w:r>
    </w:p>
    <w:p>
      <w:pPr>
        <w:pStyle w:val="TOC8"/>
        <w:rPr>
          <w:rFonts w:asciiTheme="minorHAnsi" w:eastAsiaTheme="minorEastAsia" w:hAnsiTheme="minorHAnsi" w:cstheme="minorBidi"/>
          <w:szCs w:val="22"/>
        </w:rPr>
      </w:pPr>
      <w:r>
        <w:t>30A.</w:t>
      </w:r>
      <w:r>
        <w:tab/>
        <w:t>Functions of Director</w:t>
      </w:r>
      <w:r>
        <w:tab/>
      </w:r>
      <w:r>
        <w:fldChar w:fldCharType="begin"/>
      </w:r>
      <w:r>
        <w:instrText xml:space="preserve"> PAGEREF _Toc132298276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Parties themselves may resolve complaint</w:t>
      </w:r>
      <w:r>
        <w:tab/>
      </w:r>
      <w:r>
        <w:fldChar w:fldCharType="begin"/>
      </w:r>
      <w:r>
        <w:instrText xml:space="preserve"> PAGEREF _Toc132298277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Complaints and conciliation</w:t>
      </w:r>
    </w:p>
    <w:p>
      <w:pPr>
        <w:pStyle w:val="TOC8"/>
        <w:rPr>
          <w:rFonts w:asciiTheme="minorHAnsi" w:eastAsiaTheme="minorEastAsia" w:hAnsiTheme="minorHAnsi" w:cstheme="minorBidi"/>
          <w:szCs w:val="22"/>
        </w:rPr>
      </w:pPr>
      <w:r>
        <w:t>32</w:t>
      </w:r>
      <w:r>
        <w:rPr>
          <w:snapToGrid w:val="0"/>
        </w:rPr>
        <w:t>.</w:t>
      </w:r>
      <w:r>
        <w:rPr>
          <w:snapToGrid w:val="0"/>
        </w:rPr>
        <w:tab/>
        <w:t>Who may complain</w:t>
      </w:r>
      <w:r>
        <w:tab/>
      </w:r>
      <w:r>
        <w:fldChar w:fldCharType="begin"/>
      </w:r>
      <w:r>
        <w:instrText xml:space="preserve"> PAGEREF _Toc132298279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 and what can be complained about</w:t>
      </w:r>
      <w:r>
        <w:tab/>
      </w:r>
      <w:r>
        <w:fldChar w:fldCharType="begin"/>
      </w:r>
      <w:r>
        <w:instrText xml:space="preserve"> PAGEREF _Toc132298280 \h </w:instrText>
      </w:r>
      <w:r>
        <w:fldChar w:fldCharType="separate"/>
      </w:r>
      <w:r>
        <w:t>38</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Health services complaints</w:t>
      </w:r>
      <w:r>
        <w:tab/>
      </w:r>
      <w:r>
        <w:fldChar w:fldCharType="begin"/>
      </w:r>
      <w:r>
        <w:instrText xml:space="preserve"> PAGEREF _Toc132298281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Time for complaining</w:t>
      </w:r>
      <w:r>
        <w:tab/>
      </w:r>
      <w:r>
        <w:fldChar w:fldCharType="begin"/>
      </w:r>
      <w:r>
        <w:instrText xml:space="preserve"> PAGEREF _Toc132298282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How to complain</w:t>
      </w:r>
      <w:r>
        <w:tab/>
      </w:r>
      <w:r>
        <w:fldChar w:fldCharType="begin"/>
      </w:r>
      <w:r>
        <w:instrText xml:space="preserve"> PAGEREF _Toc132298283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Withdrawal of complaint</w:t>
      </w:r>
      <w:r>
        <w:tab/>
      </w:r>
      <w:r>
        <w:fldChar w:fldCharType="begin"/>
      </w:r>
      <w:r>
        <w:instrText xml:space="preserve"> PAGEREF _Toc132298284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Preliminary decision by Director</w:t>
      </w:r>
      <w:r>
        <w:tab/>
      </w:r>
      <w:r>
        <w:fldChar w:fldCharType="begin"/>
      </w:r>
      <w:r>
        <w:instrText xml:space="preserve"> PAGEREF _Toc132298285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Rejection, deferral or referral of complaints</w:t>
      </w:r>
      <w:r>
        <w:tab/>
      </w:r>
      <w:r>
        <w:fldChar w:fldCharType="begin"/>
      </w:r>
      <w:r>
        <w:instrText xml:space="preserve"> PAGEREF _Toc132298286 \h </w:instrText>
      </w:r>
      <w:r>
        <w:fldChar w:fldCharType="separate"/>
      </w:r>
      <w:r>
        <w:t>44</w:t>
      </w:r>
      <w:r>
        <w:fldChar w:fldCharType="end"/>
      </w:r>
    </w:p>
    <w:p>
      <w:pPr>
        <w:pStyle w:val="TOC8"/>
        <w:rPr>
          <w:rFonts w:asciiTheme="minorHAnsi" w:eastAsiaTheme="minorEastAsia" w:hAnsiTheme="minorHAnsi" w:cstheme="minorBidi"/>
          <w:szCs w:val="22"/>
        </w:rPr>
      </w:pPr>
      <w:r>
        <w:t>39A.</w:t>
      </w:r>
      <w:r>
        <w:tab/>
        <w:t>Response by respondent</w:t>
      </w:r>
      <w:r>
        <w:tab/>
      </w:r>
      <w:r>
        <w:fldChar w:fldCharType="begin"/>
      </w:r>
      <w:r>
        <w:instrText xml:space="preserve"> PAGEREF _Toc132298287 \h </w:instrText>
      </w:r>
      <w:r>
        <w:fldChar w:fldCharType="separate"/>
      </w:r>
      <w:r>
        <w:t>45</w:t>
      </w:r>
      <w:r>
        <w:fldChar w:fldCharType="end"/>
      </w:r>
    </w:p>
    <w:p>
      <w:pPr>
        <w:pStyle w:val="TOC8"/>
        <w:rPr>
          <w:rFonts w:asciiTheme="minorHAnsi" w:eastAsiaTheme="minorEastAsia" w:hAnsiTheme="minorHAnsi" w:cstheme="minorBidi"/>
          <w:szCs w:val="22"/>
        </w:rPr>
      </w:pPr>
      <w:r>
        <w:t>39B.</w:t>
      </w:r>
      <w:r>
        <w:tab/>
        <w:t>Resolving complaints by negotiation</w:t>
      </w:r>
      <w:r>
        <w:tab/>
      </w:r>
      <w:r>
        <w:fldChar w:fldCharType="begin"/>
      </w:r>
      <w:r>
        <w:instrText xml:space="preserve"> PAGEREF _Toc132298288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Conciliation of complaints</w:t>
      </w:r>
      <w:r>
        <w:tab/>
      </w:r>
      <w:r>
        <w:fldChar w:fldCharType="begin"/>
      </w:r>
      <w:r>
        <w:instrText xml:space="preserve"> PAGEREF _Toc132298289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Investigations</w:t>
      </w:r>
    </w:p>
    <w:p>
      <w:pPr>
        <w:pStyle w:val="TOC8"/>
        <w:rPr>
          <w:rFonts w:asciiTheme="minorHAnsi" w:eastAsiaTheme="minorEastAsia" w:hAnsiTheme="minorHAnsi" w:cstheme="minorBidi"/>
          <w:szCs w:val="22"/>
        </w:rPr>
      </w:pPr>
      <w:r>
        <w:t>40</w:t>
      </w:r>
      <w:r>
        <w:rPr>
          <w:snapToGrid w:val="0"/>
        </w:rPr>
        <w:t>.</w:t>
      </w:r>
      <w:r>
        <w:rPr>
          <w:snapToGrid w:val="0"/>
        </w:rPr>
        <w:tab/>
        <w:t>Investigation of complaints and referred matters</w:t>
      </w:r>
      <w:r>
        <w:tab/>
      </w:r>
      <w:r>
        <w:fldChar w:fldCharType="begin"/>
      </w:r>
      <w:r>
        <w:instrText xml:space="preserve"> PAGEREF _Toc132298291 \h </w:instrText>
      </w:r>
      <w:r>
        <w:fldChar w:fldCharType="separate"/>
      </w:r>
      <w:r>
        <w:t>48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Director’s powers on investigation</w:t>
      </w:r>
      <w:r>
        <w:tab/>
      </w:r>
      <w:r>
        <w:fldChar w:fldCharType="begin"/>
      </w:r>
      <w:r>
        <w:instrText xml:space="preserve"> PAGEREF _Toc132298292 \h </w:instrText>
      </w:r>
      <w:r>
        <w:fldChar w:fldCharType="separate"/>
      </w:r>
      <w:r>
        <w:t>50</w:t>
      </w:r>
      <w:r>
        <w:fldChar w:fldCharType="end"/>
      </w:r>
    </w:p>
    <w:p>
      <w:pPr>
        <w:pStyle w:val="TOC8"/>
        <w:rPr>
          <w:rFonts w:asciiTheme="minorHAnsi" w:eastAsiaTheme="minorEastAsia" w:hAnsiTheme="minorHAnsi" w:cstheme="minorBidi"/>
          <w:szCs w:val="22"/>
        </w:rPr>
      </w:pPr>
      <w:r>
        <w:t>42A.</w:t>
      </w:r>
      <w:r>
        <w:tab/>
        <w:t>Conciliator must not investigate</w:t>
      </w:r>
      <w:r>
        <w:tab/>
      </w:r>
      <w:r>
        <w:fldChar w:fldCharType="begin"/>
      </w:r>
      <w:r>
        <w:instrText xml:space="preserve"> PAGEREF _Toc132298293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Consequences of investigation</w:t>
      </w:r>
    </w:p>
    <w:p>
      <w:pPr>
        <w:pStyle w:val="TOC8"/>
        <w:rPr>
          <w:rFonts w:asciiTheme="minorHAnsi" w:eastAsiaTheme="minorEastAsia" w:hAnsiTheme="minorHAnsi" w:cstheme="minorBidi"/>
          <w:szCs w:val="22"/>
        </w:rPr>
      </w:pPr>
      <w:r>
        <w:t>42.</w:t>
      </w:r>
      <w:r>
        <w:tab/>
        <w:t>Director to decide, give reasons etc.</w:t>
      </w:r>
      <w:r>
        <w:tab/>
      </w:r>
      <w:r>
        <w:fldChar w:fldCharType="begin"/>
      </w:r>
      <w:r>
        <w:instrText xml:space="preserve"> PAGEREF _Toc132298295 \h </w:instrText>
      </w:r>
      <w:r>
        <w:fldChar w:fldCharType="separate"/>
      </w:r>
      <w:r>
        <w:t>52</w:t>
      </w:r>
      <w:r>
        <w:fldChar w:fldCharType="end"/>
      </w:r>
    </w:p>
    <w:p>
      <w:pPr>
        <w:pStyle w:val="TOC8"/>
        <w:rPr>
          <w:rFonts w:asciiTheme="minorHAnsi" w:eastAsiaTheme="minorEastAsia" w:hAnsiTheme="minorHAnsi" w:cstheme="minorBidi"/>
          <w:szCs w:val="22"/>
        </w:rPr>
      </w:pPr>
      <w:r>
        <w:t>43A.</w:t>
      </w:r>
      <w:r>
        <w:tab/>
        <w:t>Warrants</w:t>
      </w:r>
      <w:r>
        <w:tab/>
      </w:r>
      <w:r>
        <w:fldChar w:fldCharType="begin"/>
      </w:r>
      <w:r>
        <w:instrText xml:space="preserve"> PAGEREF _Toc132298296 \h </w:instrText>
      </w:r>
      <w:r>
        <w:fldChar w:fldCharType="separate"/>
      </w:r>
      <w:r>
        <w:t>54</w:t>
      </w:r>
      <w:r>
        <w:fldChar w:fldCharType="end"/>
      </w:r>
    </w:p>
    <w:p>
      <w:pPr>
        <w:pStyle w:val="TOC8"/>
        <w:rPr>
          <w:rFonts w:asciiTheme="minorHAnsi" w:eastAsiaTheme="minorEastAsia" w:hAnsiTheme="minorHAnsi" w:cstheme="minorBidi"/>
          <w:szCs w:val="22"/>
        </w:rPr>
      </w:pPr>
      <w:r>
        <w:t>43B.</w:t>
      </w:r>
      <w:r>
        <w:tab/>
        <w:t>Reports to Parliament</w:t>
      </w:r>
      <w:r>
        <w:tab/>
      </w:r>
      <w:r>
        <w:fldChar w:fldCharType="begin"/>
      </w:r>
      <w:r>
        <w:instrText xml:space="preserve"> PAGEREF _Toc132298297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Respondent to report on remedial action</w:t>
      </w:r>
      <w:r>
        <w:tab/>
      </w:r>
      <w:r>
        <w:fldChar w:fldCharType="begin"/>
      </w:r>
      <w:r>
        <w:instrText xml:space="preserve"> PAGEREF _Toc132298298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to Parliament where report not made or remedial action not taken</w:t>
      </w:r>
      <w:r>
        <w:tab/>
      </w:r>
      <w:r>
        <w:fldChar w:fldCharType="begin"/>
      </w:r>
      <w:r>
        <w:instrText xml:space="preserve"> PAGEREF _Toc132298299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4A — Director’s relationship with the Minister</w:t>
      </w:r>
    </w:p>
    <w:p>
      <w:pPr>
        <w:pStyle w:val="TOC8"/>
        <w:rPr>
          <w:rFonts w:asciiTheme="minorHAnsi" w:eastAsiaTheme="minorEastAsia" w:hAnsiTheme="minorHAnsi" w:cstheme="minorBidi"/>
          <w:szCs w:val="22"/>
        </w:rPr>
      </w:pPr>
      <w:r>
        <w:t>44A.</w:t>
      </w:r>
      <w:r>
        <w:tab/>
        <w:t>Minister may give directions</w:t>
      </w:r>
      <w:r>
        <w:tab/>
      </w:r>
      <w:r>
        <w:fldChar w:fldCharType="begin"/>
      </w:r>
      <w:r>
        <w:instrText xml:space="preserve"> PAGEREF _Toc132298301 \h </w:instrText>
      </w:r>
      <w:r>
        <w:fldChar w:fldCharType="separate"/>
      </w:r>
      <w:r>
        <w:t>56</w:t>
      </w:r>
      <w:r>
        <w:fldChar w:fldCharType="end"/>
      </w:r>
    </w:p>
    <w:p>
      <w:pPr>
        <w:pStyle w:val="TOC8"/>
        <w:rPr>
          <w:rFonts w:asciiTheme="minorHAnsi" w:eastAsiaTheme="minorEastAsia" w:hAnsiTheme="minorHAnsi" w:cstheme="minorBidi"/>
          <w:szCs w:val="22"/>
        </w:rPr>
      </w:pPr>
      <w:r>
        <w:t>44B.</w:t>
      </w:r>
      <w:r>
        <w:tab/>
        <w:t>Minister to have access to information</w:t>
      </w:r>
      <w:r>
        <w:tab/>
      </w:r>
      <w:r>
        <w:fldChar w:fldCharType="begin"/>
      </w:r>
      <w:r>
        <w:instrText xml:space="preserve"> PAGEREF _Toc132298302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45</w:t>
      </w:r>
      <w:r>
        <w:rPr>
          <w:snapToGrid w:val="0"/>
        </w:rPr>
        <w:t>.</w:t>
      </w:r>
      <w:r>
        <w:rPr>
          <w:snapToGrid w:val="0"/>
        </w:rPr>
        <w:tab/>
        <w:t>Proceedings to stop if court action etc.</w:t>
      </w:r>
      <w:r>
        <w:tab/>
      </w:r>
      <w:r>
        <w:fldChar w:fldCharType="begin"/>
      </w:r>
      <w:r>
        <w:instrText xml:space="preserve"> PAGEREF _Toc132298304 \h </w:instrText>
      </w:r>
      <w:r>
        <w:fldChar w:fldCharType="separate"/>
      </w:r>
      <w:r>
        <w:t>58</w:t>
      </w:r>
      <w:r>
        <w:fldChar w:fldCharType="end"/>
      </w:r>
    </w:p>
    <w:p>
      <w:pPr>
        <w:pStyle w:val="TOC8"/>
        <w:rPr>
          <w:rFonts w:asciiTheme="minorHAnsi" w:eastAsiaTheme="minorEastAsia" w:hAnsiTheme="minorHAnsi" w:cstheme="minorBidi"/>
          <w:szCs w:val="22"/>
        </w:rPr>
      </w:pPr>
      <w:r>
        <w:t>46.</w:t>
      </w:r>
      <w:r>
        <w:tab/>
        <w:t>Minister may refer matters for investigation</w:t>
      </w:r>
      <w:r>
        <w:tab/>
      </w:r>
      <w:r>
        <w:fldChar w:fldCharType="begin"/>
      </w:r>
      <w:r>
        <w:instrText xml:space="preserve"> PAGEREF _Toc132298305 \h </w:instrText>
      </w:r>
      <w:r>
        <w:fldChar w:fldCharType="separate"/>
      </w:r>
      <w:r>
        <w:t>58</w:t>
      </w:r>
      <w:r>
        <w:fldChar w:fldCharType="end"/>
      </w:r>
    </w:p>
    <w:p>
      <w:pPr>
        <w:pStyle w:val="TOC8"/>
        <w:rPr>
          <w:rFonts w:asciiTheme="minorHAnsi" w:eastAsiaTheme="minorEastAsia" w:hAnsiTheme="minorHAnsi" w:cstheme="minorBidi"/>
          <w:szCs w:val="22"/>
        </w:rPr>
      </w:pPr>
      <w:r>
        <w:t>46A.</w:t>
      </w:r>
      <w:r>
        <w:tab/>
        <w:t>Investigation at the request of Parliament</w:t>
      </w:r>
      <w:r>
        <w:tab/>
      </w:r>
      <w:r>
        <w:fldChar w:fldCharType="begin"/>
      </w:r>
      <w:r>
        <w:instrText xml:space="preserve"> PAGEREF _Toc132298306 \h </w:instrText>
      </w:r>
      <w:r>
        <w:fldChar w:fldCharType="separate"/>
      </w:r>
      <w:r>
        <w:t>59</w:t>
      </w:r>
      <w:r>
        <w:fldChar w:fldCharType="end"/>
      </w:r>
    </w:p>
    <w:p>
      <w:pPr>
        <w:pStyle w:val="TOC8"/>
        <w:rPr>
          <w:rFonts w:asciiTheme="minorHAnsi" w:eastAsiaTheme="minorEastAsia" w:hAnsiTheme="minorHAnsi" w:cstheme="minorBidi"/>
          <w:szCs w:val="22"/>
        </w:rPr>
      </w:pPr>
      <w:r>
        <w:t>46B.</w:t>
      </w:r>
      <w:r>
        <w:tab/>
        <w:t>False or misleading statements</w:t>
      </w:r>
      <w:r>
        <w:tab/>
      </w:r>
      <w:r>
        <w:fldChar w:fldCharType="begin"/>
      </w:r>
      <w:r>
        <w:instrText xml:space="preserve"> PAGEREF _Toc132298307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 not to be penalised because of complaining</w:t>
      </w:r>
      <w:r>
        <w:tab/>
      </w:r>
      <w:r>
        <w:fldChar w:fldCharType="begin"/>
      </w:r>
      <w:r>
        <w:instrText xml:space="preserve"> PAGEREF _Toc132298308 \h </w:instrText>
      </w:r>
      <w:r>
        <w:fldChar w:fldCharType="separate"/>
      </w:r>
      <w:r>
        <w:t>59</w:t>
      </w:r>
      <w:r>
        <w:fldChar w:fldCharType="end"/>
      </w:r>
    </w:p>
    <w:p>
      <w:pPr>
        <w:pStyle w:val="TOC8"/>
        <w:rPr>
          <w:rFonts w:asciiTheme="minorHAnsi" w:eastAsiaTheme="minorEastAsia" w:hAnsiTheme="minorHAnsi" w:cstheme="minorBidi"/>
          <w:szCs w:val="22"/>
        </w:rPr>
      </w:pPr>
      <w:r>
        <w:t>48A.</w:t>
      </w:r>
      <w:r>
        <w:tab/>
        <w:t>Prescribed service provider must give certain information</w:t>
      </w:r>
      <w:r>
        <w:tab/>
      </w:r>
      <w:r>
        <w:fldChar w:fldCharType="begin"/>
      </w:r>
      <w:r>
        <w:instrText xml:space="preserve"> PAGEREF _Toc132298309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Registers of complaints</w:t>
      </w:r>
      <w:r>
        <w:tab/>
      </w:r>
      <w:r>
        <w:fldChar w:fldCharType="begin"/>
      </w:r>
      <w:r>
        <w:instrText xml:space="preserve"> PAGEREF _Toc132298310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Delegation</w:t>
      </w:r>
      <w:r>
        <w:tab/>
      </w:r>
      <w:r>
        <w:fldChar w:fldCharType="begin"/>
      </w:r>
      <w:r>
        <w:instrText xml:space="preserve"> PAGEREF _Toc132298311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Confidentiality</w:t>
      </w:r>
      <w:r>
        <w:tab/>
      </w:r>
      <w:r>
        <w:fldChar w:fldCharType="begin"/>
      </w:r>
      <w:r>
        <w:instrText xml:space="preserve"> PAGEREF _Toc132298312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51</w:t>
      </w:r>
      <w:r>
        <w:rPr>
          <w:snapToGrid w:val="0"/>
        </w:rPr>
        <w:t>.</w:t>
      </w:r>
      <w:r>
        <w:rPr>
          <w:snapToGrid w:val="0"/>
        </w:rPr>
        <w:tab/>
        <w:t>Protection</w:t>
      </w:r>
      <w:r>
        <w:tab/>
      </w:r>
      <w:r>
        <w:fldChar w:fldCharType="begin"/>
      </w:r>
      <w:r>
        <w:instrText xml:space="preserve"> PAGEREF _Toc132298314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Confidentiality</w:t>
      </w:r>
      <w:r>
        <w:tab/>
      </w:r>
      <w:r>
        <w:fldChar w:fldCharType="begin"/>
      </w:r>
      <w:r>
        <w:instrText xml:space="preserve"> PAGEREF _Toc132298315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 of ill</w:t>
      </w:r>
      <w:r>
        <w:rPr>
          <w:snapToGrid w:val="0"/>
        </w:rPr>
        <w:noBreakHyphen/>
        <w:t>treatment</w:t>
      </w:r>
      <w:r>
        <w:tab/>
      </w:r>
      <w:r>
        <w:fldChar w:fldCharType="begin"/>
      </w:r>
      <w:r>
        <w:instrText xml:space="preserve"> PAGEREF _Toc132298316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Prosecution of offences</w:t>
      </w:r>
      <w:r>
        <w:tab/>
      </w:r>
      <w:r>
        <w:fldChar w:fldCharType="begin"/>
      </w:r>
      <w:r>
        <w:instrText xml:space="preserve"> PAGEREF _Toc132298317 \h </w:instrText>
      </w:r>
      <w:r>
        <w:fldChar w:fldCharType="separate"/>
      </w:r>
      <w:r>
        <w:t>64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Parliamentary Commissioner may conduct investigation</w:t>
      </w:r>
      <w:r>
        <w:tab/>
      </w:r>
      <w:r>
        <w:fldChar w:fldCharType="begin"/>
      </w:r>
      <w:r>
        <w:instrText xml:space="preserve"> PAGEREF _Toc132298318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Regulations</w:t>
      </w:r>
      <w:r>
        <w:tab/>
      </w:r>
      <w:r>
        <w:fldChar w:fldCharType="begin"/>
      </w:r>
      <w:r>
        <w:instrText xml:space="preserve"> PAGEREF _Toc132298319 \h </w:instrText>
      </w:r>
      <w:r>
        <w:fldChar w:fldCharType="separate"/>
      </w:r>
      <w:r>
        <w:t>64</w:t>
      </w:r>
      <w:r>
        <w:fldChar w:fldCharType="end"/>
      </w:r>
    </w:p>
    <w:p>
      <w:pPr>
        <w:pStyle w:val="TOC8"/>
        <w:rPr>
          <w:rFonts w:asciiTheme="minorHAnsi" w:eastAsiaTheme="minorEastAsia" w:hAnsiTheme="minorHAnsi" w:cstheme="minorBidi"/>
          <w:szCs w:val="22"/>
        </w:rPr>
      </w:pPr>
      <w:r>
        <w:t>57A.</w:t>
      </w:r>
      <w:r>
        <w:tab/>
        <w:t>Regulations may refer to published documents</w:t>
      </w:r>
      <w:r>
        <w:tab/>
      </w:r>
      <w:r>
        <w:fldChar w:fldCharType="begin"/>
      </w:r>
      <w:r>
        <w:instrText xml:space="preserve"> PAGEREF _Toc132298320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_Toc132298321 \h </w:instrText>
      </w:r>
      <w:r>
        <w:fldChar w:fldCharType="separate"/>
      </w:r>
      <w:r>
        <w:t>65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Principles applicable to people with disability</w:t>
      </w:r>
    </w:p>
    <w:p>
      <w:pPr>
        <w:pStyle w:val="TOC2"/>
        <w:keepNext w:val="0"/>
        <w:tabs>
          <w:tab w:val="right" w:leader="dot" w:pos="7077"/>
        </w:tabs>
        <w:rPr>
          <w:rFonts w:asciiTheme="minorHAnsi" w:eastAsiaTheme="minorEastAsia" w:hAnsiTheme="minorHAnsi" w:cstheme="minorBidi"/>
          <w:b w:val="0"/>
          <w:sz w:val="22"/>
          <w:szCs w:val="22"/>
        </w:rPr>
      </w:pPr>
      <w:r>
        <w:t>Schedule 2 — Objectives for services and programmes</w:t>
      </w:r>
    </w:p>
    <w:p>
      <w:pPr>
        <w:pStyle w:val="TOC2"/>
        <w:tabs>
          <w:tab w:val="right" w:leader="dot" w:pos="7077"/>
        </w:tabs>
        <w:rPr>
          <w:rFonts w:asciiTheme="minorHAnsi" w:eastAsiaTheme="minorEastAsia" w:hAnsiTheme="minorHAnsi" w:cstheme="minorBidi"/>
          <w:b w:val="0"/>
          <w:sz w:val="22"/>
          <w:szCs w:val="22"/>
        </w:rPr>
      </w:pPr>
      <w:r>
        <w:lastRenderedPageBreak/>
        <w:t>Schedule 3 — Provisions applicable to the Board of the Commission</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_Toc132298325 \h </w:instrText>
      </w:r>
      <w:r>
        <w:fldChar w:fldCharType="separate"/>
      </w:r>
      <w:r>
        <w:t>72</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_Toc132298326 \h </w:instrText>
      </w:r>
      <w:r>
        <w:fldChar w:fldCharType="separate"/>
      </w:r>
      <w:r>
        <w:t>73</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_Toc132298327 \h </w:instrText>
      </w:r>
      <w:r>
        <w:fldChar w:fldCharType="separate"/>
      </w:r>
      <w:r>
        <w:t>73</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_Toc132298328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Commission’s personnel</w:t>
      </w:r>
    </w:p>
    <w:p>
      <w:pPr>
        <w:pStyle w:val="TOC8"/>
        <w:rPr>
          <w:rFonts w:asciiTheme="minorHAnsi" w:eastAsiaTheme="minorEastAsia" w:hAnsiTheme="minorHAnsi" w:cstheme="minorBidi"/>
          <w:szCs w:val="22"/>
        </w:rPr>
      </w:pPr>
      <w:r>
        <w:t>1.</w:t>
      </w:r>
      <w:r>
        <w:tab/>
        <w:t>Superannuation</w:t>
      </w:r>
      <w:r>
        <w:tab/>
      </w:r>
      <w:r>
        <w:fldChar w:fldCharType="begin"/>
      </w:r>
      <w:r>
        <w:instrText xml:space="preserve"> PAGEREF _Toc132298330 \h </w:instrText>
      </w:r>
      <w:r>
        <w:fldChar w:fldCharType="separate"/>
      </w:r>
      <w:r>
        <w:t>74</w:t>
      </w:r>
      <w:r>
        <w:fldChar w:fldCharType="end"/>
      </w:r>
    </w:p>
    <w:p>
      <w:pPr>
        <w:pStyle w:val="TOC8"/>
        <w:rPr>
          <w:rFonts w:asciiTheme="minorHAnsi" w:eastAsiaTheme="minorEastAsia" w:hAnsiTheme="minorHAnsi" w:cstheme="minorBidi"/>
          <w:szCs w:val="22"/>
        </w:rPr>
      </w:pPr>
      <w:r>
        <w:t>2.</w:t>
      </w:r>
      <w:r>
        <w:tab/>
        <w:t>Saving of leave entitlements</w:t>
      </w:r>
      <w:r>
        <w:tab/>
      </w:r>
      <w:r>
        <w:fldChar w:fldCharType="begin"/>
      </w:r>
      <w:r>
        <w:instrText xml:space="preserve"> PAGEREF _Toc132298331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5 — Provisions applicable to the Ministerial Advisory Council on Disability</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_Toc132298333 \h </w:instrText>
      </w:r>
      <w:r>
        <w:fldChar w:fldCharType="separate"/>
      </w:r>
      <w:r>
        <w:t>75</w:t>
      </w:r>
      <w:r>
        <w:fldChar w:fldCharType="end"/>
      </w:r>
    </w:p>
    <w:p>
      <w:pPr>
        <w:pStyle w:val="TOC8"/>
        <w:rPr>
          <w:rFonts w:asciiTheme="minorHAnsi" w:eastAsiaTheme="minorEastAsia" w:hAnsiTheme="minorHAnsi" w:cstheme="minorBidi"/>
          <w:szCs w:val="22"/>
        </w:rPr>
      </w:pPr>
      <w:r>
        <w:t>2.</w:t>
      </w:r>
      <w:r>
        <w:tab/>
        <w:t>Chairperson</w:t>
      </w:r>
      <w:r>
        <w:tab/>
      </w:r>
      <w:r>
        <w:fldChar w:fldCharType="begin"/>
      </w:r>
      <w:r>
        <w:instrText xml:space="preserve"> PAGEREF _Toc132298334 \h </w:instrText>
      </w:r>
      <w:r>
        <w:fldChar w:fldCharType="separate"/>
      </w:r>
      <w:r>
        <w:t>76</w:t>
      </w:r>
      <w:r>
        <w:fldChar w:fldCharType="end"/>
      </w:r>
    </w:p>
    <w:p>
      <w:pPr>
        <w:pStyle w:val="TOC8"/>
        <w:rPr>
          <w:rFonts w:asciiTheme="minorHAnsi" w:eastAsiaTheme="minorEastAsia" w:hAnsiTheme="minorHAnsi" w:cstheme="minorBidi"/>
          <w:szCs w:val="22"/>
        </w:rPr>
      </w:pPr>
      <w:r>
        <w:t>3.</w:t>
      </w:r>
      <w:r>
        <w:tab/>
        <w:t>Meetings</w:t>
      </w:r>
      <w:r>
        <w:tab/>
      </w:r>
      <w:r>
        <w:fldChar w:fldCharType="begin"/>
      </w:r>
      <w:r>
        <w:instrText xml:space="preserve"> PAGEREF _Toc132298335 \h </w:instrText>
      </w:r>
      <w:r>
        <w:fldChar w:fldCharType="separate"/>
      </w:r>
      <w:r>
        <w:t>76</w:t>
      </w:r>
      <w:r>
        <w:fldChar w:fldCharType="end"/>
      </w:r>
    </w:p>
    <w:p>
      <w:pPr>
        <w:pStyle w:val="TOC8"/>
        <w:rPr>
          <w:rFonts w:asciiTheme="minorHAnsi" w:eastAsiaTheme="minorEastAsia" w:hAnsiTheme="minorHAnsi" w:cstheme="minorBidi"/>
          <w:szCs w:val="22"/>
        </w:rPr>
      </w:pPr>
      <w:r>
        <w:t>4.</w:t>
      </w:r>
      <w:r>
        <w:tab/>
        <w:t>Remuneration</w:t>
      </w:r>
      <w:r>
        <w:tab/>
      </w:r>
      <w:r>
        <w:fldChar w:fldCharType="begin"/>
      </w:r>
      <w:r>
        <w:instrText xml:space="preserve"> PAGEREF _Toc132298336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_Toc132298338 \h </w:instrText>
      </w:r>
      <w:r>
        <w:fldChar w:fldCharType="separate"/>
      </w:r>
      <w:r>
        <w:t>77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_Toc132298339 \h </w:instrText>
      </w:r>
      <w:r>
        <w:fldChar w:fldCharType="separate"/>
      </w:r>
      <w:r>
        <w:t>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_Toc132298340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840"/>
      </w:pPr>
      <w:r>
        <w:t xml:space="preserve">Disability Services Act 1993 </w:t>
      </w:r>
    </w:p>
    <w:p>
      <w:pPr>
        <w:pStyle w:val="LongTitle"/>
        <w:spacing w:before="240"/>
        <w:rPr>
          <w:snapToGrid w:val="0"/>
        </w:rPr>
      </w:pPr>
      <w:r>
        <w:rPr>
          <w:snapToGrid w:val="0"/>
        </w:rPr>
        <w:t xml:space="preserve">An Act for the establishment of the Disability Services Commission and the Ministerial Advisory Council on Disability, for the furtherance of principles applicable to people with disability, for the funding and provision of services to such people that meet certain objectives, for the resolution of complaints by such people, and for related purposes. </w:t>
      </w:r>
    </w:p>
    <w:p>
      <w:pPr>
        <w:pStyle w:val="Footnotelongtitle"/>
      </w:pPr>
      <w:r>
        <w:tab/>
        <w:t>[Long title amended: No. 44 of 1999 s. 4; No. 57 of 2004 s. 4; No. 40 of 2012 s. 24.]</w:t>
      </w:r>
    </w:p>
    <w:p>
      <w:pPr>
        <w:pStyle w:val="Heading2"/>
      </w:pPr>
      <w:bookmarkStart w:id="3" w:name="_Toc132191802"/>
      <w:bookmarkStart w:id="4" w:name="_Toc132191928"/>
      <w:bookmarkStart w:id="5" w:name="_Toc13229821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3229821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Disability Services Act 1993</w:t>
      </w:r>
      <w:r>
        <w:rPr>
          <w:snapToGrid w:val="0"/>
        </w:rPr>
        <w:t>.</w:t>
      </w:r>
    </w:p>
    <w:p>
      <w:pPr>
        <w:pStyle w:val="Heading5"/>
        <w:rPr>
          <w:snapToGrid w:val="0"/>
        </w:rPr>
      </w:pPr>
      <w:bookmarkStart w:id="7" w:name="_Toc13229821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7 days after the day on which it receives the Royal Assent.</w:t>
      </w:r>
    </w:p>
    <w:p>
      <w:pPr>
        <w:pStyle w:val="Heading5"/>
        <w:rPr>
          <w:snapToGrid w:val="0"/>
        </w:rPr>
      </w:pPr>
      <w:bookmarkStart w:id="8" w:name="_Toc132298219"/>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Declared Places Act</w:t>
      </w:r>
      <w:r>
        <w:t xml:space="preserve"> means the </w:t>
      </w:r>
      <w:r>
        <w:rPr>
          <w:i/>
        </w:rPr>
        <w:t>Declared Places (Mentally Impaired Accused) Act 2015</w:t>
      </w:r>
      <w:r>
        <w:t>;</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lastRenderedPageBreak/>
        <w:tab/>
        <w:t>(c)</w:t>
      </w:r>
      <w:r>
        <w:tab/>
        <w:t>which may or may not be of a chronic or episodic nature; and</w:t>
      </w:r>
    </w:p>
    <w:p>
      <w:pPr>
        <w:pStyle w:val="Defpara"/>
        <w:keepNext/>
      </w:pPr>
      <w:r>
        <w:tab/>
        <w:t>(d)</w:t>
      </w:r>
      <w:r>
        <w:tab/>
        <w:t>which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disability, whether by carers or others; or</w:t>
      </w:r>
    </w:p>
    <w:p>
      <w:pPr>
        <w:pStyle w:val="Defpara"/>
      </w:pPr>
      <w:r>
        <w:tab/>
        <w:t>(b)</w:t>
      </w:r>
      <w:r>
        <w:tab/>
        <w:t>a service provided specifically for carers;</w:t>
      </w:r>
    </w:p>
    <w:p>
      <w:pPr>
        <w:pStyle w:val="Defstart"/>
      </w:pPr>
      <w:r>
        <w:tab/>
      </w:r>
      <w:r>
        <w:rPr>
          <w:rStyle w:val="CharDefText"/>
        </w:rPr>
        <w:t>Disability Services Standards</w:t>
      </w:r>
      <w:r>
        <w:t xml:space="preserve"> are those standards prescribed in accordance with section 12(1)(i);</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 or</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tab/>
      </w:r>
      <w:r>
        <w:rPr>
          <w:rStyle w:val="CharDefText"/>
        </w:rPr>
        <w:t>resident</w:t>
      </w:r>
      <w:r>
        <w:t xml:space="preserve"> means a resident as defined in the Declared Places Act section 3;</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 or</w:t>
      </w:r>
    </w:p>
    <w:p>
      <w:pPr>
        <w:pStyle w:val="Defpara"/>
      </w:pPr>
      <w:r>
        <w:tab/>
        <w:t>(b)</w:t>
      </w:r>
      <w:r>
        <w:tab/>
        <w:t>researches the provision of disability services other than disability services provided by carers; or</w:t>
      </w:r>
    </w:p>
    <w:p>
      <w:pPr>
        <w:pStyle w:val="Defpara"/>
      </w:pPr>
      <w:r>
        <w:lastRenderedPageBreak/>
        <w:tab/>
        <w:t>(c)</w:t>
      </w:r>
      <w:r>
        <w:tab/>
        <w:t>plans for the provision of disability services other than disability services provided by carers; or</w:t>
      </w:r>
    </w:p>
    <w:p>
      <w:pPr>
        <w:pStyle w:val="Defpara"/>
      </w:pPr>
      <w:r>
        <w:tab/>
        <w:t>(d)</w:t>
      </w:r>
      <w:r>
        <w:tab/>
        <w:t>develops proposals for the provision of disability services other than disability services provided by carers; or</w:t>
      </w:r>
    </w:p>
    <w:p>
      <w:pPr>
        <w:pStyle w:val="Defpara"/>
      </w:pPr>
      <w:r>
        <w:tab/>
        <w:t>(e)</w:t>
      </w:r>
      <w:r>
        <w:tab/>
        <w:t>initiates the provision of disability services other than disability services provided by carers; or</w:t>
      </w:r>
    </w:p>
    <w:p>
      <w:pPr>
        <w:pStyle w:val="Defpara"/>
      </w:pPr>
      <w:r>
        <w:tab/>
        <w:t>(f)</w:t>
      </w:r>
      <w:r>
        <w:tab/>
        <w:t>develops or implements training programmes for people who provide disability services other than disability services provided by carers; or</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No. 32 of 1994 s. 19; No. 44 of 1999 s. 5; No. 37 of 2004 s. 24; No. 57 of 2004 s. 5; No. 38 of 2005 s. 15; No. 33 of 2010 s. 32; No. 40 of 2012 s. 4 and 24; No. 4 of 2015 s. 70.]</w:t>
      </w:r>
    </w:p>
    <w:p>
      <w:pPr>
        <w:pStyle w:val="Heading5"/>
      </w:pPr>
      <w:bookmarkStart w:id="9" w:name="_Toc132298220"/>
      <w:r>
        <w:rPr>
          <w:rStyle w:val="CharSectno"/>
        </w:rPr>
        <w:t>3A</w:t>
      </w:r>
      <w:r>
        <w:t>.</w:t>
      </w:r>
      <w:r>
        <w:tab/>
        <w:t>Persons who are carers</w:t>
      </w:r>
      <w:bookmarkEnd w:id="9"/>
    </w:p>
    <w:p>
      <w:pPr>
        <w:pStyle w:val="Subsection"/>
      </w:pPr>
      <w:r>
        <w:tab/>
        <w:t>(1)</w:t>
      </w:r>
      <w:r>
        <w:tab/>
        <w:t>Except as provided in subsection (2), a person is a carer for the purposes of this Act if he or she is an individual who provides ongoing care or assistance to a person with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 xml:space="preserve">and </w:t>
      </w:r>
      <w:r>
        <w:rPr>
          <w:i/>
          <w:iCs/>
        </w:rPr>
        <w:lastRenderedPageBreak/>
        <w:t>Food and Other Donors</w:t>
      </w:r>
      <w:r>
        <w:rPr>
          <w:i/>
        </w:rPr>
        <w:t xml:space="preserve"> (Protection from Liability) Act 2002</w:t>
      </w:r>
      <w:r>
        <w:t>.</w:t>
      </w:r>
    </w:p>
    <w:p>
      <w:pPr>
        <w:pStyle w:val="Subsection"/>
        <w:keepNext/>
      </w:pPr>
      <w:r>
        <w:tab/>
        <w:t>(3)</w:t>
      </w:r>
      <w:r>
        <w:tab/>
        <w:t>A person is not a carer for the purposes of this Act only because —</w:t>
      </w:r>
    </w:p>
    <w:p>
      <w:pPr>
        <w:pStyle w:val="Indenta"/>
      </w:pPr>
      <w:r>
        <w:tab/>
        <w:t>(a)</w:t>
      </w:r>
      <w:r>
        <w:tab/>
        <w:t>the person is a spouse, de facto partner, parent or guardian of a person with disability; or</w:t>
      </w:r>
    </w:p>
    <w:p>
      <w:pPr>
        <w:pStyle w:val="Indenta"/>
      </w:pPr>
      <w:r>
        <w:tab/>
        <w:t>(b)</w:t>
      </w:r>
      <w:r>
        <w:tab/>
        <w:t xml:space="preserve">the person provides care to a child with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No. 37 of 2004 s. 25; amended: No. 53 of 2006 s. 12(2); No. 33 of 2010 s. 33; No. 40 of 2012 s. 24.]</w:t>
      </w:r>
    </w:p>
    <w:p>
      <w:pPr>
        <w:pStyle w:val="Heading5"/>
        <w:rPr>
          <w:snapToGrid w:val="0"/>
        </w:rPr>
      </w:pPr>
      <w:bookmarkStart w:id="10" w:name="_Toc132298221"/>
      <w:r>
        <w:rPr>
          <w:rStyle w:val="CharSectno"/>
        </w:rPr>
        <w:t>4</w:t>
      </w:r>
      <w:r>
        <w:rPr>
          <w:snapToGrid w:val="0"/>
        </w:rPr>
        <w:t>.</w:t>
      </w:r>
      <w:r>
        <w:rPr>
          <w:snapToGrid w:val="0"/>
        </w:rPr>
        <w:tab/>
        <w:t>Legal proceedings to enforce provision of a service</w:t>
      </w:r>
      <w:bookmarkEnd w:id="10"/>
      <w:r>
        <w:rPr>
          <w:snapToGrid w:val="0"/>
        </w:rPr>
        <w:t xml:space="preserve"> </w:t>
      </w:r>
    </w:p>
    <w:p>
      <w:pPr>
        <w:pStyle w:val="Subsection"/>
        <w:rPr>
          <w:snapToGrid w:val="0"/>
        </w:rPr>
      </w:pPr>
      <w:r>
        <w:rPr>
          <w:snapToGrid w:val="0"/>
        </w:rPr>
        <w:tab/>
        <w:t>(1)</w:t>
      </w:r>
      <w:r>
        <w:rPr>
          <w:snapToGrid w:val="0"/>
        </w:rPr>
        <w:tab/>
        <w:t xml:space="preserve">This Act is not to be taken as providing a person with </w:t>
      </w:r>
      <w:r>
        <w:t>disability</w:t>
      </w:r>
      <w:r>
        <w:rPr>
          <w:snapToGrid w:val="0"/>
        </w:rPr>
        <w:t>,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Footnotesection"/>
      </w:pPr>
      <w:r>
        <w:tab/>
        <w:t>[Section 4 amended: No. 40 of 2012 s. 24.]</w:t>
      </w:r>
    </w:p>
    <w:p>
      <w:pPr>
        <w:pStyle w:val="Heading5"/>
        <w:rPr>
          <w:snapToGrid w:val="0"/>
        </w:rPr>
      </w:pPr>
      <w:bookmarkStart w:id="11" w:name="_Toc132298222"/>
      <w:r>
        <w:rPr>
          <w:rStyle w:val="CharSectno"/>
        </w:rPr>
        <w:t>5</w:t>
      </w:r>
      <w:r>
        <w:rPr>
          <w:snapToGrid w:val="0"/>
        </w:rPr>
        <w:t>.</w:t>
      </w:r>
      <w:r>
        <w:rPr>
          <w:snapToGrid w:val="0"/>
        </w:rPr>
        <w:tab/>
        <w:t>Crown bound</w:t>
      </w:r>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2" w:name="_Toc132191809"/>
      <w:bookmarkStart w:id="13" w:name="_Toc132191935"/>
      <w:bookmarkStart w:id="14" w:name="_Toc132298223"/>
      <w:r>
        <w:rPr>
          <w:rStyle w:val="CharPartNo"/>
        </w:rPr>
        <w:lastRenderedPageBreak/>
        <w:t>Part 2</w:t>
      </w:r>
      <w:r>
        <w:t> — </w:t>
      </w:r>
      <w:r>
        <w:rPr>
          <w:rStyle w:val="CharPartText"/>
        </w:rPr>
        <w:t>Disability Services Commission</w:t>
      </w:r>
      <w:bookmarkEnd w:id="12"/>
      <w:bookmarkEnd w:id="13"/>
      <w:bookmarkEnd w:id="14"/>
      <w:r>
        <w:rPr>
          <w:rStyle w:val="CharPartText"/>
        </w:rPr>
        <w:t xml:space="preserve"> </w:t>
      </w:r>
    </w:p>
    <w:p>
      <w:pPr>
        <w:pStyle w:val="Heading3"/>
        <w:rPr>
          <w:snapToGrid w:val="0"/>
        </w:rPr>
      </w:pPr>
      <w:bookmarkStart w:id="15" w:name="_Toc132191810"/>
      <w:bookmarkStart w:id="16" w:name="_Toc132191936"/>
      <w:bookmarkStart w:id="17" w:name="_Toc132298224"/>
      <w:r>
        <w:rPr>
          <w:rStyle w:val="CharDivNo"/>
        </w:rPr>
        <w:t>Division 1</w:t>
      </w:r>
      <w:r>
        <w:rPr>
          <w:snapToGrid w:val="0"/>
        </w:rPr>
        <w:t> — </w:t>
      </w:r>
      <w:r>
        <w:rPr>
          <w:rStyle w:val="CharDivText"/>
        </w:rPr>
        <w:t>Establishment and personnel</w:t>
      </w:r>
      <w:bookmarkEnd w:id="15"/>
      <w:bookmarkEnd w:id="16"/>
      <w:bookmarkEnd w:id="17"/>
      <w:r>
        <w:rPr>
          <w:rStyle w:val="CharDivText"/>
        </w:rPr>
        <w:t xml:space="preserve"> </w:t>
      </w:r>
    </w:p>
    <w:p>
      <w:pPr>
        <w:pStyle w:val="Heading5"/>
        <w:rPr>
          <w:snapToGrid w:val="0"/>
        </w:rPr>
      </w:pPr>
      <w:bookmarkStart w:id="18" w:name="_Toc132298225"/>
      <w:r>
        <w:rPr>
          <w:rStyle w:val="CharSectno"/>
        </w:rPr>
        <w:t>6</w:t>
      </w:r>
      <w:r>
        <w:rPr>
          <w:snapToGrid w:val="0"/>
        </w:rPr>
        <w:t>.</w:t>
      </w:r>
      <w:r>
        <w:rPr>
          <w:snapToGrid w:val="0"/>
        </w:rPr>
        <w:tab/>
        <w:t>Commission a body corporate</w:t>
      </w:r>
      <w:bookmarkEnd w:id="18"/>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No. 57 of 2004 s. 6.]</w:t>
      </w:r>
    </w:p>
    <w:p>
      <w:pPr>
        <w:pStyle w:val="Heading5"/>
        <w:rPr>
          <w:snapToGrid w:val="0"/>
        </w:rPr>
      </w:pPr>
      <w:bookmarkStart w:id="19" w:name="_Toc132298226"/>
      <w:r>
        <w:rPr>
          <w:rStyle w:val="CharSectno"/>
        </w:rPr>
        <w:t>7</w:t>
      </w:r>
      <w:r>
        <w:rPr>
          <w:snapToGrid w:val="0"/>
        </w:rPr>
        <w:t>.</w:t>
      </w:r>
      <w:r>
        <w:rPr>
          <w:snapToGrid w:val="0"/>
        </w:rPr>
        <w:tab/>
        <w:t>Board of Commission</w:t>
      </w:r>
      <w:bookmarkEnd w:id="19"/>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r>
        <w:t xml:space="preserve"> and</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r>
      <w:r>
        <w:t>disability</w:t>
      </w:r>
      <w:r>
        <w:rPr>
          <w:snapToGrid w:val="0"/>
        </w:rPr>
        <w:t>;</w:t>
      </w:r>
      <w:r>
        <w:t xml:space="preserve"> or</w:t>
      </w:r>
    </w:p>
    <w:p>
      <w:pPr>
        <w:pStyle w:val="Indenti"/>
        <w:keepNext/>
        <w:rPr>
          <w:snapToGrid w:val="0"/>
        </w:rPr>
      </w:pPr>
      <w:r>
        <w:rPr>
          <w:snapToGrid w:val="0"/>
        </w:rPr>
        <w:lastRenderedPageBreak/>
        <w:tab/>
        <w:t>(ii)</w:t>
      </w:r>
      <w:r>
        <w:rPr>
          <w:snapToGrid w:val="0"/>
        </w:rPr>
        <w:tab/>
        <w:t xml:space="preserve">a relative with </w:t>
      </w:r>
      <w:r>
        <w:t>disability</w:t>
      </w:r>
      <w:r>
        <w:rPr>
          <w:snapToGrid w:val="0"/>
        </w:rPr>
        <w:t>;</w:t>
      </w:r>
      <w:r>
        <w:t xml:space="preserve"> or</w:t>
      </w:r>
    </w:p>
    <w:p>
      <w:pPr>
        <w:pStyle w:val="Indenti"/>
        <w:rPr>
          <w:snapToGrid w:val="0"/>
        </w:rPr>
      </w:pPr>
      <w:r>
        <w:rPr>
          <w:snapToGrid w:val="0"/>
        </w:rPr>
        <w:tab/>
        <w:t>(iii)</w:t>
      </w:r>
      <w:r>
        <w:rPr>
          <w:snapToGrid w:val="0"/>
        </w:rPr>
        <w:tab/>
        <w:t xml:space="preserve">recent experience </w:t>
      </w:r>
      <w:r>
        <w:t>as a carer of</w:t>
      </w:r>
      <w:r>
        <w:rPr>
          <w:snapToGrid w:val="0"/>
        </w:rPr>
        <w:t xml:space="preserve"> a person with </w:t>
      </w:r>
      <w:r>
        <w:t>disability</w:t>
      </w:r>
      <w:r>
        <w:rPr>
          <w:snapToGrid w:val="0"/>
        </w:rPr>
        <w:t>; or</w:t>
      </w:r>
    </w:p>
    <w:p>
      <w:pPr>
        <w:pStyle w:val="Indenti"/>
        <w:rPr>
          <w:snapToGrid w:val="0"/>
        </w:rPr>
      </w:pPr>
      <w:r>
        <w:rPr>
          <w:snapToGrid w:val="0"/>
        </w:rPr>
        <w:tab/>
        <w:t>(iv)</w:t>
      </w:r>
      <w:r>
        <w:rPr>
          <w:snapToGrid w:val="0"/>
        </w:rPr>
        <w:tab/>
        <w:t>recent experience as an advocate for people with</w:t>
      </w:r>
      <w:r>
        <w:t xml:space="preserve"> disability</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at least 2 of whom are to have </w:t>
      </w:r>
      <w:r>
        <w:t>disability</w:t>
      </w:r>
      <w:r>
        <w:rPr>
          <w:snapToGrid w:val="0"/>
        </w:rPr>
        <w:t>;</w:t>
      </w:r>
      <w:r>
        <w:t xml:space="preserve"> and</w:t>
      </w:r>
    </w:p>
    <w:p>
      <w:pPr>
        <w:pStyle w:val="Indenta"/>
        <w:rPr>
          <w:snapToGrid w:val="0"/>
        </w:rPr>
      </w:pPr>
      <w:r>
        <w:rPr>
          <w:snapToGrid w:val="0"/>
        </w:rPr>
        <w:tab/>
        <w:t>(d)</w:t>
      </w:r>
      <w:r>
        <w:rPr>
          <w:snapToGrid w:val="0"/>
        </w:rPr>
        <w:tab/>
        <w:t xml:space="preserve">at least one of whom </w:t>
      </w:r>
      <w:r>
        <w:t>has recent experience as a carer of a person</w:t>
      </w:r>
      <w:r>
        <w:rPr>
          <w:snapToGrid w:val="0"/>
        </w:rPr>
        <w:t xml:space="preserve"> with </w:t>
      </w:r>
      <w:r>
        <w:t>disability</w:t>
      </w:r>
      <w:r>
        <w:rPr>
          <w:snapToGrid w:val="0"/>
        </w:rPr>
        <w:t>; and</w:t>
      </w:r>
    </w:p>
    <w:p>
      <w:pPr>
        <w:pStyle w:val="Indenta"/>
      </w:pPr>
      <w:r>
        <w:tab/>
        <w:t>(e)</w:t>
      </w:r>
      <w:r>
        <w:tab/>
        <w:t>at least 2 of whom have had recent experience in matters relevant to people with disability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w:t>
      </w:r>
      <w:r>
        <w:t xml:space="preserve"> disability</w:t>
      </w:r>
      <w:r>
        <w:rPr>
          <w:snapToGrid w:val="0"/>
        </w:rPr>
        <w:t>.</w:t>
      </w:r>
    </w:p>
    <w:p>
      <w:pPr>
        <w:pStyle w:val="Subsection"/>
        <w:rPr>
          <w:snapToGrid w:val="0"/>
        </w:rPr>
      </w:pPr>
      <w:r>
        <w:rPr>
          <w:snapToGrid w:val="0"/>
        </w:rPr>
        <w:tab/>
        <w:t>(4)</w:t>
      </w:r>
      <w:r>
        <w:rPr>
          <w:snapToGrid w:val="0"/>
        </w:rPr>
        <w:tab/>
        <w:t>Schedule 3 has effect.</w:t>
      </w:r>
    </w:p>
    <w:p>
      <w:pPr>
        <w:pStyle w:val="Footnotesection"/>
      </w:pPr>
      <w:r>
        <w:tab/>
        <w:t>[Section 7 amended: No. 57 of 2004 s. 7; No. 40 of 2012 s. 5 and 24.]</w:t>
      </w:r>
    </w:p>
    <w:p>
      <w:pPr>
        <w:pStyle w:val="Heading5"/>
        <w:rPr>
          <w:snapToGrid w:val="0"/>
        </w:rPr>
      </w:pPr>
      <w:bookmarkStart w:id="20" w:name="_Toc132298227"/>
      <w:r>
        <w:rPr>
          <w:rStyle w:val="CharSectno"/>
        </w:rPr>
        <w:t>8</w:t>
      </w:r>
      <w:r>
        <w:rPr>
          <w:snapToGrid w:val="0"/>
        </w:rPr>
        <w:t>.</w:t>
      </w:r>
      <w:r>
        <w:rPr>
          <w:snapToGrid w:val="0"/>
        </w:rPr>
        <w:tab/>
        <w:t>Chief executive officer</w:t>
      </w:r>
      <w:bookmarkEnd w:id="20"/>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lastRenderedPageBreak/>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No. 32 of 1994 s. 19.] </w:t>
      </w:r>
    </w:p>
    <w:p>
      <w:pPr>
        <w:pStyle w:val="Heading5"/>
        <w:rPr>
          <w:snapToGrid w:val="0"/>
        </w:rPr>
      </w:pPr>
      <w:bookmarkStart w:id="21" w:name="_Toc132298228"/>
      <w:r>
        <w:rPr>
          <w:rStyle w:val="CharSectno"/>
        </w:rPr>
        <w:t>9</w:t>
      </w:r>
      <w:r>
        <w:rPr>
          <w:snapToGrid w:val="0"/>
        </w:rPr>
        <w:t>.</w:t>
      </w:r>
      <w:r>
        <w:rPr>
          <w:snapToGrid w:val="0"/>
        </w:rPr>
        <w:tab/>
        <w:t>Other personnel</w:t>
      </w:r>
      <w:bookmarkEnd w:id="21"/>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No. 32 of 1994 s. 19; No. 44 of 1999 s. 6.] </w:t>
      </w:r>
    </w:p>
    <w:p>
      <w:pPr>
        <w:pStyle w:val="Heading5"/>
        <w:rPr>
          <w:snapToGrid w:val="0"/>
        </w:rPr>
      </w:pPr>
      <w:bookmarkStart w:id="22" w:name="_Toc132298229"/>
      <w:r>
        <w:rPr>
          <w:rStyle w:val="CharSectno"/>
        </w:rPr>
        <w:t>10</w:t>
      </w:r>
      <w:r>
        <w:rPr>
          <w:snapToGrid w:val="0"/>
        </w:rPr>
        <w:t>.</w:t>
      </w:r>
      <w:r>
        <w:rPr>
          <w:snapToGrid w:val="0"/>
        </w:rPr>
        <w:tab/>
        <w:t>Use of other government staff and facilities</w:t>
      </w:r>
      <w:bookmarkEnd w:id="22"/>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No. 32 of 1994 s. 19.] </w:t>
      </w:r>
    </w:p>
    <w:p>
      <w:pPr>
        <w:pStyle w:val="Heading5"/>
        <w:rPr>
          <w:snapToGrid w:val="0"/>
        </w:rPr>
      </w:pPr>
      <w:bookmarkStart w:id="23" w:name="_Toc132298230"/>
      <w:r>
        <w:rPr>
          <w:rStyle w:val="CharSectno"/>
        </w:rPr>
        <w:t>11</w:t>
      </w:r>
      <w:r>
        <w:rPr>
          <w:snapToGrid w:val="0"/>
        </w:rPr>
        <w:t>.</w:t>
      </w:r>
      <w:r>
        <w:rPr>
          <w:snapToGrid w:val="0"/>
        </w:rPr>
        <w:tab/>
        <w:t>Superannuation and leave entitlements</w:t>
      </w:r>
      <w:bookmarkEnd w:id="23"/>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4" w:name="_Toc132191817"/>
      <w:bookmarkStart w:id="25" w:name="_Toc132191943"/>
      <w:bookmarkStart w:id="26" w:name="_Toc132298231"/>
      <w:r>
        <w:rPr>
          <w:rStyle w:val="CharDivNo"/>
        </w:rPr>
        <w:lastRenderedPageBreak/>
        <w:t>Division 2</w:t>
      </w:r>
      <w:r>
        <w:rPr>
          <w:snapToGrid w:val="0"/>
        </w:rPr>
        <w:t> — </w:t>
      </w:r>
      <w:r>
        <w:rPr>
          <w:rStyle w:val="CharDivText"/>
        </w:rPr>
        <w:t>Functions</w:t>
      </w:r>
      <w:bookmarkEnd w:id="24"/>
      <w:bookmarkEnd w:id="25"/>
      <w:bookmarkEnd w:id="26"/>
      <w:r>
        <w:rPr>
          <w:rStyle w:val="CharDivText"/>
        </w:rPr>
        <w:t xml:space="preserve"> </w:t>
      </w:r>
    </w:p>
    <w:p>
      <w:pPr>
        <w:pStyle w:val="Heading5"/>
        <w:rPr>
          <w:snapToGrid w:val="0"/>
        </w:rPr>
      </w:pPr>
      <w:bookmarkStart w:id="27" w:name="_Toc132298232"/>
      <w:r>
        <w:rPr>
          <w:rStyle w:val="CharSectno"/>
        </w:rPr>
        <w:t>12</w:t>
      </w:r>
      <w:r>
        <w:rPr>
          <w:snapToGrid w:val="0"/>
        </w:rPr>
        <w:t>.</w:t>
      </w:r>
      <w:r>
        <w:rPr>
          <w:snapToGrid w:val="0"/>
        </w:rPr>
        <w:tab/>
        <w:t>Functions of Commission</w:t>
      </w:r>
      <w:bookmarkEnd w:id="27"/>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 xml:space="preserve">to establish local and other bodies representative of people with </w:t>
      </w:r>
      <w:r>
        <w:t>disability</w:t>
      </w:r>
      <w:r>
        <w:rPr>
          <w:snapToGrid w:val="0"/>
        </w:rPr>
        <w:t>, their families, guardians and other interested people to advise the Commission on such matters as it specifies;</w:t>
      </w:r>
      <w:r>
        <w:t xml:space="preserve"> and</w:t>
      </w:r>
    </w:p>
    <w:p>
      <w:pPr>
        <w:pStyle w:val="Indenta"/>
        <w:rPr>
          <w:snapToGrid w:val="0"/>
        </w:rPr>
      </w:pPr>
      <w:r>
        <w:rPr>
          <w:snapToGrid w:val="0"/>
        </w:rPr>
        <w:tab/>
        <w:t>(b)</w:t>
      </w:r>
      <w:r>
        <w:rPr>
          <w:snapToGrid w:val="0"/>
        </w:rPr>
        <w:tab/>
        <w:t>to develop policies for the provision</w:t>
      </w:r>
      <w:r>
        <w:t>, encouragement and facilitation of disability services; and</w:t>
      </w:r>
    </w:p>
    <w:p>
      <w:pPr>
        <w:pStyle w:val="Indenta"/>
        <w:rPr>
          <w:snapToGrid w:val="0"/>
        </w:rPr>
      </w:pPr>
      <w:r>
        <w:rPr>
          <w:snapToGrid w:val="0"/>
        </w:rPr>
        <w:tab/>
        <w:t>(c)</w:t>
      </w:r>
      <w:r>
        <w:rPr>
          <w:snapToGrid w:val="0"/>
        </w:rPr>
        <w:tab/>
        <w:t>to make grants under Part 4 and to ensure that the use of grants is accounted for to the Commission;</w:t>
      </w:r>
      <w:r>
        <w:t xml:space="preserve"> and</w:t>
      </w:r>
    </w:p>
    <w:p>
      <w:pPr>
        <w:pStyle w:val="Indenta"/>
        <w:rPr>
          <w:snapToGrid w:val="0"/>
        </w:rPr>
      </w:pPr>
      <w:r>
        <w:rPr>
          <w:snapToGrid w:val="0"/>
        </w:rPr>
        <w:tab/>
        <w:t>(d)</w:t>
      </w:r>
      <w:r>
        <w:rPr>
          <w:snapToGrid w:val="0"/>
        </w:rPr>
        <w:tab/>
        <w:t>to provide and to encourage and facilitate the provision of</w:t>
      </w:r>
      <w:r>
        <w:t xml:space="preserve"> disability services; and</w:t>
      </w:r>
    </w:p>
    <w:p>
      <w:pPr>
        <w:pStyle w:val="Indenta"/>
        <w:rPr>
          <w:snapToGrid w:val="0"/>
        </w:rPr>
      </w:pPr>
      <w:r>
        <w:rPr>
          <w:snapToGrid w:val="0"/>
        </w:rPr>
        <w:tab/>
        <w:t>(e)</w:t>
      </w:r>
      <w:r>
        <w:rPr>
          <w:snapToGrid w:val="0"/>
        </w:rPr>
        <w:tab/>
        <w:t xml:space="preserve">to encourage people who provide services to the general public to adapt those services to meet the needs of people with </w:t>
      </w:r>
      <w:r>
        <w:t>disability</w:t>
      </w:r>
      <w:r>
        <w:rPr>
          <w:snapToGrid w:val="0"/>
        </w:rPr>
        <w:t>;</w:t>
      </w:r>
      <w:r>
        <w:t xml:space="preserve"> and</w:t>
      </w:r>
    </w:p>
    <w:p>
      <w:pPr>
        <w:pStyle w:val="Indenta"/>
        <w:rPr>
          <w:snapToGrid w:val="0"/>
        </w:rPr>
      </w:pPr>
      <w:r>
        <w:rPr>
          <w:snapToGrid w:val="0"/>
        </w:rPr>
        <w:tab/>
        <w:t>(f)</w:t>
      </w:r>
      <w:r>
        <w:rPr>
          <w:snapToGrid w:val="0"/>
        </w:rPr>
        <w:tab/>
        <w:t xml:space="preserve">to inform people with </w:t>
      </w:r>
      <w:r>
        <w:t>disability</w:t>
      </w:r>
      <w:r>
        <w:rPr>
          <w:snapToGrid w:val="0"/>
        </w:rPr>
        <w:t xml:space="preserve"> about services available to them specifically, and about services available to the general public which meet the needs of people with </w:t>
      </w:r>
      <w:r>
        <w:t>disability</w:t>
      </w:r>
      <w:r>
        <w:rPr>
          <w:snapToGrid w:val="0"/>
        </w:rPr>
        <w:t>, and to promote the use by them of such services;</w:t>
      </w:r>
      <w:r>
        <w:t xml:space="preserve"> and</w:t>
      </w:r>
    </w:p>
    <w:p>
      <w:pPr>
        <w:pStyle w:val="Indenta"/>
        <w:rPr>
          <w:snapToGrid w:val="0"/>
        </w:rPr>
      </w:pPr>
      <w:r>
        <w:rPr>
          <w:snapToGrid w:val="0"/>
        </w:rPr>
        <w:tab/>
        <w:t>(g)</w:t>
      </w:r>
      <w:r>
        <w:rPr>
          <w:snapToGrid w:val="0"/>
        </w:rPr>
        <w:tab/>
        <w:t xml:space="preserve">to inform the general public, or any section of it, about people with </w:t>
      </w:r>
      <w:r>
        <w:t>disability</w:t>
      </w:r>
      <w:r>
        <w:rPr>
          <w:snapToGrid w:val="0"/>
        </w:rPr>
        <w:t xml:space="preserve"> and to promote the acceptance by the general public, or any section of it, of the principles in Schedule 1;</w:t>
      </w:r>
      <w:r>
        <w:t xml:space="preserve"> and</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r>
        <w:t xml:space="preserve"> and</w:t>
      </w:r>
    </w:p>
    <w:p>
      <w:pPr>
        <w:pStyle w:val="Indenta"/>
      </w:pPr>
      <w:r>
        <w:tab/>
        <w:t>(i)</w:t>
      </w:r>
      <w:r>
        <w:tab/>
        <w:t>to adopt Disability Services Standards as prescribed in relation to people with disability other than residents, and with such modification as is prescribed, and ensure that those standards are met by service providers; and</w:t>
      </w:r>
    </w:p>
    <w:p>
      <w:pPr>
        <w:pStyle w:val="Indenta"/>
        <w:keepNext/>
        <w:rPr>
          <w:snapToGrid w:val="0"/>
        </w:rPr>
      </w:pPr>
      <w:r>
        <w:rPr>
          <w:snapToGrid w:val="0"/>
        </w:rPr>
        <w:lastRenderedPageBreak/>
        <w:tab/>
        <w:t>(j)</w:t>
      </w:r>
      <w:r>
        <w:rPr>
          <w:snapToGrid w:val="0"/>
        </w:rPr>
        <w:tab/>
        <w:t xml:space="preserve">to investigate and make submissions about the effect of written laws on people with </w:t>
      </w:r>
      <w:r>
        <w:t>disability</w:t>
      </w:r>
      <w:r>
        <w:rPr>
          <w:snapToGrid w:val="0"/>
        </w:rPr>
        <w:t>;</w:t>
      </w:r>
      <w:r>
        <w:t xml:space="preserve"> and</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w:t>
      </w:r>
      <w:r>
        <w:t xml:space="preserve"> functions; and</w:t>
      </w:r>
    </w:p>
    <w:p>
      <w:pPr>
        <w:pStyle w:val="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Subsection"/>
      </w:pPr>
      <w:r>
        <w:tab/>
        <w:t>(4)</w:t>
      </w:r>
      <w:r>
        <w:tab/>
        <w:t>The provisions of this Act set out in the Table do not apply to the Commission in performing its functions under subsection (1)(m).</w:t>
      </w:r>
    </w:p>
    <w:p>
      <w:pPr>
        <w:pStyle w:val="THeading"/>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410"/>
      </w:tblGrid>
      <w:tr>
        <w:trPr>
          <w:tblHeader/>
        </w:trPr>
        <w:tc>
          <w:tcPr>
            <w:tcW w:w="2552" w:type="dxa"/>
          </w:tcPr>
          <w:p>
            <w:pPr>
              <w:pStyle w:val="TableNAm"/>
              <w:jc w:val="center"/>
            </w:pPr>
            <w:r>
              <w:rPr>
                <w:b/>
                <w:bCs/>
              </w:rPr>
              <w:t>Provision</w:t>
            </w:r>
          </w:p>
        </w:tc>
        <w:tc>
          <w:tcPr>
            <w:tcW w:w="2410" w:type="dxa"/>
          </w:tcPr>
          <w:p>
            <w:pPr>
              <w:pStyle w:val="TableNAm"/>
              <w:jc w:val="center"/>
            </w:pPr>
            <w:r>
              <w:rPr>
                <w:b/>
                <w:bCs/>
              </w:rPr>
              <w:t>Provision</w:t>
            </w:r>
          </w:p>
        </w:tc>
      </w:tr>
      <w:tr>
        <w:tc>
          <w:tcPr>
            <w:tcW w:w="2552" w:type="dxa"/>
          </w:tcPr>
          <w:p>
            <w:pPr>
              <w:pStyle w:val="TableNAm"/>
            </w:pPr>
            <w:r>
              <w:t>s. 12(3)</w:t>
            </w:r>
          </w:p>
        </w:tc>
        <w:tc>
          <w:tcPr>
            <w:tcW w:w="2410" w:type="dxa"/>
          </w:tcPr>
          <w:p>
            <w:pPr>
              <w:pStyle w:val="TableNAm"/>
            </w:pPr>
            <w:r>
              <w:t>Part 4</w:t>
            </w:r>
          </w:p>
        </w:tc>
      </w:tr>
      <w:tr>
        <w:tc>
          <w:tcPr>
            <w:tcW w:w="2552" w:type="dxa"/>
          </w:tcPr>
          <w:p>
            <w:pPr>
              <w:pStyle w:val="TableNAm"/>
            </w:pPr>
            <w:r>
              <w:t>Part 4A</w:t>
            </w:r>
          </w:p>
        </w:tc>
        <w:tc>
          <w:tcPr>
            <w:tcW w:w="2410" w:type="dxa"/>
          </w:tcPr>
          <w:p>
            <w:pPr>
              <w:pStyle w:val="TableNAm"/>
            </w:pPr>
            <w:r>
              <w:t>s. 51</w:t>
            </w:r>
          </w:p>
        </w:tc>
      </w:tr>
      <w:tr>
        <w:tc>
          <w:tcPr>
            <w:tcW w:w="2552" w:type="dxa"/>
          </w:tcPr>
          <w:p>
            <w:pPr>
              <w:pStyle w:val="TableNAm"/>
            </w:pPr>
            <w:r>
              <w:t>s. 52</w:t>
            </w:r>
          </w:p>
        </w:tc>
        <w:tc>
          <w:tcPr>
            <w:tcW w:w="2410" w:type="dxa"/>
          </w:tcPr>
          <w:p>
            <w:pPr>
              <w:pStyle w:val="TableNAm"/>
            </w:pPr>
            <w:r>
              <w:t>s. 53</w:t>
            </w:r>
          </w:p>
        </w:tc>
      </w:tr>
      <w:tr>
        <w:tc>
          <w:tcPr>
            <w:tcW w:w="2552" w:type="dxa"/>
          </w:tcPr>
          <w:p>
            <w:pPr>
              <w:pStyle w:val="TableNAm"/>
            </w:pPr>
            <w:r>
              <w:t>s. 54</w:t>
            </w:r>
          </w:p>
        </w:tc>
        <w:tc>
          <w:tcPr>
            <w:tcW w:w="2410" w:type="dxa"/>
          </w:tcPr>
          <w:p>
            <w:pPr>
              <w:pStyle w:val="TableNAm"/>
            </w:pPr>
            <w:r>
              <w:t>s. 56</w:t>
            </w:r>
          </w:p>
        </w:tc>
      </w:tr>
      <w:tr>
        <w:tc>
          <w:tcPr>
            <w:tcW w:w="2552" w:type="dxa"/>
          </w:tcPr>
          <w:p>
            <w:pPr>
              <w:pStyle w:val="TableNAm"/>
            </w:pPr>
            <w:r>
              <w:lastRenderedPageBreak/>
              <w:t>s. 57</w:t>
            </w:r>
          </w:p>
        </w:tc>
        <w:tc>
          <w:tcPr>
            <w:tcW w:w="2410" w:type="dxa"/>
          </w:tcPr>
          <w:p>
            <w:pPr>
              <w:pStyle w:val="TableNAm"/>
            </w:pPr>
          </w:p>
        </w:tc>
      </w:tr>
    </w:tbl>
    <w:p>
      <w:pPr>
        <w:pStyle w:val="Footnotesection"/>
      </w:pPr>
      <w:r>
        <w:tab/>
        <w:t>[Section 12 amended: No. 44 of 1999 s. 7; No. 57 of 2004 s. 8; No. 40 of 2012 s. 6 and 24; No. 4 of 2015 s. 71.]</w:t>
      </w:r>
    </w:p>
    <w:p>
      <w:pPr>
        <w:pStyle w:val="Heading5"/>
      </w:pPr>
      <w:bookmarkStart w:id="28" w:name="_Toc132298233"/>
      <w:r>
        <w:rPr>
          <w:rStyle w:val="CharSectno"/>
        </w:rPr>
        <w:t>12A</w:t>
      </w:r>
      <w:r>
        <w:t>.</w:t>
      </w:r>
      <w:r>
        <w:tab/>
        <w:t>Contracts to provide goods or services to Commission</w:t>
      </w:r>
      <w:bookmarkEnd w:id="28"/>
    </w:p>
    <w:p>
      <w:pPr>
        <w:pStyle w:val="Subsection"/>
      </w:pPr>
      <w:r>
        <w:tab/>
        <w:t>(1)</w:t>
      </w:r>
      <w:r>
        <w:tab/>
        <w:t xml:space="preserve">Subject to the </w:t>
      </w:r>
      <w:r>
        <w:rPr>
          <w:i/>
        </w:rPr>
        <w:t xml:space="preserve">Procurement Act 2020 </w:t>
      </w:r>
      <w:r>
        <w:t>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No. 44 of 1999 s. 8; amended: No. 24 of 2020 s. 58.]</w:t>
      </w:r>
    </w:p>
    <w:p>
      <w:pPr>
        <w:pStyle w:val="Heading5"/>
        <w:rPr>
          <w:snapToGrid w:val="0"/>
        </w:rPr>
      </w:pPr>
      <w:bookmarkStart w:id="29" w:name="_Toc132298234"/>
      <w:r>
        <w:rPr>
          <w:rStyle w:val="CharSectno"/>
        </w:rPr>
        <w:t>13</w:t>
      </w:r>
      <w:r>
        <w:rPr>
          <w:snapToGrid w:val="0"/>
        </w:rPr>
        <w:t>.</w:t>
      </w:r>
      <w:r>
        <w:rPr>
          <w:snapToGrid w:val="0"/>
        </w:rPr>
        <w:tab/>
        <w:t>Power to fix fees and charges</w:t>
      </w:r>
      <w:bookmarkEnd w:id="29"/>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lastRenderedPageBreak/>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30" w:name="_Toc132298235"/>
      <w:r>
        <w:rPr>
          <w:rStyle w:val="CharSectno"/>
        </w:rPr>
        <w:t>14</w:t>
      </w:r>
      <w:r>
        <w:rPr>
          <w:snapToGrid w:val="0"/>
        </w:rPr>
        <w:t>.</w:t>
      </w:r>
      <w:r>
        <w:rPr>
          <w:snapToGrid w:val="0"/>
        </w:rPr>
        <w:tab/>
        <w:t>Delegation</w:t>
      </w:r>
      <w:bookmarkEnd w:id="3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31" w:name="_Toc132191822"/>
      <w:bookmarkStart w:id="32" w:name="_Toc132191948"/>
      <w:bookmarkStart w:id="33" w:name="_Toc132298236"/>
      <w:r>
        <w:rPr>
          <w:rStyle w:val="CharDivNo"/>
        </w:rPr>
        <w:t>Division 3</w:t>
      </w:r>
      <w:r>
        <w:rPr>
          <w:snapToGrid w:val="0"/>
        </w:rPr>
        <w:t> — </w:t>
      </w:r>
      <w:r>
        <w:rPr>
          <w:rStyle w:val="CharDivText"/>
        </w:rPr>
        <w:t>Financial provisions</w:t>
      </w:r>
      <w:bookmarkEnd w:id="31"/>
      <w:bookmarkEnd w:id="32"/>
      <w:bookmarkEnd w:id="33"/>
      <w:r>
        <w:rPr>
          <w:rStyle w:val="CharDivText"/>
        </w:rPr>
        <w:t xml:space="preserve"> </w:t>
      </w:r>
    </w:p>
    <w:p>
      <w:pPr>
        <w:pStyle w:val="Heading5"/>
        <w:rPr>
          <w:snapToGrid w:val="0"/>
        </w:rPr>
      </w:pPr>
      <w:bookmarkStart w:id="34" w:name="_Toc132298237"/>
      <w:r>
        <w:rPr>
          <w:rStyle w:val="CharSectno"/>
        </w:rPr>
        <w:t>15</w:t>
      </w:r>
      <w:r>
        <w:rPr>
          <w:snapToGrid w:val="0"/>
        </w:rPr>
        <w:t>.</w:t>
      </w:r>
      <w:r>
        <w:rPr>
          <w:snapToGrid w:val="0"/>
        </w:rPr>
        <w:tab/>
        <w:t>Funds of Commission</w:t>
      </w:r>
      <w:bookmarkEnd w:id="34"/>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Commission in the performance of its functions; and</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lastRenderedPageBreak/>
        <w:tab/>
      </w:r>
      <w:r>
        <w:tab/>
        <w:t>to which the funds referred to in subsection (1) are to be credited.</w:t>
      </w:r>
    </w:p>
    <w:p>
      <w:pPr>
        <w:pStyle w:val="Subsection"/>
        <w:keepNext/>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salaries and wages of the Commission’s personnel; and</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No. 28 of 2006 s. 157; No. 77 of 2006 Sch. 1 cl. 45(1).]</w:t>
      </w:r>
    </w:p>
    <w:p>
      <w:pPr>
        <w:pStyle w:val="Heading5"/>
        <w:spacing w:before="240"/>
        <w:rPr>
          <w:snapToGrid w:val="0"/>
        </w:rPr>
      </w:pPr>
      <w:bookmarkStart w:id="35" w:name="_Toc132298238"/>
      <w:r>
        <w:rPr>
          <w:rStyle w:val="CharSectno"/>
        </w:rPr>
        <w:t>16</w:t>
      </w:r>
      <w:r>
        <w:rPr>
          <w:snapToGrid w:val="0"/>
        </w:rPr>
        <w:t>.</w:t>
      </w:r>
      <w:r>
        <w:rPr>
          <w:snapToGrid w:val="0"/>
        </w:rPr>
        <w:tab/>
        <w:t>Borrowing from Treasurer</w:t>
      </w:r>
      <w:bookmarkEnd w:id="35"/>
      <w:r>
        <w:rPr>
          <w:snapToGrid w:val="0"/>
        </w:rPr>
        <w:t xml:space="preserve"> </w:t>
      </w:r>
    </w:p>
    <w:p>
      <w:pPr>
        <w:pStyle w:val="Subsection"/>
        <w:spacing w:before="18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8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6" w:name="_Toc132298239"/>
      <w:r>
        <w:rPr>
          <w:rStyle w:val="CharSectno"/>
        </w:rPr>
        <w:t>17</w:t>
      </w:r>
      <w:r>
        <w:rPr>
          <w:snapToGrid w:val="0"/>
        </w:rPr>
        <w:t>.</w:t>
      </w:r>
      <w:r>
        <w:rPr>
          <w:snapToGrid w:val="0"/>
        </w:rPr>
        <w:tab/>
        <w:t>Borrowing generally</w:t>
      </w:r>
      <w:bookmarkEnd w:id="36"/>
      <w:r>
        <w:rPr>
          <w:snapToGrid w:val="0"/>
        </w:rPr>
        <w:t xml:space="preserve"> </w:t>
      </w:r>
    </w:p>
    <w:p>
      <w:pPr>
        <w:pStyle w:val="Subsection"/>
        <w:keepNext/>
        <w:keepLines/>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lastRenderedPageBreak/>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7" w:name="_Toc132298240"/>
      <w:r>
        <w:rPr>
          <w:rStyle w:val="CharSectno"/>
        </w:rPr>
        <w:t>18</w:t>
      </w:r>
      <w:r>
        <w:rPr>
          <w:snapToGrid w:val="0"/>
        </w:rPr>
        <w:t>.</w:t>
      </w:r>
      <w:r>
        <w:rPr>
          <w:snapToGrid w:val="0"/>
        </w:rPr>
        <w:tab/>
        <w:t>Treasurer’s guarantee</w:t>
      </w:r>
      <w:bookmarkEnd w:id="3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lastRenderedPageBreak/>
        <w:tab/>
        <w:t>(7)</w:t>
      </w:r>
      <w:r>
        <w:rPr>
          <w:snapToGrid w:val="0"/>
        </w:rPr>
        <w:tab/>
        <w:t>Payment of charges fixed under subsection (6) is to be made at such time or times as the Treasurer determines.</w:t>
      </w:r>
    </w:p>
    <w:p>
      <w:pPr>
        <w:pStyle w:val="Footnotesection"/>
      </w:pPr>
      <w:r>
        <w:tab/>
        <w:t>[Section 18 amended: No. 77 of 2006 s. 4.]</w:t>
      </w:r>
    </w:p>
    <w:p>
      <w:pPr>
        <w:pStyle w:val="Heading5"/>
        <w:rPr>
          <w:snapToGrid w:val="0"/>
        </w:rPr>
      </w:pPr>
      <w:bookmarkStart w:id="38" w:name="_Toc132298241"/>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No. 77 of 2006 Sch. 1 cl. 45(2).]</w:t>
      </w:r>
    </w:p>
    <w:p>
      <w:pPr>
        <w:pStyle w:val="Heading3"/>
        <w:rPr>
          <w:snapToGrid w:val="0"/>
        </w:rPr>
      </w:pPr>
      <w:bookmarkStart w:id="39" w:name="_Toc132191828"/>
      <w:bookmarkStart w:id="40" w:name="_Toc132191954"/>
      <w:bookmarkStart w:id="41" w:name="_Toc132298242"/>
      <w:r>
        <w:rPr>
          <w:rStyle w:val="CharDivNo"/>
        </w:rPr>
        <w:t>Division 4</w:t>
      </w:r>
      <w:r>
        <w:rPr>
          <w:snapToGrid w:val="0"/>
        </w:rPr>
        <w:t> — </w:t>
      </w:r>
      <w:r>
        <w:rPr>
          <w:rStyle w:val="CharDivText"/>
        </w:rPr>
        <w:t>Relationship with the Minister</w:t>
      </w:r>
      <w:bookmarkEnd w:id="39"/>
      <w:bookmarkEnd w:id="40"/>
      <w:bookmarkEnd w:id="41"/>
      <w:r>
        <w:rPr>
          <w:rStyle w:val="CharDivText"/>
        </w:rPr>
        <w:t xml:space="preserve"> </w:t>
      </w:r>
    </w:p>
    <w:p>
      <w:pPr>
        <w:pStyle w:val="Heading5"/>
        <w:rPr>
          <w:snapToGrid w:val="0"/>
        </w:rPr>
      </w:pPr>
      <w:bookmarkStart w:id="42" w:name="_Toc132298243"/>
      <w:r>
        <w:rPr>
          <w:rStyle w:val="CharSectno"/>
        </w:rPr>
        <w:t>20</w:t>
      </w:r>
      <w:r>
        <w:rPr>
          <w:snapToGrid w:val="0"/>
        </w:rPr>
        <w:t>.</w:t>
      </w:r>
      <w:r>
        <w:rPr>
          <w:snapToGrid w:val="0"/>
        </w:rPr>
        <w:tab/>
        <w:t>Minister may give directions</w:t>
      </w:r>
      <w:bookmarkEnd w:id="42"/>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No. 77 of 2006 Sch. 1 cl. 45(3).]</w:t>
      </w:r>
    </w:p>
    <w:p>
      <w:pPr>
        <w:pStyle w:val="Heading5"/>
        <w:rPr>
          <w:snapToGrid w:val="0"/>
        </w:rPr>
      </w:pPr>
      <w:bookmarkStart w:id="43" w:name="_Toc132298244"/>
      <w:r>
        <w:rPr>
          <w:rStyle w:val="CharSectno"/>
        </w:rPr>
        <w:t>21</w:t>
      </w:r>
      <w:r>
        <w:rPr>
          <w:snapToGrid w:val="0"/>
        </w:rPr>
        <w:t>.</w:t>
      </w:r>
      <w:r>
        <w:rPr>
          <w:snapToGrid w:val="0"/>
        </w:rPr>
        <w:tab/>
        <w:t>Minister to have access to information</w:t>
      </w:r>
      <w:bookmarkEnd w:id="43"/>
      <w:r>
        <w:rPr>
          <w:snapToGrid w:val="0"/>
        </w:rPr>
        <w:t xml:space="preserve"> </w:t>
      </w:r>
    </w:p>
    <w:p>
      <w:pPr>
        <w:pStyle w:val="Subsection"/>
        <w:rPr>
          <w:snapToGrid w:val="0"/>
        </w:rPr>
      </w:pPr>
      <w:r>
        <w:rPr>
          <w:snapToGrid w:val="0"/>
        </w:rPr>
        <w:tab/>
        <w:t>(1)</w:t>
      </w:r>
      <w:r>
        <w:rPr>
          <w:snapToGrid w:val="0"/>
        </w:rPr>
        <w:tab/>
      </w:r>
      <w:r>
        <w:t>The</w:t>
      </w:r>
      <w:r>
        <w:rPr>
          <w:snapToGrid w:val="0"/>
        </w:rPr>
        <w:t xml:space="preserv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lastRenderedPageBreak/>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w:t>
      </w:r>
      <w:r>
        <w:t xml:space="preserve"> disability other than a resident;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pPr>
      <w:r>
        <w:tab/>
        <w:t>(5A)</w:t>
      </w:r>
      <w:r>
        <w:tab/>
        <w:t xml:space="preserve">The Minister is not entitled to have information under this section in a form that — </w:t>
      </w:r>
    </w:p>
    <w:p>
      <w:pPr>
        <w:pStyle w:val="Indenta"/>
      </w:pPr>
      <w:r>
        <w:tab/>
        <w:t>(a)</w:t>
      </w:r>
      <w:r>
        <w:tab/>
        <w:t>discloses the identity of a resident involved in a particular application, complaint or proceeding; or</w:t>
      </w:r>
    </w:p>
    <w:p>
      <w:pPr>
        <w:pStyle w:val="Indenta"/>
      </w:pPr>
      <w:r>
        <w:tab/>
        <w:t>(b)</w:t>
      </w:r>
      <w:r>
        <w:tab/>
        <w:t>might enable the identity of any such resident to be ascertained,</w:t>
      </w:r>
    </w:p>
    <w:p>
      <w:pPr>
        <w:pStyle w:val="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lastRenderedPageBreak/>
        <w:tab/>
      </w:r>
      <w:r>
        <w:rPr>
          <w:rStyle w:val="CharDefText"/>
        </w:rPr>
        <w:t>information</w:t>
      </w:r>
      <w:r>
        <w:t xml:space="preserve"> means information specified, or of a description specified, by the Minister that relates to the functions of the Commission.</w:t>
      </w:r>
    </w:p>
    <w:p>
      <w:pPr>
        <w:pStyle w:val="Footnotesection"/>
      </w:pPr>
      <w:r>
        <w:tab/>
        <w:t>[Section 21 amended: No. 40 of 2012 s. 24; No. 4 of 2015 s. 72.]</w:t>
      </w:r>
    </w:p>
    <w:p>
      <w:pPr>
        <w:pStyle w:val="Heading5"/>
      </w:pPr>
      <w:bookmarkStart w:id="44" w:name="_Toc132298245"/>
      <w:r>
        <w:rPr>
          <w:rStyle w:val="CharSectno"/>
        </w:rPr>
        <w:t>21A</w:t>
      </w:r>
      <w:r>
        <w:t>.</w:t>
      </w:r>
      <w:r>
        <w:tab/>
      </w:r>
      <w:r>
        <w:rPr>
          <w:rStyle w:val="CharSectno"/>
        </w:rPr>
        <w:t>Notification of general policies of Government</w:t>
      </w:r>
      <w:bookmarkEnd w:id="44"/>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No. 44 of 1999 s. 9.]</w:t>
      </w:r>
    </w:p>
    <w:p>
      <w:pPr>
        <w:pStyle w:val="Heading5"/>
      </w:pPr>
      <w:bookmarkStart w:id="45" w:name="_Toc132298246"/>
      <w:r>
        <w:rPr>
          <w:rStyle w:val="CharSectno"/>
        </w:rPr>
        <w:t>21B</w:t>
      </w:r>
      <w:r>
        <w:t>.</w:t>
      </w:r>
      <w:r>
        <w:tab/>
        <w:t>Minister to be consulted on major initiatives</w:t>
      </w:r>
      <w:bookmarkEnd w:id="45"/>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disability, service developers, service providers or carers.</w:t>
      </w:r>
    </w:p>
    <w:p>
      <w:pPr>
        <w:pStyle w:val="Footnotesection"/>
      </w:pPr>
      <w:r>
        <w:tab/>
        <w:t>[Section 21B inserted: No. 44 of 1999 s. 9; amended: No. 57 of 2004 s. 9; No. 40 of 2012 s. 24.]</w:t>
      </w:r>
    </w:p>
    <w:p>
      <w:pPr>
        <w:pStyle w:val="Heading2"/>
      </w:pPr>
      <w:bookmarkStart w:id="46" w:name="_Toc132191833"/>
      <w:bookmarkStart w:id="47" w:name="_Toc132191959"/>
      <w:bookmarkStart w:id="48" w:name="_Toc132298247"/>
      <w:r>
        <w:rPr>
          <w:rStyle w:val="CharPartNo"/>
        </w:rPr>
        <w:lastRenderedPageBreak/>
        <w:t>Part 3</w:t>
      </w:r>
      <w:r>
        <w:rPr>
          <w:rStyle w:val="CharDivNo"/>
        </w:rPr>
        <w:t> </w:t>
      </w:r>
      <w:r>
        <w:t>—</w:t>
      </w:r>
      <w:r>
        <w:rPr>
          <w:rStyle w:val="CharDivText"/>
        </w:rPr>
        <w:t> </w:t>
      </w:r>
      <w:r>
        <w:rPr>
          <w:rStyle w:val="CharPartText"/>
        </w:rPr>
        <w:t>Ministerial Advisory Council on Disability</w:t>
      </w:r>
      <w:bookmarkEnd w:id="46"/>
      <w:bookmarkEnd w:id="47"/>
      <w:bookmarkEnd w:id="48"/>
    </w:p>
    <w:p>
      <w:pPr>
        <w:pStyle w:val="Footnoteheading"/>
        <w:ind w:left="851"/>
      </w:pPr>
      <w:r>
        <w:tab/>
        <w:t>[Heading inserted: No. 44 of 1999 s. 10; amended: No. 57 of 2004 s. 10.]</w:t>
      </w:r>
    </w:p>
    <w:p>
      <w:pPr>
        <w:pStyle w:val="Heading5"/>
        <w:rPr>
          <w:snapToGrid w:val="0"/>
        </w:rPr>
      </w:pPr>
      <w:bookmarkStart w:id="49" w:name="_Toc132298248"/>
      <w:r>
        <w:rPr>
          <w:rStyle w:val="CharSectno"/>
        </w:rPr>
        <w:t>22</w:t>
      </w:r>
      <w:r>
        <w:t>.</w:t>
      </w:r>
      <w:r>
        <w:tab/>
        <w:t>Council established</w:t>
      </w:r>
      <w:bookmarkEnd w:id="49"/>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disability, or </w:t>
      </w:r>
      <w:r>
        <w:rPr>
          <w:snapToGrid w:val="0"/>
        </w:rPr>
        <w:t xml:space="preserve">knowledge of, and experience in, matters relevant to people with </w:t>
      </w:r>
      <w:r>
        <w:t>disability</w:t>
      </w:r>
      <w:r>
        <w:rPr>
          <w:snapToGrid w:val="0"/>
        </w:rPr>
        <w:t>; and</w:t>
      </w:r>
    </w:p>
    <w:p>
      <w:pPr>
        <w:pStyle w:val="Indenta"/>
      </w:pPr>
      <w:r>
        <w:rPr>
          <w:snapToGrid w:val="0"/>
        </w:rPr>
        <w:tab/>
        <w:t>(b)</w:t>
      </w:r>
      <w:r>
        <w:rPr>
          <w:snapToGrid w:val="0"/>
        </w:rPr>
        <w:tab/>
        <w:t xml:space="preserve">they reflect the interests of the entire spectrum of </w:t>
      </w:r>
      <w:r>
        <w:t>disability</w:t>
      </w:r>
      <w:r>
        <w:rPr>
          <w:snapToGrid w:val="0"/>
        </w:rPr>
        <w:t xml:space="preserve">; </w:t>
      </w:r>
      <w:r>
        <w:t>and</w:t>
      </w:r>
    </w:p>
    <w:p>
      <w:pPr>
        <w:pStyle w:val="Indenta"/>
      </w:pPr>
      <w:r>
        <w:tab/>
        <w:t>(ca)</w:t>
      </w:r>
      <w:r>
        <w:tab/>
        <w:t>at least 2 of them have had recent experience as a carer of a person with disability; and</w:t>
      </w:r>
    </w:p>
    <w:p>
      <w:pPr>
        <w:pStyle w:val="Indenta"/>
      </w:pPr>
      <w:r>
        <w:tab/>
        <w:t>(c)</w:t>
      </w:r>
      <w:r>
        <w:tab/>
        <w:t xml:space="preserve">at least 2 of them have had recent experience </w:t>
      </w:r>
      <w:r>
        <w:rPr>
          <w:snapToGrid w:val="0"/>
        </w:rPr>
        <w:t xml:space="preserve">in matters relevant to people with </w:t>
      </w:r>
      <w:r>
        <w:t>disability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No. 57 of 2004 s. 11(1); amended: No. 40 of 2012 s. 7 and 24.]</w:t>
      </w:r>
    </w:p>
    <w:p>
      <w:pPr>
        <w:pStyle w:val="Heading5"/>
        <w:rPr>
          <w:snapToGrid w:val="0"/>
        </w:rPr>
      </w:pPr>
      <w:bookmarkStart w:id="50" w:name="_Toc132298249"/>
      <w:r>
        <w:rPr>
          <w:rStyle w:val="CharSectno"/>
        </w:rPr>
        <w:lastRenderedPageBreak/>
        <w:t>23</w:t>
      </w:r>
      <w:r>
        <w:rPr>
          <w:snapToGrid w:val="0"/>
        </w:rPr>
        <w:t>.</w:t>
      </w:r>
      <w:r>
        <w:rPr>
          <w:snapToGrid w:val="0"/>
        </w:rPr>
        <w:tab/>
        <w:t>Council’s functions</w:t>
      </w:r>
      <w:bookmarkEnd w:id="50"/>
      <w:r>
        <w:rPr>
          <w:snapToGrid w:val="0"/>
        </w:rPr>
        <w:t xml:space="preserve"> </w:t>
      </w:r>
    </w:p>
    <w:p>
      <w:pPr>
        <w:pStyle w:val="Subsection"/>
        <w:keepNext/>
        <w:keepLines/>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 xml:space="preserve">affect people with </w:t>
      </w:r>
      <w:r>
        <w:t>disability</w:t>
      </w:r>
      <w:r>
        <w:rPr>
          <w:snapToGrid w:val="0"/>
        </w:rPr>
        <w:t>;</w:t>
      </w:r>
    </w:p>
    <w:p>
      <w:pPr>
        <w:pStyle w:val="Indenti"/>
        <w:rPr>
          <w:snapToGrid w:val="0"/>
        </w:rPr>
      </w:pPr>
      <w:r>
        <w:rPr>
          <w:snapToGrid w:val="0"/>
        </w:rPr>
        <w:tab/>
        <w:t>(ii)</w:t>
      </w:r>
      <w:r>
        <w:rPr>
          <w:snapToGrid w:val="0"/>
        </w:rPr>
        <w:tab/>
        <w:t xml:space="preserve">inform the general public, or any section of it, about people with </w:t>
      </w:r>
      <w:r>
        <w:t>disability</w:t>
      </w:r>
      <w:r>
        <w:rPr>
          <w:snapToGrid w:val="0"/>
        </w:rPr>
        <w:t xml:space="preserve"> and that promote the acceptance by the general public, or any section of it, of the principles in Schedule 1;</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recommend to the Minister, or such other person as the Minister directs, ways to improve the </w:t>
      </w:r>
      <w:r>
        <w:t>quality</w:t>
      </w:r>
      <w:r>
        <w:rPr>
          <w:snapToGrid w:val="0"/>
        </w:rPr>
        <w:t xml:space="preserve">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ensure that the interests of the public generally, and the interests of affected stakeholders in particular, are considered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No. 57 of 2004 s. 12; No. 40 of 2012 s. 8 and 24.]</w:t>
      </w:r>
    </w:p>
    <w:p>
      <w:pPr>
        <w:pStyle w:val="Heading2"/>
      </w:pPr>
      <w:bookmarkStart w:id="51" w:name="_Toc132191836"/>
      <w:bookmarkStart w:id="52" w:name="_Toc132191962"/>
      <w:bookmarkStart w:id="53" w:name="_Toc132298250"/>
      <w:r>
        <w:rPr>
          <w:rStyle w:val="CharPartNo"/>
        </w:rPr>
        <w:lastRenderedPageBreak/>
        <w:t>Part 4</w:t>
      </w:r>
      <w:r>
        <w:rPr>
          <w:rStyle w:val="CharDivNo"/>
        </w:rPr>
        <w:t> </w:t>
      </w:r>
      <w:r>
        <w:t>—</w:t>
      </w:r>
      <w:r>
        <w:rPr>
          <w:rStyle w:val="CharDivText"/>
        </w:rPr>
        <w:t> </w:t>
      </w:r>
      <w:r>
        <w:rPr>
          <w:rStyle w:val="CharPartText"/>
        </w:rPr>
        <w:t>Financial assistance for matters relating to people with disability</w:t>
      </w:r>
      <w:bookmarkEnd w:id="51"/>
      <w:bookmarkEnd w:id="52"/>
      <w:bookmarkEnd w:id="53"/>
      <w:r>
        <w:rPr>
          <w:rStyle w:val="CharPartText"/>
        </w:rPr>
        <w:t xml:space="preserve"> </w:t>
      </w:r>
    </w:p>
    <w:p>
      <w:pPr>
        <w:pStyle w:val="Footnoteheading"/>
      </w:pPr>
      <w:r>
        <w:tab/>
        <w:t>[Heading amended: No. 40 of 2012 s. 24.]</w:t>
      </w:r>
    </w:p>
    <w:p>
      <w:pPr>
        <w:pStyle w:val="Heading5"/>
        <w:rPr>
          <w:snapToGrid w:val="0"/>
        </w:rPr>
      </w:pPr>
      <w:bookmarkStart w:id="54" w:name="_Toc132298251"/>
      <w:r>
        <w:rPr>
          <w:rStyle w:val="CharSectno"/>
        </w:rPr>
        <w:t>24</w:t>
      </w:r>
      <w:r>
        <w:rPr>
          <w:snapToGrid w:val="0"/>
        </w:rPr>
        <w:t>.</w:t>
      </w:r>
      <w:r>
        <w:rPr>
          <w:snapToGrid w:val="0"/>
        </w:rPr>
        <w:tab/>
        <w:t>Grants of financial assistance</w:t>
      </w:r>
      <w:bookmarkEnd w:id="54"/>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disability; or</w:t>
      </w:r>
    </w:p>
    <w:p>
      <w:pPr>
        <w:pStyle w:val="Indenta"/>
      </w:pPr>
      <w:r>
        <w:tab/>
        <w:t>(b)</w:t>
      </w:r>
      <w:r>
        <w:tab/>
        <w:t>a carer; or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No. 49 of 1996 s. 64; No. 57 of 2004 s. 13; No. 40 of 2012 s. 24.] </w:t>
      </w:r>
    </w:p>
    <w:p>
      <w:pPr>
        <w:pStyle w:val="Heading5"/>
        <w:rPr>
          <w:snapToGrid w:val="0"/>
        </w:rPr>
      </w:pPr>
      <w:bookmarkStart w:id="55" w:name="_Toc132298252"/>
      <w:r>
        <w:rPr>
          <w:rStyle w:val="CharSectno"/>
        </w:rPr>
        <w:lastRenderedPageBreak/>
        <w:t>25</w:t>
      </w:r>
      <w:r>
        <w:rPr>
          <w:snapToGrid w:val="0"/>
        </w:rPr>
        <w:t>.</w:t>
      </w:r>
      <w:r>
        <w:rPr>
          <w:snapToGrid w:val="0"/>
        </w:rPr>
        <w:tab/>
        <w:t>Grant to be subject of agreement</w:t>
      </w:r>
      <w:bookmarkEnd w:id="55"/>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disability; or</w:t>
      </w:r>
    </w:p>
    <w:p>
      <w:pPr>
        <w:pStyle w:val="Indenta"/>
      </w:pPr>
      <w:r>
        <w:tab/>
        <w:t>(b)</w:t>
      </w:r>
      <w:r>
        <w:tab/>
        <w:t>significant physical or psychological harm suffered by a person with disability; or</w:t>
      </w:r>
    </w:p>
    <w:p>
      <w:pPr>
        <w:pStyle w:val="Indenta"/>
      </w:pPr>
      <w:r>
        <w:tab/>
        <w:t>(c)</w:t>
      </w:r>
      <w:r>
        <w:tab/>
        <w:t>without limiting paragraph (b), an assault (including a sexual assault) of a person with disability; or</w:t>
      </w:r>
    </w:p>
    <w:p>
      <w:pPr>
        <w:pStyle w:val="Indenta"/>
      </w:pPr>
      <w:r>
        <w:tab/>
        <w:t>(d)</w:t>
      </w:r>
      <w:r>
        <w:tab/>
        <w:t>neglect of a person with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disability is a reference to —</w:t>
      </w:r>
    </w:p>
    <w:p>
      <w:pPr>
        <w:pStyle w:val="Indenta"/>
      </w:pPr>
      <w:r>
        <w:tab/>
        <w:t>(a)</w:t>
      </w:r>
      <w:r>
        <w:tab/>
        <w:t>a person with disability to whom the recipient of a grant is providing a disability service; or</w:t>
      </w:r>
    </w:p>
    <w:p>
      <w:pPr>
        <w:pStyle w:val="Indenta"/>
      </w:pPr>
      <w:r>
        <w:lastRenderedPageBreak/>
        <w:tab/>
        <w:t>(b)</w:t>
      </w:r>
      <w:r>
        <w:tab/>
        <w:t>a person with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 is to report to the Minister that it has made that decision.</w:t>
      </w:r>
    </w:p>
    <w:p>
      <w:pPr>
        <w:pStyle w:val="Footnotesection"/>
      </w:pPr>
      <w:r>
        <w:tab/>
        <w:t>[Section 25 amended: No. 44 of 1999 s. 11; No. 57 of 2004 s. 14; No. 40 of 2012 s. 9 and 24.]</w:t>
      </w:r>
    </w:p>
    <w:p>
      <w:pPr>
        <w:pStyle w:val="Heading5"/>
        <w:rPr>
          <w:snapToGrid w:val="0"/>
        </w:rPr>
      </w:pPr>
      <w:bookmarkStart w:id="56" w:name="_Toc132298253"/>
      <w:r>
        <w:rPr>
          <w:rStyle w:val="CharSectno"/>
        </w:rPr>
        <w:t>26</w:t>
      </w:r>
      <w:r>
        <w:rPr>
          <w:snapToGrid w:val="0"/>
        </w:rPr>
        <w:t>.</w:t>
      </w:r>
      <w:r>
        <w:rPr>
          <w:snapToGrid w:val="0"/>
        </w:rPr>
        <w:tab/>
        <w:t>Minister may review Commission’s decisions</w:t>
      </w:r>
      <w:bookmarkEnd w:id="56"/>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7" w:name="_Toc132191840"/>
      <w:bookmarkStart w:id="58" w:name="_Toc132191966"/>
      <w:bookmarkStart w:id="59" w:name="_Toc132298254"/>
      <w:r>
        <w:rPr>
          <w:rStyle w:val="CharPartNo"/>
        </w:rPr>
        <w:lastRenderedPageBreak/>
        <w:t>Part 4A</w:t>
      </w:r>
      <w:r>
        <w:rPr>
          <w:rStyle w:val="CharDivNo"/>
        </w:rPr>
        <w:t xml:space="preserve"> </w:t>
      </w:r>
      <w:r>
        <w:t>—</w:t>
      </w:r>
      <w:r>
        <w:rPr>
          <w:rStyle w:val="CharDivText"/>
        </w:rPr>
        <w:t xml:space="preserve"> </w:t>
      </w:r>
      <w:r>
        <w:rPr>
          <w:rStyle w:val="CharPartText"/>
        </w:rPr>
        <w:t>Contracts to provide some disability services</w:t>
      </w:r>
      <w:bookmarkEnd w:id="57"/>
      <w:bookmarkEnd w:id="58"/>
      <w:bookmarkEnd w:id="59"/>
    </w:p>
    <w:p>
      <w:pPr>
        <w:pStyle w:val="Footnoteheading"/>
        <w:ind w:left="851"/>
      </w:pPr>
      <w:r>
        <w:tab/>
        <w:t>[Heading inserted: No. 44 of 1999 s. 12; amended: No. 57 of 2004 s. 15.]</w:t>
      </w:r>
    </w:p>
    <w:p>
      <w:pPr>
        <w:pStyle w:val="Heading5"/>
      </w:pPr>
      <w:bookmarkStart w:id="60" w:name="_Toc132298255"/>
      <w:r>
        <w:rPr>
          <w:rStyle w:val="CharSectno"/>
        </w:rPr>
        <w:t>26A</w:t>
      </w:r>
      <w:r>
        <w:t>.</w:t>
      </w:r>
      <w:r>
        <w:tab/>
        <w:t>Terms used</w:t>
      </w:r>
      <w:bookmarkEnd w:id="60"/>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w:t>
      </w:r>
    </w:p>
    <w:p>
      <w:pPr>
        <w:pStyle w:val="Defstart"/>
      </w:pPr>
      <w:r>
        <w:rPr>
          <w:b/>
        </w:rPr>
        <w:tab/>
      </w:r>
      <w:r>
        <w:rPr>
          <w:rStyle w:val="CharDefText"/>
        </w:rPr>
        <w:t>disability service</w:t>
      </w:r>
      <w:r>
        <w:t xml:space="preserve"> does not include a disability service provided by a carer.</w:t>
      </w:r>
    </w:p>
    <w:p>
      <w:pPr>
        <w:pStyle w:val="Footnotesection"/>
      </w:pPr>
      <w:r>
        <w:tab/>
        <w:t>[Section 26A inserted: No. 44 of 1999 s. 12; amended: No. 57 of 2004 s. 16; No. 24 of 2020 s. 59.]</w:t>
      </w:r>
    </w:p>
    <w:p>
      <w:pPr>
        <w:pStyle w:val="Heading5"/>
      </w:pPr>
      <w:bookmarkStart w:id="61" w:name="_Toc132298256"/>
      <w:r>
        <w:rPr>
          <w:rStyle w:val="CharSectno"/>
        </w:rPr>
        <w:t>26B</w:t>
      </w:r>
      <w:r>
        <w:t>.</w:t>
      </w:r>
      <w:r>
        <w:tab/>
        <w:t>Method of contracting to provide services for people with disability</w:t>
      </w:r>
      <w:bookmarkEnd w:id="61"/>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or</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(2A)</w:t>
      </w:r>
      <w:r>
        <w:tab/>
        <w:t xml:space="preserve">Any such tender, expression of interest or negotiation must be conducted in accordance with the </w:t>
      </w:r>
      <w:r>
        <w:rPr>
          <w:i/>
        </w:rPr>
        <w:t>Procurement Act 2020</w:t>
      </w:r>
      <w:r>
        <w:t xml:space="preserve"> and the procurement directions under that Act.</w:t>
      </w:r>
    </w:p>
    <w:p>
      <w:pPr>
        <w:pStyle w:val="Subsection"/>
      </w:pPr>
      <w:r>
        <w:lastRenderedPageBreak/>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No. 44 of 1999 s. 12; amended: No. 57 of 2004 s. 17; No. 24 of 2020 s. 60.]</w:t>
      </w:r>
    </w:p>
    <w:p>
      <w:pPr>
        <w:pStyle w:val="Heading5"/>
      </w:pPr>
      <w:bookmarkStart w:id="62" w:name="_Toc132298257"/>
      <w:r>
        <w:rPr>
          <w:rStyle w:val="CharSectno"/>
        </w:rPr>
        <w:t>26C</w:t>
      </w:r>
      <w:r>
        <w:t>.</w:t>
      </w:r>
      <w:r>
        <w:tab/>
        <w:t>Assignment of benefit of contract</w:t>
      </w:r>
      <w:bookmarkEnd w:id="62"/>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No. 44 of 1999 s. 12; amended: No. 57 of 2004 s. 18.]</w:t>
      </w:r>
    </w:p>
    <w:p>
      <w:pPr>
        <w:pStyle w:val="Heading2"/>
      </w:pPr>
      <w:bookmarkStart w:id="63" w:name="_Toc132191844"/>
      <w:bookmarkStart w:id="64" w:name="_Toc132191970"/>
      <w:bookmarkStart w:id="65" w:name="_Toc132298258"/>
      <w:r>
        <w:rPr>
          <w:rStyle w:val="CharPartNo"/>
        </w:rPr>
        <w:lastRenderedPageBreak/>
        <w:t>Part 4B</w:t>
      </w:r>
      <w:r>
        <w:rPr>
          <w:b w:val="0"/>
        </w:rPr>
        <w:t> </w:t>
      </w:r>
      <w:r>
        <w:t>—</w:t>
      </w:r>
      <w:r>
        <w:rPr>
          <w:b w:val="0"/>
        </w:rPr>
        <w:t> </w:t>
      </w:r>
      <w:r>
        <w:rPr>
          <w:rStyle w:val="CharPartText"/>
        </w:rPr>
        <w:t>Trial of disability services model</w:t>
      </w:r>
      <w:bookmarkEnd w:id="63"/>
      <w:bookmarkEnd w:id="64"/>
      <w:bookmarkEnd w:id="65"/>
    </w:p>
    <w:p>
      <w:pPr>
        <w:pStyle w:val="Footnoteheading"/>
      </w:pPr>
      <w:r>
        <w:tab/>
        <w:t>[Heading inserted: No. 10 of 2014 s. 4.]</w:t>
      </w:r>
    </w:p>
    <w:p>
      <w:pPr>
        <w:pStyle w:val="Heading5"/>
      </w:pPr>
      <w:bookmarkStart w:id="66" w:name="_Toc132298259"/>
      <w:r>
        <w:rPr>
          <w:rStyle w:val="CharSectno"/>
        </w:rPr>
        <w:t>26D</w:t>
      </w:r>
      <w:r>
        <w:t>.</w:t>
      </w:r>
      <w:r>
        <w:tab/>
        <w:t>Purpose of this Part</w:t>
      </w:r>
      <w:bookmarkEnd w:id="66"/>
    </w:p>
    <w:p>
      <w:pPr>
        <w:pStyle w:val="Subsection"/>
      </w:pPr>
      <w:r>
        <w:tab/>
      </w:r>
      <w:r>
        <w:tab/>
        <w:t xml:space="preserve">The purpose of this Part is to facilitate the trial in WA of a model for providing disability services, in order to enable the comparison of the model to the National Disability Insurance Scheme model. </w:t>
      </w:r>
    </w:p>
    <w:p>
      <w:pPr>
        <w:pStyle w:val="Footnotesection"/>
        <w:spacing w:before="100"/>
        <w:ind w:left="890" w:hanging="890"/>
      </w:pPr>
      <w:r>
        <w:tab/>
        <w:t>[Section 26D inserted: No. 10 of 2014 s. 4.]</w:t>
      </w:r>
    </w:p>
    <w:p>
      <w:pPr>
        <w:pStyle w:val="Heading5"/>
      </w:pPr>
      <w:bookmarkStart w:id="67" w:name="_Toc132298260"/>
      <w:r>
        <w:rPr>
          <w:rStyle w:val="CharSectno"/>
        </w:rPr>
        <w:t>26E</w:t>
      </w:r>
      <w:r>
        <w:t>.</w:t>
      </w:r>
      <w:r>
        <w:tab/>
        <w:t>Terms used</w:t>
      </w:r>
      <w:bookmarkEnd w:id="67"/>
    </w:p>
    <w:p>
      <w:pPr>
        <w:pStyle w:val="Subsection"/>
      </w:pPr>
      <w:r>
        <w:tab/>
      </w:r>
      <w:r>
        <w:tab/>
        <w:t xml:space="preserve">In this Part — </w:t>
      </w:r>
    </w:p>
    <w:p>
      <w:pPr>
        <w:pStyle w:val="Defstart"/>
      </w:pPr>
      <w:r>
        <w:tab/>
      </w:r>
      <w:r>
        <w:rPr>
          <w:rStyle w:val="CharDefText"/>
        </w:rPr>
        <w:t>National Disability Insurance Scheme</w:t>
      </w:r>
      <w:r>
        <w:t xml:space="preserve"> has the meaning given in the NDIS Act section 9;</w:t>
      </w:r>
    </w:p>
    <w:p>
      <w:pPr>
        <w:pStyle w:val="Defstart"/>
      </w:pPr>
      <w:r>
        <w:tab/>
      </w:r>
      <w:r>
        <w:rPr>
          <w:rStyle w:val="CharDefText"/>
        </w:rPr>
        <w:t>NDIS Act</w:t>
      </w:r>
      <w:r>
        <w:t xml:space="preserve"> means the </w:t>
      </w:r>
      <w:r>
        <w:rPr>
          <w:i/>
        </w:rPr>
        <w:t>National Disability Insurance Scheme Act 2013</w:t>
      </w:r>
      <w:r>
        <w:t xml:space="preserve"> (Commonwealth);</w:t>
      </w:r>
    </w:p>
    <w:p>
      <w:pPr>
        <w:pStyle w:val="Defstart"/>
      </w:pPr>
      <w:r>
        <w:tab/>
      </w:r>
      <w:r>
        <w:rPr>
          <w:rStyle w:val="CharDefText"/>
        </w:rPr>
        <w:t>participant</w:t>
      </w:r>
      <w:r>
        <w:t xml:space="preserve"> means a participant in a trial;</w:t>
      </w:r>
    </w:p>
    <w:p>
      <w:pPr>
        <w:pStyle w:val="Defstart"/>
      </w:pPr>
      <w:r>
        <w:tab/>
      </w:r>
      <w:r>
        <w:rPr>
          <w:rStyle w:val="CharDefText"/>
        </w:rPr>
        <w:t>trial</w:t>
      </w:r>
      <w:r>
        <w:t xml:space="preserve"> means a trial conducted by the Commission under section 26G(1).</w:t>
      </w:r>
    </w:p>
    <w:p>
      <w:pPr>
        <w:pStyle w:val="Footnotesection"/>
        <w:spacing w:before="100"/>
        <w:ind w:left="890" w:hanging="890"/>
      </w:pPr>
      <w:r>
        <w:tab/>
        <w:t>[Section 26E inserted: No. 10 of 2014 s. 4.]</w:t>
      </w:r>
    </w:p>
    <w:p>
      <w:pPr>
        <w:pStyle w:val="Heading5"/>
      </w:pPr>
      <w:bookmarkStart w:id="68" w:name="_Toc132298261"/>
      <w:r>
        <w:rPr>
          <w:rStyle w:val="CharSectno"/>
        </w:rPr>
        <w:t>26F</w:t>
      </w:r>
      <w:r>
        <w:t>.</w:t>
      </w:r>
      <w:r>
        <w:tab/>
        <w:t>Effect of certain terms in the NDIS Act</w:t>
      </w:r>
      <w:bookmarkEnd w:id="68"/>
    </w:p>
    <w:p>
      <w:pPr>
        <w:pStyle w:val="Subsection"/>
      </w:pPr>
      <w:r>
        <w:tab/>
      </w:r>
      <w:r>
        <w:tab/>
        <w:t>When the Commission is assessing whether or not a criterion or requirement in the NDIS Act has been met for the purposes of this Part, a reference in the NDIS Act to a term listed in the Table is to be read as if it were a reference to the corresponding term.</w:t>
      </w:r>
    </w:p>
    <w:p>
      <w:pPr>
        <w:pStyle w:val="THeadingNAm"/>
      </w:pPr>
      <w:r>
        <w:lastRenderedPageBreak/>
        <w:t>Table</w:t>
      </w:r>
    </w:p>
    <w:tbl>
      <w:tblPr>
        <w:tblW w:w="55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4"/>
        <w:gridCol w:w="2835"/>
      </w:tblGrid>
      <w:tr>
        <w:trPr>
          <w:trHeight w:val="285"/>
          <w:tblHeader/>
        </w:trPr>
        <w:tc>
          <w:tcPr>
            <w:tcW w:w="2694" w:type="dxa"/>
          </w:tcPr>
          <w:p>
            <w:pPr>
              <w:pStyle w:val="TableNAm"/>
              <w:keepNext/>
              <w:jc w:val="center"/>
            </w:pPr>
            <w:r>
              <w:rPr>
                <w:b/>
                <w:bCs/>
              </w:rPr>
              <w:t>NDIS Act term</w:t>
            </w:r>
          </w:p>
        </w:tc>
        <w:tc>
          <w:tcPr>
            <w:tcW w:w="2835" w:type="dxa"/>
          </w:tcPr>
          <w:p>
            <w:pPr>
              <w:pStyle w:val="TableNAm"/>
              <w:keepNext/>
              <w:jc w:val="center"/>
            </w:pPr>
            <w:r>
              <w:rPr>
                <w:b/>
                <w:bCs/>
              </w:rPr>
              <w:t>Corresponding term</w:t>
            </w:r>
          </w:p>
        </w:tc>
      </w:tr>
      <w:tr>
        <w:trPr>
          <w:trHeight w:val="285"/>
        </w:trPr>
        <w:tc>
          <w:tcPr>
            <w:tcW w:w="2694" w:type="dxa"/>
          </w:tcPr>
          <w:p>
            <w:pPr>
              <w:pStyle w:val="TableNAm"/>
              <w:keepNext/>
            </w:pPr>
            <w:r>
              <w:t>CEO</w:t>
            </w:r>
          </w:p>
        </w:tc>
        <w:tc>
          <w:tcPr>
            <w:tcW w:w="2835" w:type="dxa"/>
          </w:tcPr>
          <w:p>
            <w:pPr>
              <w:pStyle w:val="TableNAm"/>
              <w:keepNext/>
            </w:pPr>
            <w:r>
              <w:t>Commission</w:t>
            </w:r>
          </w:p>
        </w:tc>
      </w:tr>
      <w:tr>
        <w:trPr>
          <w:trHeight w:val="285"/>
        </w:trPr>
        <w:tc>
          <w:tcPr>
            <w:tcW w:w="2694" w:type="dxa"/>
          </w:tcPr>
          <w:p>
            <w:pPr>
              <w:pStyle w:val="TableNAm"/>
            </w:pPr>
            <w:r>
              <w:t>National Disability Insurance Scheme</w:t>
            </w:r>
          </w:p>
        </w:tc>
        <w:tc>
          <w:tcPr>
            <w:tcW w:w="2835" w:type="dxa"/>
          </w:tcPr>
          <w:p>
            <w:pPr>
              <w:pStyle w:val="TableNAm"/>
            </w:pPr>
            <w:r>
              <w:t>this Act</w:t>
            </w:r>
          </w:p>
        </w:tc>
      </w:tr>
      <w:tr>
        <w:trPr>
          <w:trHeight w:val="285"/>
        </w:trPr>
        <w:tc>
          <w:tcPr>
            <w:tcW w:w="2694" w:type="dxa"/>
          </w:tcPr>
          <w:p>
            <w:pPr>
              <w:pStyle w:val="TableNAm"/>
            </w:pPr>
            <w:r>
              <w:t>National Disability Insurance Scheme rules</w:t>
            </w:r>
          </w:p>
        </w:tc>
        <w:tc>
          <w:tcPr>
            <w:tcW w:w="2835" w:type="dxa"/>
          </w:tcPr>
          <w:p>
            <w:pPr>
              <w:pStyle w:val="TableNAm"/>
            </w:pPr>
            <w:r>
              <w:t>regulations made under this Act</w:t>
            </w:r>
          </w:p>
        </w:tc>
      </w:tr>
    </w:tbl>
    <w:p>
      <w:pPr>
        <w:pStyle w:val="Footnotesection"/>
        <w:spacing w:before="100"/>
        <w:ind w:left="890" w:hanging="890"/>
      </w:pPr>
      <w:r>
        <w:tab/>
        <w:t>[Section 26F inserted: No. 10 of 2014 s. 4.]</w:t>
      </w:r>
    </w:p>
    <w:p>
      <w:pPr>
        <w:pStyle w:val="Heading5"/>
      </w:pPr>
      <w:bookmarkStart w:id="69" w:name="_Toc132298262"/>
      <w:r>
        <w:rPr>
          <w:rStyle w:val="CharSectno"/>
        </w:rPr>
        <w:t>26G</w:t>
      </w:r>
      <w:r>
        <w:t>.</w:t>
      </w:r>
      <w:r>
        <w:tab/>
        <w:t>Trial of disability services model</w:t>
      </w:r>
      <w:bookmarkEnd w:id="69"/>
      <w:r>
        <w:t xml:space="preserve"> </w:t>
      </w:r>
    </w:p>
    <w:p>
      <w:pPr>
        <w:pStyle w:val="Subsection"/>
      </w:pPr>
      <w:r>
        <w:tab/>
        <w:t>(1)</w:t>
      </w:r>
      <w:r>
        <w:tab/>
        <w:t>The Commission may, in one or more areas prescribed by the regulations, conduct a trial of a model for providing disability services that meets the objectives set out in subsection (2).</w:t>
      </w:r>
    </w:p>
    <w:p>
      <w:pPr>
        <w:pStyle w:val="Subsection"/>
      </w:pPr>
      <w:r>
        <w:tab/>
        <w:t>(2)</w:t>
      </w:r>
      <w:r>
        <w:tab/>
        <w:t>The objectives of the model include —</w:t>
      </w:r>
    </w:p>
    <w:p>
      <w:pPr>
        <w:pStyle w:val="Indenta"/>
      </w:pPr>
      <w:r>
        <w:tab/>
        <w:t>(a)</w:t>
      </w:r>
      <w:r>
        <w:tab/>
        <w:t>providing people with disability with reasonable and necessary supports; and</w:t>
      </w:r>
    </w:p>
    <w:p>
      <w:pPr>
        <w:pStyle w:val="Indenta"/>
      </w:pPr>
      <w:r>
        <w:tab/>
        <w:t>(b)</w:t>
      </w:r>
      <w:r>
        <w:tab/>
        <w:t>enabling people with disability to exercise choice and control in the pursuit of their goals and the planning and delivery of their supports.</w:t>
      </w:r>
    </w:p>
    <w:p>
      <w:pPr>
        <w:pStyle w:val="Subsection"/>
      </w:pPr>
      <w:r>
        <w:tab/>
        <w:t>(3)</w:t>
      </w:r>
      <w:r>
        <w:tab/>
        <w:t>The regulations may prescribe one or more periods during which a trial is to be conducted.</w:t>
      </w:r>
    </w:p>
    <w:p>
      <w:pPr>
        <w:pStyle w:val="Footnotesection"/>
        <w:spacing w:before="100"/>
        <w:ind w:left="890" w:hanging="890"/>
      </w:pPr>
      <w:r>
        <w:tab/>
        <w:t>[Section 26G inserted: No. 10 of 2014 s. 4.]</w:t>
      </w:r>
    </w:p>
    <w:p>
      <w:pPr>
        <w:pStyle w:val="Heading5"/>
      </w:pPr>
      <w:bookmarkStart w:id="70" w:name="_Toc132298263"/>
      <w:r>
        <w:rPr>
          <w:rStyle w:val="CharSectno"/>
        </w:rPr>
        <w:t>26H</w:t>
      </w:r>
      <w:r>
        <w:t>.</w:t>
      </w:r>
      <w:r>
        <w:tab/>
        <w:t>Trial participants</w:t>
      </w:r>
      <w:bookmarkEnd w:id="70"/>
    </w:p>
    <w:p>
      <w:pPr>
        <w:pStyle w:val="Subsection"/>
      </w:pPr>
      <w:r>
        <w:tab/>
        <w:t>(1)</w:t>
      </w:r>
      <w:r>
        <w:tab/>
        <w:t xml:space="preserve">The Commission must ensure that a person does not participate in a trial unless the Commission is satisfied that at the time the person becomes a participant — </w:t>
      </w:r>
    </w:p>
    <w:p>
      <w:pPr>
        <w:pStyle w:val="Indenta"/>
      </w:pPr>
      <w:r>
        <w:tab/>
        <w:t>(a)</w:t>
      </w:r>
      <w:r>
        <w:tab/>
        <w:t xml:space="preserve">either — </w:t>
      </w:r>
    </w:p>
    <w:p>
      <w:pPr>
        <w:pStyle w:val="Indenti"/>
      </w:pPr>
      <w:r>
        <w:tab/>
        <w:t>(i)</w:t>
      </w:r>
      <w:r>
        <w:tab/>
        <w:t>the person has not reached 65 years of age; or</w:t>
      </w:r>
    </w:p>
    <w:p>
      <w:pPr>
        <w:pStyle w:val="Indenti"/>
      </w:pPr>
      <w:r>
        <w:lastRenderedPageBreak/>
        <w:tab/>
        <w:t>(ii)</w:t>
      </w:r>
      <w:r>
        <w:tab/>
        <w:t>the person belongs to a class of persons approved by the Commission for the purposes of this paragraph;</w:t>
      </w:r>
    </w:p>
    <w:p>
      <w:pPr>
        <w:pStyle w:val="Indenta"/>
      </w:pPr>
      <w:r>
        <w:tab/>
      </w:r>
      <w:r>
        <w:tab/>
        <w:t>and</w:t>
      </w:r>
    </w:p>
    <w:p>
      <w:pPr>
        <w:pStyle w:val="Indenta"/>
      </w:pPr>
      <w:r>
        <w:tab/>
        <w:t>(b)</w:t>
      </w:r>
      <w:r>
        <w:tab/>
        <w:t>the person meets the residence requirements in the NDIS Act section 23(1)(a) and (b); and</w:t>
      </w:r>
    </w:p>
    <w:p>
      <w:pPr>
        <w:pStyle w:val="Indenta"/>
      </w:pPr>
      <w:r>
        <w:tab/>
        <w:t>(c)</w:t>
      </w:r>
      <w:r>
        <w:tab/>
        <w:t xml:space="preserve">either — </w:t>
      </w:r>
    </w:p>
    <w:p>
      <w:pPr>
        <w:pStyle w:val="Indenti"/>
      </w:pPr>
      <w:r>
        <w:tab/>
        <w:t>(i)</w:t>
      </w:r>
      <w:r>
        <w:tab/>
        <w:t>the person meets the disability requirements in the NDIS Act section 24; or</w:t>
      </w:r>
    </w:p>
    <w:p>
      <w:pPr>
        <w:pStyle w:val="Indenti"/>
      </w:pPr>
      <w:r>
        <w:tab/>
        <w:t>(ii)</w:t>
      </w:r>
      <w:r>
        <w:tab/>
        <w:t xml:space="preserve">the person meets the early intervention requirements in the NDIS Act section 25; </w:t>
      </w:r>
    </w:p>
    <w:p>
      <w:pPr>
        <w:pStyle w:val="Indenta"/>
      </w:pPr>
      <w:r>
        <w:tab/>
      </w:r>
      <w:r>
        <w:tab/>
        <w:t>and</w:t>
      </w:r>
    </w:p>
    <w:p>
      <w:pPr>
        <w:pStyle w:val="Indenta"/>
      </w:pPr>
      <w:r>
        <w:tab/>
        <w:t>(d)</w:t>
      </w:r>
      <w:r>
        <w:tab/>
        <w:t xml:space="preserve">the person meets any other requirement prescribed by the regulations. </w:t>
      </w:r>
    </w:p>
    <w:p>
      <w:pPr>
        <w:pStyle w:val="Subsection"/>
      </w:pPr>
      <w:r>
        <w:tab/>
        <w:t>(2)</w:t>
      </w:r>
      <w:r>
        <w:tab/>
        <w:t>For the purposes of subsection (1)(b), in deciding whether or not a person meets the residence requirement in the NDIS Act section 23(1)(a), the Commission must have regard to the matters set out in the NDIS Act section 23(2).</w:t>
      </w:r>
    </w:p>
    <w:p>
      <w:pPr>
        <w:pStyle w:val="Footnotesection"/>
        <w:spacing w:before="100"/>
        <w:ind w:left="890" w:hanging="890"/>
      </w:pPr>
      <w:r>
        <w:tab/>
        <w:t>[Section 26H inserted: No. 10 of 2014 s. 4.]</w:t>
      </w:r>
    </w:p>
    <w:p>
      <w:pPr>
        <w:pStyle w:val="Heading5"/>
      </w:pPr>
      <w:bookmarkStart w:id="71" w:name="_Toc132298264"/>
      <w:r>
        <w:rPr>
          <w:rStyle w:val="CharSectno"/>
        </w:rPr>
        <w:t>26I</w:t>
      </w:r>
      <w:r>
        <w:t>.</w:t>
      </w:r>
      <w:r>
        <w:tab/>
        <w:t>Reasonable and necessary supports for participants</w:t>
      </w:r>
      <w:bookmarkEnd w:id="71"/>
    </w:p>
    <w:p>
      <w:pPr>
        <w:pStyle w:val="Subsection"/>
      </w:pPr>
      <w:r>
        <w:tab/>
        <w:t>(1)</w:t>
      </w:r>
      <w:r>
        <w:tab/>
        <w:t xml:space="preserve">In this section — </w:t>
      </w:r>
    </w:p>
    <w:p>
      <w:pPr>
        <w:pStyle w:val="Defstart"/>
      </w:pPr>
      <w:r>
        <w:tab/>
      </w:r>
      <w:r>
        <w:rPr>
          <w:rStyle w:val="CharDefText"/>
        </w:rPr>
        <w:t>plan</w:t>
      </w:r>
      <w:r>
        <w:t>, in relation to a participant, means the plan for the participant that is prepared in accordance with the Commission’s requirements;</w:t>
      </w:r>
    </w:p>
    <w:p>
      <w:pPr>
        <w:pStyle w:val="Defstart"/>
      </w:pPr>
      <w:r>
        <w:tab/>
      </w:r>
      <w:r>
        <w:rPr>
          <w:rStyle w:val="CharDefText"/>
        </w:rPr>
        <w:t>support</w:t>
      </w:r>
      <w:r>
        <w:t xml:space="preserve"> means — </w:t>
      </w:r>
    </w:p>
    <w:p>
      <w:pPr>
        <w:pStyle w:val="Defpara"/>
      </w:pPr>
      <w:r>
        <w:tab/>
        <w:t>(a)</w:t>
      </w:r>
      <w:r>
        <w:tab/>
        <w:t>financial assistance granted under section 24; or</w:t>
      </w:r>
    </w:p>
    <w:p>
      <w:pPr>
        <w:pStyle w:val="Defpara"/>
      </w:pPr>
      <w:r>
        <w:tab/>
        <w:t>(b)</w:t>
      </w:r>
      <w:r>
        <w:tab/>
        <w:t>a disability service provided by the Commission.</w:t>
      </w:r>
    </w:p>
    <w:p>
      <w:pPr>
        <w:pStyle w:val="Subsection"/>
        <w:keepNext/>
      </w:pPr>
      <w:r>
        <w:lastRenderedPageBreak/>
        <w:tab/>
        <w:t>(2)</w:t>
      </w:r>
      <w:r>
        <w:tab/>
        <w:t xml:space="preserve">Before providing support to, or in relation to, a participant, the Commission must be satisfied that — </w:t>
      </w:r>
    </w:p>
    <w:p>
      <w:pPr>
        <w:pStyle w:val="Indenta"/>
      </w:pPr>
      <w:r>
        <w:tab/>
        <w:t>(a)</w:t>
      </w:r>
      <w:r>
        <w:tab/>
        <w:t>the support will assist the participant to pursue the goals, objectives and aspirations set out in the participant’s plan; and</w:t>
      </w:r>
    </w:p>
    <w:p>
      <w:pPr>
        <w:pStyle w:val="Indenta"/>
      </w:pPr>
      <w:r>
        <w:tab/>
        <w:t>(b)</w:t>
      </w:r>
      <w:r>
        <w:tab/>
        <w:t>the support meets the criteria set out in the NDIS Act section 34(1)(b) to (f).</w:t>
      </w:r>
    </w:p>
    <w:p>
      <w:pPr>
        <w:pStyle w:val="Footnotesection"/>
        <w:spacing w:before="100"/>
        <w:ind w:left="890" w:hanging="890"/>
      </w:pPr>
      <w:r>
        <w:tab/>
        <w:t>[Section 26I inserted: No. 10 of 2014 s. 4.]</w:t>
      </w:r>
    </w:p>
    <w:p>
      <w:pPr>
        <w:pStyle w:val="Heading2"/>
      </w:pPr>
      <w:bookmarkStart w:id="72" w:name="_Toc132191851"/>
      <w:bookmarkStart w:id="73" w:name="_Toc132191977"/>
      <w:bookmarkStart w:id="74" w:name="_Toc132298265"/>
      <w:r>
        <w:rPr>
          <w:rStyle w:val="CharPartNo"/>
        </w:rPr>
        <w:lastRenderedPageBreak/>
        <w:t>Part 5</w:t>
      </w:r>
      <w:r>
        <w:rPr>
          <w:rStyle w:val="CharDivNo"/>
        </w:rPr>
        <w:t> </w:t>
      </w:r>
      <w:r>
        <w:t>—</w:t>
      </w:r>
      <w:r>
        <w:rPr>
          <w:rStyle w:val="CharDivText"/>
        </w:rPr>
        <w:t> </w:t>
      </w:r>
      <w:r>
        <w:rPr>
          <w:rStyle w:val="CharPartText"/>
        </w:rPr>
        <w:t>Disability access and inclusion plans by public authorities</w:t>
      </w:r>
      <w:bookmarkEnd w:id="72"/>
      <w:bookmarkEnd w:id="73"/>
      <w:bookmarkEnd w:id="74"/>
    </w:p>
    <w:p>
      <w:pPr>
        <w:pStyle w:val="Footnoteheading"/>
        <w:tabs>
          <w:tab w:val="left" w:pos="851"/>
        </w:tabs>
      </w:pPr>
      <w:r>
        <w:tab/>
        <w:t>[Heading amended: No. 57 of 2004 s. 19.]</w:t>
      </w:r>
    </w:p>
    <w:p>
      <w:pPr>
        <w:pStyle w:val="Heading5"/>
        <w:rPr>
          <w:snapToGrid w:val="0"/>
        </w:rPr>
      </w:pPr>
      <w:bookmarkStart w:id="75" w:name="_Toc132298266"/>
      <w:r>
        <w:rPr>
          <w:rStyle w:val="CharSectno"/>
        </w:rPr>
        <w:t>27</w:t>
      </w:r>
      <w:r>
        <w:rPr>
          <w:snapToGrid w:val="0"/>
        </w:rPr>
        <w:t>.</w:t>
      </w:r>
      <w:r>
        <w:rPr>
          <w:snapToGrid w:val="0"/>
        </w:rPr>
        <w:tab/>
        <w:t>Application of Part</w:t>
      </w:r>
      <w:bookmarkEnd w:id="75"/>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76" w:name="_Toc132298267"/>
      <w:r>
        <w:rPr>
          <w:rStyle w:val="CharSectno"/>
        </w:rPr>
        <w:t>28</w:t>
      </w:r>
      <w:r>
        <w:t>.</w:t>
      </w:r>
      <w:r>
        <w:tab/>
        <w:t>Disability access and inclusion plans</w:t>
      </w:r>
      <w:bookmarkEnd w:id="76"/>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lastRenderedPageBreak/>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No. 57 of 2004 s. 20(1).]</w:t>
      </w:r>
    </w:p>
    <w:p>
      <w:pPr>
        <w:pStyle w:val="Heading5"/>
      </w:pPr>
      <w:bookmarkStart w:id="77" w:name="_Toc132298268"/>
      <w:r>
        <w:rPr>
          <w:rStyle w:val="CharSectno"/>
        </w:rPr>
        <w:t>29</w:t>
      </w:r>
      <w:r>
        <w:t>.</w:t>
      </w:r>
      <w:r>
        <w:tab/>
        <w:t>Report about disability access and inclusion plan</w:t>
      </w:r>
      <w:bookmarkEnd w:id="77"/>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lastRenderedPageBreak/>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No. 44 of 1999 s. 14; amended: No. 57 of 2004 s. 21; No. 5 of 2005 s. 38; No. 77 of 2006 Sch. 1 cl. 45(4).]</w:t>
      </w:r>
    </w:p>
    <w:p>
      <w:pPr>
        <w:pStyle w:val="Heading5"/>
      </w:pPr>
      <w:bookmarkStart w:id="78" w:name="_Toc132298269"/>
      <w:r>
        <w:rPr>
          <w:rStyle w:val="CharSectno"/>
        </w:rPr>
        <w:t>29A</w:t>
      </w:r>
      <w:r>
        <w:t>.</w:t>
      </w:r>
      <w:r>
        <w:tab/>
        <w:t>Disability access and inclusion plans to be made available</w:t>
      </w:r>
      <w:bookmarkEnd w:id="78"/>
    </w:p>
    <w:p>
      <w:pPr>
        <w:pStyle w:val="Subsection"/>
      </w:pPr>
      <w:r>
        <w:tab/>
      </w:r>
      <w:r>
        <w:tab/>
        <w:t>A public authority that has a disability access and inclusion plan must ensure that the plan is made available to people with disability, and the public generally, by publication in the prescribed manner.</w:t>
      </w:r>
    </w:p>
    <w:p>
      <w:pPr>
        <w:pStyle w:val="Footnotesection"/>
      </w:pPr>
      <w:r>
        <w:tab/>
        <w:t>[Section 29A inserted: No. 57 of 2004 s. 22; amended: No. 40 of 2012 s. 10.]</w:t>
      </w:r>
    </w:p>
    <w:p>
      <w:pPr>
        <w:pStyle w:val="Heading5"/>
      </w:pPr>
      <w:bookmarkStart w:id="79" w:name="_Toc132298270"/>
      <w:r>
        <w:rPr>
          <w:rStyle w:val="CharSectno"/>
        </w:rPr>
        <w:t>29B</w:t>
      </w:r>
      <w:r>
        <w:t>.</w:t>
      </w:r>
      <w:r>
        <w:tab/>
        <w:t>Public authorities to ensure implementation of disability access and inclusion plan</w:t>
      </w:r>
      <w:bookmarkEnd w:id="79"/>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No. 57 of 2004 s. 22.]</w:t>
      </w:r>
    </w:p>
    <w:p>
      <w:pPr>
        <w:pStyle w:val="Heading5"/>
      </w:pPr>
      <w:bookmarkStart w:id="80" w:name="_Toc132298271"/>
      <w:r>
        <w:rPr>
          <w:rStyle w:val="CharSectno"/>
        </w:rPr>
        <w:t>29C</w:t>
      </w:r>
      <w:r>
        <w:t>.</w:t>
      </w:r>
      <w:r>
        <w:tab/>
        <w:t>Annual report by Commission about plans</w:t>
      </w:r>
      <w:bookmarkEnd w:id="80"/>
    </w:p>
    <w:p>
      <w:pPr>
        <w:pStyle w:val="Subsection"/>
      </w:pPr>
      <w:r>
        <w:tab/>
        <w:t>(1)</w:t>
      </w:r>
      <w:r>
        <w:tab/>
        <w:t xml:space="preserve">As soon as practicable after each 1 July the Commission must give the Minister a report on the effectiveness of disability access and inclusion plans, and the extent to which they have </w:t>
      </w:r>
      <w:r>
        <w:lastRenderedPageBreak/>
        <w:t>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No. 57 of 2004 s. 22.]</w:t>
      </w:r>
    </w:p>
    <w:p>
      <w:pPr>
        <w:pStyle w:val="Heading2"/>
      </w:pPr>
      <w:bookmarkStart w:id="81" w:name="_Toc132191858"/>
      <w:bookmarkStart w:id="82" w:name="_Toc132191984"/>
      <w:bookmarkStart w:id="83" w:name="_Toc132298272"/>
      <w:r>
        <w:rPr>
          <w:rStyle w:val="CharPartNo"/>
        </w:rPr>
        <w:lastRenderedPageBreak/>
        <w:t>Part 6</w:t>
      </w:r>
      <w:r>
        <w:t> — </w:t>
      </w:r>
      <w:r>
        <w:rPr>
          <w:rStyle w:val="CharPartText"/>
        </w:rPr>
        <w:t>Complaints about some disability services and resident services</w:t>
      </w:r>
      <w:bookmarkEnd w:id="81"/>
      <w:bookmarkEnd w:id="82"/>
      <w:bookmarkEnd w:id="83"/>
    </w:p>
    <w:p>
      <w:pPr>
        <w:pStyle w:val="Footnoteheading"/>
        <w:tabs>
          <w:tab w:val="left" w:pos="851"/>
        </w:tabs>
      </w:pPr>
      <w:r>
        <w:tab/>
        <w:t>[Heading amended: No. 57 of 2004 s. 23; No. 4 of 2015 s. 73.]</w:t>
      </w:r>
    </w:p>
    <w:p>
      <w:pPr>
        <w:pStyle w:val="Heading3"/>
        <w:rPr>
          <w:snapToGrid w:val="0"/>
        </w:rPr>
      </w:pPr>
      <w:bookmarkStart w:id="84" w:name="_Toc132191859"/>
      <w:bookmarkStart w:id="85" w:name="_Toc132191985"/>
      <w:bookmarkStart w:id="86" w:name="_Toc132298273"/>
      <w:r>
        <w:rPr>
          <w:rStyle w:val="CharDivNo"/>
        </w:rPr>
        <w:t>Division 1</w:t>
      </w:r>
      <w:r>
        <w:rPr>
          <w:snapToGrid w:val="0"/>
        </w:rPr>
        <w:t> — </w:t>
      </w:r>
      <w:r>
        <w:rPr>
          <w:rStyle w:val="CharDivText"/>
        </w:rPr>
        <w:t>Preliminary</w:t>
      </w:r>
      <w:bookmarkEnd w:id="84"/>
      <w:bookmarkEnd w:id="85"/>
      <w:bookmarkEnd w:id="86"/>
      <w:r>
        <w:rPr>
          <w:rStyle w:val="CharDivText"/>
        </w:rPr>
        <w:t xml:space="preserve"> </w:t>
      </w:r>
    </w:p>
    <w:p>
      <w:pPr>
        <w:pStyle w:val="Heading5"/>
        <w:rPr>
          <w:snapToGrid w:val="0"/>
        </w:rPr>
      </w:pPr>
      <w:bookmarkStart w:id="87" w:name="_Toc132298274"/>
      <w:r>
        <w:rPr>
          <w:rStyle w:val="CharSectno"/>
        </w:rPr>
        <w:t>30</w:t>
      </w:r>
      <w:r>
        <w:rPr>
          <w:snapToGrid w:val="0"/>
        </w:rPr>
        <w:t>.</w:t>
      </w:r>
      <w:r>
        <w:rPr>
          <w:snapToGrid w:val="0"/>
        </w:rPr>
        <w:tab/>
        <w:t>Terms used</w:t>
      </w:r>
      <w:bookmarkEnd w:id="87"/>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tab/>
      </w:r>
      <w:r>
        <w:rPr>
          <w:rStyle w:val="CharDefText"/>
        </w:rPr>
        <w:t>declared place</w:t>
      </w:r>
      <w:r>
        <w:t xml:space="preserve"> means a declared place as defined in the Declared Places Act section 3;</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 or</w:t>
      </w:r>
    </w:p>
    <w:p>
      <w:pPr>
        <w:pStyle w:val="Defpara"/>
      </w:pPr>
      <w:r>
        <w:tab/>
        <w:t>(aa)</w:t>
      </w:r>
      <w:r>
        <w:tab/>
        <w:t>such a service where it is provided wholly from funds paid to the service provider by the Commonwealth of Australia; or</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w:t>
      </w:r>
      <w:r>
        <w:rPr>
          <w:b/>
          <w:i/>
        </w:rPr>
        <w:t>Department</w:t>
      </w:r>
      <w:r>
        <w:t xml:space="preserve">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tab/>
      </w:r>
      <w:r>
        <w:rPr>
          <w:rStyle w:val="CharDefText"/>
        </w:rPr>
        <w:t>representative</w:t>
      </w:r>
      <w:r>
        <w:t>, in relation to a person with a disability, means the person’s representative recognised under section 32(2);</w:t>
      </w:r>
    </w:p>
    <w:p>
      <w:pPr>
        <w:pStyle w:val="Defstart"/>
      </w:pPr>
      <w:r>
        <w:lastRenderedPageBreak/>
        <w:tab/>
      </w:r>
      <w:r>
        <w:rPr>
          <w:rStyle w:val="CharDefText"/>
        </w:rPr>
        <w:t>resident service</w:t>
      </w:r>
      <w:r>
        <w:t xml:space="preserve"> means any of the following — </w:t>
      </w:r>
    </w:p>
    <w:p>
      <w:pPr>
        <w:pStyle w:val="Defpara"/>
      </w:pPr>
      <w:r>
        <w:tab/>
        <w:t>(a)</w:t>
      </w:r>
      <w:r>
        <w:tab/>
        <w:t>the operation, control, management and ensuring of the security and good order of a declared place;</w:t>
      </w:r>
    </w:p>
    <w:p>
      <w:pPr>
        <w:pStyle w:val="Defpara"/>
      </w:pPr>
      <w:r>
        <w:tab/>
        <w:t>(b)</w:t>
      </w:r>
      <w:r>
        <w:tab/>
        <w:t>any service related to a matter mentioned in paragraph (a);</w:t>
      </w:r>
    </w:p>
    <w:p>
      <w:pPr>
        <w:pStyle w:val="Defpara"/>
      </w:pPr>
      <w:r>
        <w:tab/>
        <w:t>(c)</w:t>
      </w:r>
      <w:r>
        <w:tab/>
        <w:t>providing for the care, protection and safety of residents;</w:t>
      </w:r>
    </w:p>
    <w:p>
      <w:pPr>
        <w:pStyle w:val="Defpara"/>
      </w:pPr>
      <w:r>
        <w:tab/>
        <w:t>(d)</w:t>
      </w:r>
      <w:r>
        <w:tab/>
        <w:t>providing programmes for, and other training of, residents;</w:t>
      </w:r>
    </w:p>
    <w:p>
      <w:pPr>
        <w:pStyle w:val="Defpara"/>
      </w:pPr>
      <w:r>
        <w:tab/>
        <w:t>(e)</w:t>
      </w:r>
      <w:r>
        <w:tab/>
        <w:t>any other service that the Declared Places Act requires to be provided to residents,</w:t>
      </w:r>
    </w:p>
    <w:p>
      <w:pPr>
        <w:pStyle w:val="Defstart"/>
      </w:pPr>
      <w:r>
        <w:tab/>
        <w:t>but does not include an advocacy service for a resident or a service prescribed by regulation;</w:t>
      </w:r>
    </w:p>
    <w:p>
      <w:pPr>
        <w:pStyle w:val="Defstart"/>
      </w:pPr>
      <w:r>
        <w:rPr>
          <w:b/>
        </w:rPr>
        <w:tab/>
      </w:r>
      <w:r>
        <w:rPr>
          <w:rStyle w:val="CharDefText"/>
        </w:rPr>
        <w:t>respondent</w:t>
      </w:r>
      <w:r>
        <w:t xml:space="preserve"> means a person about whom or which a complaint is made;</w:t>
      </w:r>
    </w:p>
    <w:p>
      <w:pPr>
        <w:pStyle w:val="Defstart"/>
      </w:pPr>
      <w:r>
        <w:tab/>
      </w:r>
      <w:r>
        <w:rPr>
          <w:rStyle w:val="CharDefText"/>
        </w:rPr>
        <w:t>service provider</w:t>
      </w:r>
      <w:r>
        <w:t xml:space="preserve">, in relation to the provision of a resident service, means — </w:t>
      </w:r>
    </w:p>
    <w:p>
      <w:pPr>
        <w:pStyle w:val="Defpara"/>
      </w:pPr>
      <w:r>
        <w:tab/>
        <w:t>(a)</w:t>
      </w:r>
      <w:r>
        <w:tab/>
        <w:t>the Commission; or</w:t>
      </w:r>
    </w:p>
    <w:p>
      <w:pPr>
        <w:pStyle w:val="Defpara"/>
      </w:pPr>
      <w:r>
        <w:tab/>
        <w:t>(b)</w:t>
      </w:r>
      <w:r>
        <w:tab/>
        <w:t>a contractor or subcontractor as defined in the Declared Places Act section 3; or</w:t>
      </w:r>
    </w:p>
    <w:p>
      <w:pPr>
        <w:pStyle w:val="Defpara"/>
      </w:pPr>
      <w:r>
        <w:tab/>
        <w:t>(c)</w:t>
      </w:r>
      <w:r>
        <w:tab/>
        <w:t>any other person that renders or provides resident services,</w:t>
      </w:r>
    </w:p>
    <w:p>
      <w:pPr>
        <w:pStyle w:val="Defstart"/>
      </w:pPr>
      <w:r>
        <w:tab/>
        <w:t>but does not include a service prescribed by regulation.</w:t>
      </w:r>
    </w:p>
    <w:p>
      <w:pPr>
        <w:pStyle w:val="Footnotesection"/>
      </w:pPr>
      <w:r>
        <w:tab/>
        <w:t>[Section 30 amended: No. 44 of 1999 s. 15; No. 37 of 2004 s. 26; No. 57 of 2004 s. 24; No. 28 of 2006 s. 158; No. 33 of 2010 s. 34; No. 4 of 2015 s. 74.]</w:t>
      </w:r>
    </w:p>
    <w:p>
      <w:pPr>
        <w:pStyle w:val="Heading5"/>
      </w:pPr>
      <w:bookmarkStart w:id="88" w:name="_Toc132298275"/>
      <w:r>
        <w:rPr>
          <w:rStyle w:val="CharSectno"/>
        </w:rPr>
        <w:t>30AA</w:t>
      </w:r>
      <w:r>
        <w:t>.</w:t>
      </w:r>
      <w:r>
        <w:tab/>
        <w:t xml:space="preserve">This Part to be read with </w:t>
      </w:r>
      <w:r>
        <w:rPr>
          <w:i/>
          <w:iCs/>
        </w:rPr>
        <w:t>Health and Disability Services (Complaints) Act 1995</w:t>
      </w:r>
      <w:bookmarkEnd w:id="88"/>
    </w:p>
    <w:p>
      <w:pPr>
        <w:pStyle w:val="Subsection"/>
        <w:spacing w:before="120"/>
      </w:pPr>
      <w:r>
        <w:tab/>
      </w:r>
      <w:r>
        <w:tab/>
        <w:t xml:space="preserve">This Part is to be read with the </w:t>
      </w:r>
      <w:r>
        <w:rPr>
          <w:i/>
          <w:iCs/>
        </w:rPr>
        <w:t>Health and Disability Services (Complaints) Act 1995</w:t>
      </w:r>
      <w:r>
        <w:t>.</w:t>
      </w:r>
    </w:p>
    <w:p>
      <w:pPr>
        <w:pStyle w:val="Footnotesection"/>
        <w:spacing w:before="80"/>
        <w:ind w:left="890" w:hanging="890"/>
      </w:pPr>
      <w:r>
        <w:tab/>
        <w:t>[Section 30AA inserted No. 33 of 2010 s. 35.]</w:t>
      </w:r>
    </w:p>
    <w:p>
      <w:pPr>
        <w:pStyle w:val="Heading5"/>
        <w:spacing w:before="180"/>
      </w:pPr>
      <w:bookmarkStart w:id="89" w:name="_Toc132298276"/>
      <w:r>
        <w:rPr>
          <w:rStyle w:val="CharSectno"/>
        </w:rPr>
        <w:lastRenderedPageBreak/>
        <w:t>30A</w:t>
      </w:r>
      <w:r>
        <w:t>.</w:t>
      </w:r>
      <w:r>
        <w:tab/>
        <w:t>Functions of Director</w:t>
      </w:r>
      <w:bookmarkEnd w:id="89"/>
    </w:p>
    <w:p>
      <w:pPr>
        <w:pStyle w:val="Subsection"/>
        <w:spacing w:before="120"/>
      </w:pPr>
      <w:r>
        <w:tab/>
        <w:t>(1)</w:t>
      </w:r>
      <w:r>
        <w:tab/>
        <w:t xml:space="preserve">The functions of the Director under this Part are as follows — </w:t>
      </w:r>
    </w:p>
    <w:p>
      <w:pPr>
        <w:pStyle w:val="Indenta"/>
      </w:pPr>
      <w:r>
        <w:tab/>
        <w:t>(a)</w:t>
      </w:r>
      <w:r>
        <w:tab/>
        <w:t>to deal with complaints in accordance with this Part;</w:t>
      </w:r>
    </w:p>
    <w:p>
      <w:pPr>
        <w:pStyle w:val="Indenta"/>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pPr>
      <w:r>
        <w:tab/>
        <w:t>(c)</w:t>
      </w:r>
      <w:r>
        <w:tab/>
        <w:t>to take steps to bring to the notice of people with disability and service providers details of procedures for making complaints under this Act;</w:t>
      </w:r>
    </w:p>
    <w:p>
      <w:pPr>
        <w:pStyle w:val="Indenta"/>
      </w:pPr>
      <w:r>
        <w:tab/>
        <w:t>(d)</w:t>
      </w:r>
      <w:r>
        <w:tab/>
        <w:t>to assist service providers in developing and improving procedures for making complaints and the training of staff in handling complaints;</w:t>
      </w:r>
    </w:p>
    <w:p>
      <w:pPr>
        <w:pStyle w:val="Indenta"/>
      </w:pPr>
      <w:r>
        <w:tab/>
        <w:t>(e)</w:t>
      </w:r>
      <w:r>
        <w:tab/>
        <w:t>with the approval of the Minister, to inquire into broader issues of the care of people with disability arising out of complaints received;</w:t>
      </w:r>
    </w:p>
    <w:p>
      <w:pPr>
        <w:pStyle w:val="Indenta"/>
      </w:pPr>
      <w:r>
        <w:tab/>
        <w:t>(f)</w:t>
      </w:r>
      <w:r>
        <w:tab/>
        <w:t>subject to subsection (2), to cause information about the work of the Complaints Office to be published from time to time;</w:t>
      </w:r>
    </w:p>
    <w:p>
      <w:pPr>
        <w:pStyle w:val="Indenta"/>
      </w:pPr>
      <w:r>
        <w:tab/>
        <w:t>(g)</w:t>
      </w:r>
      <w:r>
        <w:tab/>
        <w:t xml:space="preserve">to provide advice generally on any matter relating to complaints under this Act, and in particular — </w:t>
      </w:r>
    </w:p>
    <w:p>
      <w:pPr>
        <w:pStyle w:val="Indenti"/>
      </w:pPr>
      <w:r>
        <w:tab/>
        <w:t>(i)</w:t>
      </w:r>
      <w:r>
        <w:tab/>
        <w:t>advice to people with disability on the making of complaints; and</w:t>
      </w:r>
    </w:p>
    <w:p>
      <w:pPr>
        <w:pStyle w:val="Indenti"/>
        <w:spacing w:before="60"/>
      </w:pPr>
      <w:r>
        <w:tab/>
        <w:t>(ii)</w:t>
      </w:r>
      <w:r>
        <w:tab/>
        <w:t>advice to people with disability as to other avenues available for dealing with complaints; and</w:t>
      </w:r>
    </w:p>
    <w:p>
      <w:pPr>
        <w:pStyle w:val="Indenti"/>
      </w:pPr>
      <w:r>
        <w:tab/>
        <w:t>(iii)</w:t>
      </w:r>
      <w:r>
        <w:tab/>
        <w:t>advice about removing or minimising the causes of complaints.</w:t>
      </w:r>
    </w:p>
    <w:p>
      <w:pPr>
        <w:pStyle w:val="Subsection"/>
        <w:keepNext/>
        <w:spacing w:before="180"/>
      </w:pPr>
      <w:r>
        <w:lastRenderedPageBreak/>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disability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43B.</w:t>
      </w:r>
    </w:p>
    <w:p>
      <w:pPr>
        <w:pStyle w:val="Footnotesection"/>
      </w:pPr>
      <w:r>
        <w:tab/>
        <w:t>[Section 30A inserted: No. 57 of 2004 s. 25; amended: No. 33 of 2010 s. 36; No. 40 of 2012 s. 11 and 24.]</w:t>
      </w:r>
    </w:p>
    <w:p>
      <w:pPr>
        <w:pStyle w:val="Heading5"/>
        <w:spacing w:before="240"/>
        <w:rPr>
          <w:snapToGrid w:val="0"/>
        </w:rPr>
      </w:pPr>
      <w:bookmarkStart w:id="90" w:name="_Toc132298277"/>
      <w:r>
        <w:rPr>
          <w:rStyle w:val="CharSectno"/>
        </w:rPr>
        <w:t>31</w:t>
      </w:r>
      <w:r>
        <w:rPr>
          <w:snapToGrid w:val="0"/>
        </w:rPr>
        <w:t>.</w:t>
      </w:r>
      <w:r>
        <w:rPr>
          <w:snapToGrid w:val="0"/>
        </w:rPr>
        <w:tab/>
        <w:t>Parties themselves may resolve complaint</w:t>
      </w:r>
      <w:bookmarkEnd w:id="90"/>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No. 44 of 1999 s. 22; No. 33 of 2010 s. 37.]</w:t>
      </w:r>
    </w:p>
    <w:p>
      <w:pPr>
        <w:pStyle w:val="Heading3"/>
        <w:rPr>
          <w:snapToGrid w:val="0"/>
        </w:rPr>
      </w:pPr>
      <w:bookmarkStart w:id="91" w:name="_Toc132191864"/>
      <w:bookmarkStart w:id="92" w:name="_Toc132191990"/>
      <w:bookmarkStart w:id="93" w:name="_Toc132298278"/>
      <w:r>
        <w:rPr>
          <w:rStyle w:val="CharDivNo"/>
        </w:rPr>
        <w:t>Division 2</w:t>
      </w:r>
      <w:r>
        <w:rPr>
          <w:snapToGrid w:val="0"/>
        </w:rPr>
        <w:t> — </w:t>
      </w:r>
      <w:r>
        <w:rPr>
          <w:rStyle w:val="CharDivText"/>
        </w:rPr>
        <w:t>Complaints and conciliation</w:t>
      </w:r>
      <w:bookmarkEnd w:id="91"/>
      <w:bookmarkEnd w:id="92"/>
      <w:bookmarkEnd w:id="93"/>
      <w:r>
        <w:rPr>
          <w:rStyle w:val="CharDivText"/>
        </w:rPr>
        <w:t xml:space="preserve"> </w:t>
      </w:r>
    </w:p>
    <w:p>
      <w:pPr>
        <w:pStyle w:val="Heading5"/>
        <w:spacing w:before="180"/>
        <w:rPr>
          <w:snapToGrid w:val="0"/>
        </w:rPr>
      </w:pPr>
      <w:bookmarkStart w:id="94" w:name="_Toc132298279"/>
      <w:r>
        <w:rPr>
          <w:rStyle w:val="CharSectno"/>
        </w:rPr>
        <w:t>32</w:t>
      </w:r>
      <w:r>
        <w:rPr>
          <w:snapToGrid w:val="0"/>
        </w:rPr>
        <w:t>.</w:t>
      </w:r>
      <w:r>
        <w:rPr>
          <w:snapToGrid w:val="0"/>
        </w:rPr>
        <w:tab/>
        <w:t>Who may complain</w:t>
      </w:r>
      <w:bookmarkEnd w:id="94"/>
      <w:r>
        <w:rPr>
          <w:snapToGrid w:val="0"/>
        </w:rPr>
        <w:t xml:space="preserve"> </w:t>
      </w:r>
    </w:p>
    <w:p>
      <w:pPr>
        <w:pStyle w:val="Subsection"/>
        <w:rPr>
          <w:snapToGrid w:val="0"/>
        </w:rPr>
      </w:pPr>
      <w:r>
        <w:rPr>
          <w:snapToGrid w:val="0"/>
        </w:rPr>
        <w:tab/>
        <w:t>(1)</w:t>
      </w:r>
      <w:r>
        <w:rPr>
          <w:snapToGrid w:val="0"/>
        </w:rPr>
        <w:tab/>
        <w:t xml:space="preserve">A complaint about a person referred to in section 33(1) </w:t>
      </w:r>
      <w:r>
        <w:t xml:space="preserve">or (3) </w:t>
      </w:r>
      <w:r>
        <w:rPr>
          <w:snapToGrid w:val="0"/>
        </w:rPr>
        <w:t xml:space="preserve">alleging one or more of the matters set out in section 33(2) </w:t>
      </w:r>
      <w:r>
        <w:t xml:space="preserve">or (4) </w:t>
      </w:r>
      <w:r>
        <w:rPr>
          <w:snapToGrid w:val="0"/>
        </w:rPr>
        <w:t>may be made to the Director — </w:t>
      </w:r>
    </w:p>
    <w:p>
      <w:pPr>
        <w:pStyle w:val="Indenta"/>
        <w:rPr>
          <w:snapToGrid w:val="0"/>
        </w:rPr>
      </w:pPr>
      <w:r>
        <w:rPr>
          <w:snapToGrid w:val="0"/>
        </w:rPr>
        <w:tab/>
        <w:t>(a)</w:t>
      </w:r>
      <w:r>
        <w:rPr>
          <w:snapToGrid w:val="0"/>
        </w:rPr>
        <w:tab/>
        <w:t xml:space="preserve">personally by a person with </w:t>
      </w:r>
      <w:r>
        <w:t>disability</w:t>
      </w:r>
      <w:r>
        <w:rPr>
          <w:snapToGrid w:val="0"/>
        </w:rPr>
        <w:t>; or</w:t>
      </w:r>
    </w:p>
    <w:p>
      <w:pPr>
        <w:pStyle w:val="Indenta"/>
        <w:rPr>
          <w:snapToGrid w:val="0"/>
        </w:rPr>
      </w:pPr>
      <w:r>
        <w:rPr>
          <w:snapToGrid w:val="0"/>
        </w:rPr>
        <w:tab/>
        <w:t>(b)</w:t>
      </w:r>
      <w:r>
        <w:rPr>
          <w:snapToGrid w:val="0"/>
        </w:rPr>
        <w:tab/>
        <w:t xml:space="preserve">on behalf of a person with </w:t>
      </w:r>
      <w:r>
        <w:t>disability</w:t>
      </w:r>
      <w:r>
        <w:rPr>
          <w:snapToGrid w:val="0"/>
        </w:rPr>
        <w:t xml:space="preserve">, by a person who under subsection (2) is recognised as </w:t>
      </w:r>
      <w:r>
        <w:t>the person’s representative; or</w:t>
      </w:r>
    </w:p>
    <w:p>
      <w:pPr>
        <w:pStyle w:val="Indenta"/>
        <w:keepNext/>
        <w:rPr>
          <w:snapToGrid w:val="0"/>
        </w:rPr>
      </w:pPr>
      <w:r>
        <w:rPr>
          <w:snapToGrid w:val="0"/>
        </w:rPr>
        <w:lastRenderedPageBreak/>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pPr>
      <w:r>
        <w:tab/>
        <w:t>(2A)</w:t>
      </w:r>
      <w:r>
        <w:tab/>
        <w:t>A complaint may be made to the Director under this section by a professional registration Board where that Board becomes aware of one or more of the matters set out in section 33(2) in relation to a member of its profession.</w:t>
      </w:r>
    </w:p>
    <w:p>
      <w:pPr>
        <w:pStyle w:val="Subsection"/>
        <w:keepNext/>
        <w:rPr>
          <w:snapToGrid w:val="0"/>
        </w:rPr>
      </w:pPr>
      <w:r>
        <w:rPr>
          <w:snapToGrid w:val="0"/>
        </w:rPr>
        <w:tab/>
        <w:t>(2)</w:t>
      </w:r>
      <w:r>
        <w:rPr>
          <w:snapToGrid w:val="0"/>
        </w:rPr>
        <w:tab/>
        <w:t xml:space="preserve">The Director may recognise as </w:t>
      </w:r>
      <w:r>
        <w:t>a representative of</w:t>
      </w:r>
      <w:r>
        <w:rPr>
          <w:snapToGrid w:val="0"/>
        </w:rPr>
        <w:t xml:space="preserve"> a person with </w:t>
      </w:r>
      <w:r>
        <w:t>disability</w:t>
      </w:r>
      <w:r>
        <w:rPr>
          <w:snapToGrid w:val="0"/>
        </w:rPr>
        <w:t> — </w:t>
      </w:r>
    </w:p>
    <w:p>
      <w:pPr>
        <w:pStyle w:val="Indenta"/>
        <w:rPr>
          <w:snapToGrid w:val="0"/>
        </w:rPr>
      </w:pPr>
      <w:r>
        <w:rPr>
          <w:snapToGrid w:val="0"/>
        </w:rPr>
        <w:tab/>
        <w:t>(a)</w:t>
      </w:r>
      <w:r>
        <w:rPr>
          <w:snapToGrid w:val="0"/>
        </w:rPr>
        <w:tab/>
        <w:t xml:space="preserve">a person chosen as such by the person with </w:t>
      </w:r>
      <w:r>
        <w:t>disability</w:t>
      </w:r>
      <w:r>
        <w:rPr>
          <w:snapToGrid w:val="0"/>
        </w:rPr>
        <w:t>; or</w:t>
      </w:r>
    </w:p>
    <w:p>
      <w:pPr>
        <w:pStyle w:val="Indenta"/>
        <w:rPr>
          <w:snapToGrid w:val="0"/>
        </w:rPr>
      </w:pPr>
      <w:r>
        <w:rPr>
          <w:snapToGrid w:val="0"/>
        </w:rPr>
        <w:tab/>
        <w:t>(b)</w:t>
      </w:r>
      <w:r>
        <w:rPr>
          <w:snapToGrid w:val="0"/>
        </w:rPr>
        <w:tab/>
        <w:t xml:space="preserve">a person not chosen by the person with </w:t>
      </w:r>
      <w:r>
        <w:t>disability</w:t>
      </w:r>
      <w:r>
        <w:rPr>
          <w:snapToGrid w:val="0"/>
        </w:rPr>
        <w:t xml:space="preserve"> if, in the Director’s opinion — </w:t>
      </w:r>
    </w:p>
    <w:p>
      <w:pPr>
        <w:pStyle w:val="Indenti"/>
        <w:spacing w:before="60"/>
        <w:rPr>
          <w:snapToGrid w:val="0"/>
        </w:rPr>
      </w:pPr>
      <w:r>
        <w:rPr>
          <w:snapToGrid w:val="0"/>
        </w:rPr>
        <w:tab/>
        <w:t>(i)</w:t>
      </w:r>
      <w:r>
        <w:rPr>
          <w:snapToGrid w:val="0"/>
        </w:rPr>
        <w:tab/>
        <w:t xml:space="preserve">the person with </w:t>
      </w:r>
      <w:r>
        <w:t>disability</w:t>
      </w:r>
      <w:r>
        <w:rPr>
          <w:snapToGrid w:val="0"/>
        </w:rPr>
        <w:t xml:space="preserve"> is unable personally to complain and is unable personally to choose a person to be his or her </w:t>
      </w:r>
      <w:r>
        <w:t>representative; and</w:t>
      </w:r>
    </w:p>
    <w:p>
      <w:pPr>
        <w:pStyle w:val="Indenti"/>
        <w:rPr>
          <w:snapToGrid w:val="0"/>
        </w:rPr>
      </w:pPr>
      <w:r>
        <w:rPr>
          <w:snapToGrid w:val="0"/>
        </w:rPr>
        <w:tab/>
        <w:t>(ii)</w:t>
      </w:r>
      <w:r>
        <w:rPr>
          <w:snapToGrid w:val="0"/>
        </w:rPr>
        <w:tab/>
        <w:t xml:space="preserve">the prospective </w:t>
      </w:r>
      <w:r>
        <w:t>representative</w:t>
      </w:r>
      <w:r>
        <w:rPr>
          <w:snapToGrid w:val="0"/>
        </w:rPr>
        <w:t xml:space="preserv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disability if —</w:t>
      </w:r>
    </w:p>
    <w:p>
      <w:pPr>
        <w:pStyle w:val="Indenti"/>
      </w:pPr>
      <w:r>
        <w:tab/>
        <w:t>(i)</w:t>
      </w:r>
      <w:r>
        <w:tab/>
        <w:t>the person with disability has died; and</w:t>
      </w:r>
    </w:p>
    <w:p>
      <w:pPr>
        <w:pStyle w:val="Indenti"/>
      </w:pPr>
      <w:r>
        <w:tab/>
        <w:t>(ii)</w:t>
      </w:r>
      <w:r>
        <w:tab/>
        <w:t>in the Director’s opinion, the prospective representative is a person who has a sufficient interest in the subject matter of the complaint.</w:t>
      </w:r>
    </w:p>
    <w:p>
      <w:pPr>
        <w:pStyle w:val="Subsection"/>
        <w:rPr>
          <w:snapToGrid w:val="0"/>
        </w:rPr>
      </w:pPr>
      <w:r>
        <w:rPr>
          <w:snapToGrid w:val="0"/>
        </w:rPr>
        <w:tab/>
        <w:t>(3)</w:t>
      </w:r>
      <w:r>
        <w:rPr>
          <w:snapToGrid w:val="0"/>
        </w:rPr>
        <w:tab/>
        <w:t xml:space="preserve">A person who is related (by blood or marriage) </w:t>
      </w:r>
      <w:r>
        <w:t>to, or is in a de facto relationship with, a</w:t>
      </w:r>
      <w:r>
        <w:rPr>
          <w:snapToGrid w:val="0"/>
        </w:rPr>
        <w:t xml:space="preserve"> person with </w:t>
      </w:r>
      <w:r>
        <w:t>disability</w:t>
      </w:r>
      <w:r>
        <w:rPr>
          <w:snapToGrid w:val="0"/>
        </w:rPr>
        <w:t xml:space="preserve"> may be his or her </w:t>
      </w:r>
      <w:r>
        <w:t>representative.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lastRenderedPageBreak/>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No. 44 of 1999 s. 22 and 23; No. 37 of 2004 s. 27; No. 33 of 2010 s. 38; No. 40 of 2012 s. 12 and 24; No. 4 of 2015 s. 75.]</w:t>
      </w:r>
    </w:p>
    <w:p>
      <w:pPr>
        <w:pStyle w:val="Heading5"/>
        <w:rPr>
          <w:snapToGrid w:val="0"/>
        </w:rPr>
      </w:pPr>
      <w:bookmarkStart w:id="95" w:name="_Toc132298280"/>
      <w:r>
        <w:rPr>
          <w:rStyle w:val="CharSectno"/>
        </w:rPr>
        <w:t>33</w:t>
      </w:r>
      <w:r>
        <w:rPr>
          <w:snapToGrid w:val="0"/>
        </w:rPr>
        <w:t>.</w:t>
      </w:r>
      <w:r>
        <w:rPr>
          <w:snapToGrid w:val="0"/>
        </w:rPr>
        <w:tab/>
        <w:t>Who and what can be complained about</w:t>
      </w:r>
      <w:bookmarkEnd w:id="95"/>
      <w:r>
        <w:rPr>
          <w:snapToGrid w:val="0"/>
        </w:rPr>
        <w:t xml:space="preserve"> </w:t>
      </w:r>
    </w:p>
    <w:p>
      <w:pPr>
        <w:pStyle w:val="Subsection"/>
        <w:rPr>
          <w:snapToGrid w:val="0"/>
        </w:rPr>
      </w:pPr>
      <w:r>
        <w:rPr>
          <w:snapToGrid w:val="0"/>
        </w:rPr>
        <w:tab/>
        <w:t>(1)</w:t>
      </w:r>
      <w:r>
        <w:rPr>
          <w:snapToGrid w:val="0"/>
        </w:rPr>
        <w:tab/>
        <w:t>A complaint may be about — </w:t>
      </w:r>
    </w:p>
    <w:p>
      <w:pPr>
        <w:pStyle w:val="Indenta"/>
      </w:pPr>
      <w:r>
        <w:tab/>
        <w:t>(a)</w:t>
      </w:r>
      <w:r>
        <w:tab/>
        <w:t>a service provider who or which, at the time the subject matter of the complaint arose, was providing a disability service, whether or not with funds granted under Part 4; or</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 xml:space="preserve">A complaint </w:t>
      </w:r>
      <w:r>
        <w:t xml:space="preserve">made under subsection (1) </w:t>
      </w:r>
      <w:r>
        <w:rPr>
          <w:snapToGrid w:val="0"/>
        </w:rPr>
        <w:t>must allege that after the date on which this Act comes into operation, a service provider or the Commission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lastRenderedPageBreak/>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(ga)</w:t>
      </w:r>
      <w:r>
        <w:tab/>
        <w:t>failed to comply with the Disability Services Standards, or failed to ensure that those standards were met by service providers; or</w:t>
      </w:r>
    </w:p>
    <w:p>
      <w:pPr>
        <w:pStyle w:val="Indenta"/>
      </w:pPr>
      <w:r>
        <w:tab/>
        <w:t>(g)</w:t>
      </w:r>
      <w:r>
        <w:tab/>
        <w:t>in respect of a complaint about a matter mentioned in paragraphs (a) to (e) made to the provider or Commission by a person with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pPr>
      <w:r>
        <w:tab/>
        <w:t>(3)</w:t>
      </w:r>
      <w:r>
        <w:tab/>
        <w:t>A complaint may be made about a service provider that, at the time the subject matter of the complaint arose, was providing or was required to provide a resident service.</w:t>
      </w:r>
    </w:p>
    <w:p>
      <w:pPr>
        <w:pStyle w:val="Subsection"/>
      </w:pPr>
      <w:r>
        <w:tab/>
        <w:t>(4)</w:t>
      </w:r>
      <w:r>
        <w:tab/>
        <w:t xml:space="preserve">A complaint made under subsection (3) may allege only that the service provider — </w:t>
      </w:r>
    </w:p>
    <w:p>
      <w:pPr>
        <w:pStyle w:val="Indenta"/>
      </w:pPr>
      <w:r>
        <w:tab/>
        <w:t>(a)</w:t>
      </w:r>
      <w:r>
        <w:tab/>
        <w:t>acted unreasonably by not providing a resident service to the complainant; or</w:t>
      </w:r>
    </w:p>
    <w:p>
      <w:pPr>
        <w:pStyle w:val="Indenta"/>
      </w:pPr>
      <w:r>
        <w:tab/>
        <w:t>(b)</w:t>
      </w:r>
      <w:r>
        <w:tab/>
        <w:t>acted unreasonably by providing a resident service to the complainant, whether the service was requested by the complainant or a third party; or</w:t>
      </w:r>
    </w:p>
    <w:p>
      <w:pPr>
        <w:pStyle w:val="Indenta"/>
      </w:pPr>
      <w:r>
        <w:tab/>
        <w:t>(c)</w:t>
      </w:r>
      <w:r>
        <w:tab/>
        <w:t>acted unreasonably in the manner of providing a resident service to the complainant; or</w:t>
      </w:r>
    </w:p>
    <w:p>
      <w:pPr>
        <w:pStyle w:val="Indenta"/>
      </w:pPr>
      <w:r>
        <w:lastRenderedPageBreak/>
        <w:tab/>
        <w:t>(d)</w:t>
      </w:r>
      <w:r>
        <w:tab/>
        <w:t>acted unreasonably by denying or restricting the complainant’s access to records relating to the complainant kept by the service provider; or</w:t>
      </w:r>
    </w:p>
    <w:p>
      <w:pPr>
        <w:pStyle w:val="Indenta"/>
      </w:pPr>
      <w:r>
        <w:tab/>
        <w:t>(e)</w:t>
      </w:r>
      <w:r>
        <w:tab/>
        <w:t>acted unreasonably in disclosing records or confidential information relating to the complainant; or</w:t>
      </w:r>
    </w:p>
    <w:p>
      <w:pPr>
        <w:pStyle w:val="Indenta"/>
      </w:pPr>
      <w:r>
        <w:tab/>
        <w:t>(f)</w:t>
      </w:r>
      <w:r>
        <w:tab/>
        <w:t>failed to have regard to the principles set out in the Declared Places Act section 5(1) to (3) as required by section 5(4) of that Act; or</w:t>
      </w:r>
    </w:p>
    <w:p>
      <w:pPr>
        <w:pStyle w:val="Indenta"/>
      </w:pPr>
      <w:r>
        <w:tab/>
        <w:t>(g)</w:t>
      </w:r>
      <w:r>
        <w:tab/>
        <w:t>failed to have regard to the objectives set out in the Declared Places Act section 6(1) to (7) as required by section 6(8) of that Act; or</w:t>
      </w:r>
    </w:p>
    <w:p>
      <w:pPr>
        <w:pStyle w:val="Indenta"/>
      </w:pPr>
      <w:r>
        <w:tab/>
        <w:t>(h)</w:t>
      </w:r>
      <w:r>
        <w:tab/>
        <w:t>failed to comply with the Carers Charter; or</w:t>
      </w:r>
    </w:p>
    <w:p>
      <w:pPr>
        <w:pStyle w:val="Indenta"/>
      </w:pPr>
      <w:r>
        <w:tab/>
        <w:t>(i)</w:t>
      </w:r>
      <w:r>
        <w:tab/>
        <w:t xml:space="preserve">in respect of a complaint about a matter mentioned in paragraphs (a) to (e) made to the service provider by a resident, acted unreasonably by — </w:t>
      </w:r>
    </w:p>
    <w:p>
      <w:pPr>
        <w:pStyle w:val="Indenti"/>
      </w:pPr>
      <w:r>
        <w:tab/>
        <w:t>(i)</w:t>
      </w:r>
      <w:r>
        <w:tab/>
        <w:t>not properly investigating the complaint or not causing it to be properly investigated; or</w:t>
      </w:r>
    </w:p>
    <w:p>
      <w:pPr>
        <w:pStyle w:val="Indenti"/>
      </w:pPr>
      <w:r>
        <w:tab/>
        <w:t>(ii)</w:t>
      </w:r>
      <w:r>
        <w:tab/>
        <w:t>not taking, or not causing to be taken, proper action in relation to the complaint;</w:t>
      </w:r>
    </w:p>
    <w:p>
      <w:pPr>
        <w:pStyle w:val="Indenta"/>
      </w:pPr>
      <w:r>
        <w:tab/>
      </w:r>
      <w:r>
        <w:tab/>
        <w:t>or</w:t>
      </w:r>
    </w:p>
    <w:p>
      <w:pPr>
        <w:pStyle w:val="Indenta"/>
      </w:pPr>
      <w:r>
        <w:tab/>
        <w:t>(j)</w:t>
      </w:r>
      <w:r>
        <w:tab/>
        <w:t>failed to give an explanation as required under the Declared Places Act section 8(1), (2) or (3) or failed to give an explanation in the manner required by section 8(4) of that Act; or</w:t>
      </w:r>
    </w:p>
    <w:p>
      <w:pPr>
        <w:pStyle w:val="Indenta"/>
      </w:pPr>
      <w:r>
        <w:tab/>
        <w:t>(k)</w:t>
      </w:r>
      <w:r>
        <w:tab/>
        <w:t>acted unreasonably in the making of an order under the Declared Places Act section 10(1) or (4); or</w:t>
      </w:r>
    </w:p>
    <w:p>
      <w:pPr>
        <w:pStyle w:val="Indenta"/>
      </w:pPr>
      <w:r>
        <w:tab/>
        <w:t>(l)</w:t>
      </w:r>
      <w:r>
        <w:tab/>
        <w:t>acted unreasonably in relation to the regulated behaviour management, as defined in the Declared Places Act section 3, of a resident.</w:t>
      </w:r>
    </w:p>
    <w:p>
      <w:pPr>
        <w:pStyle w:val="Footnotesection"/>
      </w:pPr>
      <w:r>
        <w:tab/>
        <w:t>[Section 33 amended: No. 44 of 1999 s. 16; No. 37 of 2004 s. 28; No. 33 of 2010 s. 39; No. 40 of 2012 s. 13 and 24; No. 4 of 2015 s. 76.]</w:t>
      </w:r>
    </w:p>
    <w:p>
      <w:pPr>
        <w:pStyle w:val="Heading5"/>
        <w:rPr>
          <w:snapToGrid w:val="0"/>
        </w:rPr>
      </w:pPr>
      <w:bookmarkStart w:id="96" w:name="_Toc132298281"/>
      <w:r>
        <w:rPr>
          <w:rStyle w:val="CharSectno"/>
        </w:rPr>
        <w:lastRenderedPageBreak/>
        <w:t>33A</w:t>
      </w:r>
      <w:r>
        <w:rPr>
          <w:snapToGrid w:val="0"/>
        </w:rPr>
        <w:t>.</w:t>
      </w:r>
      <w:r>
        <w:rPr>
          <w:snapToGrid w:val="0"/>
        </w:rPr>
        <w:tab/>
        <w:t>Health services complaints</w:t>
      </w:r>
      <w:bookmarkEnd w:id="96"/>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No. 75 of 1995 s. 80(2); amended: No. 33 of 2010 s. 40.] </w:t>
      </w:r>
    </w:p>
    <w:p>
      <w:pPr>
        <w:pStyle w:val="Heading5"/>
        <w:rPr>
          <w:snapToGrid w:val="0"/>
        </w:rPr>
      </w:pPr>
      <w:bookmarkStart w:id="97" w:name="_Toc132298282"/>
      <w:r>
        <w:rPr>
          <w:rStyle w:val="CharSectno"/>
        </w:rPr>
        <w:t>34</w:t>
      </w:r>
      <w:r>
        <w:rPr>
          <w:snapToGrid w:val="0"/>
        </w:rPr>
        <w:t>.</w:t>
      </w:r>
      <w:r>
        <w:rPr>
          <w:snapToGrid w:val="0"/>
        </w:rPr>
        <w:tab/>
        <w:t>Time for complaining</w:t>
      </w:r>
      <w:bookmarkEnd w:id="97"/>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No. 44 of 1999 s. 17, 22 and 23.]</w:t>
      </w:r>
    </w:p>
    <w:p>
      <w:pPr>
        <w:pStyle w:val="Heading5"/>
        <w:rPr>
          <w:snapToGrid w:val="0"/>
        </w:rPr>
      </w:pPr>
      <w:bookmarkStart w:id="98" w:name="_Toc132298283"/>
      <w:r>
        <w:rPr>
          <w:rStyle w:val="CharSectno"/>
        </w:rPr>
        <w:t>35</w:t>
      </w:r>
      <w:r>
        <w:rPr>
          <w:snapToGrid w:val="0"/>
        </w:rPr>
        <w:t>.</w:t>
      </w:r>
      <w:r>
        <w:rPr>
          <w:snapToGrid w:val="0"/>
        </w:rPr>
        <w:tab/>
        <w:t>How to complain</w:t>
      </w:r>
      <w:bookmarkEnd w:id="9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No. 44 of 1999 s. 22.]</w:t>
      </w:r>
    </w:p>
    <w:p>
      <w:pPr>
        <w:pStyle w:val="Heading5"/>
        <w:rPr>
          <w:snapToGrid w:val="0"/>
        </w:rPr>
      </w:pPr>
      <w:bookmarkStart w:id="99" w:name="_Toc132298284"/>
      <w:r>
        <w:rPr>
          <w:rStyle w:val="CharSectno"/>
        </w:rPr>
        <w:lastRenderedPageBreak/>
        <w:t>36</w:t>
      </w:r>
      <w:r>
        <w:rPr>
          <w:snapToGrid w:val="0"/>
        </w:rPr>
        <w:t>.</w:t>
      </w:r>
      <w:r>
        <w:rPr>
          <w:snapToGrid w:val="0"/>
        </w:rPr>
        <w:tab/>
        <w:t>Withdrawal of complaint</w:t>
      </w:r>
      <w:bookmarkEnd w:id="99"/>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No. 44 of 1999 s. 22; No. 33 of 2010 s. 41.]</w:t>
      </w:r>
    </w:p>
    <w:p>
      <w:pPr>
        <w:pStyle w:val="Heading5"/>
        <w:rPr>
          <w:snapToGrid w:val="0"/>
        </w:rPr>
      </w:pPr>
      <w:bookmarkStart w:id="100" w:name="_Toc132298285"/>
      <w:r>
        <w:rPr>
          <w:rStyle w:val="CharSectno"/>
        </w:rPr>
        <w:t>37</w:t>
      </w:r>
      <w:r>
        <w:rPr>
          <w:snapToGrid w:val="0"/>
        </w:rPr>
        <w:t>.</w:t>
      </w:r>
      <w:r>
        <w:rPr>
          <w:snapToGrid w:val="0"/>
        </w:rPr>
        <w:tab/>
        <w:t>Preliminary decision by Director</w:t>
      </w:r>
      <w:bookmarkEnd w:id="100"/>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 or</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lastRenderedPageBreak/>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No. 44 of 1999 s. 22; No. 33 of 2010 s. 42.]</w:t>
      </w:r>
    </w:p>
    <w:p>
      <w:pPr>
        <w:pStyle w:val="Heading5"/>
        <w:rPr>
          <w:snapToGrid w:val="0"/>
        </w:rPr>
      </w:pPr>
      <w:bookmarkStart w:id="101" w:name="_Toc132298286"/>
      <w:r>
        <w:rPr>
          <w:rStyle w:val="CharSectno"/>
        </w:rPr>
        <w:t>38</w:t>
      </w:r>
      <w:r>
        <w:rPr>
          <w:snapToGrid w:val="0"/>
        </w:rPr>
        <w:t>.</w:t>
      </w:r>
      <w:r>
        <w:rPr>
          <w:snapToGrid w:val="0"/>
        </w:rPr>
        <w:tab/>
        <w:t>Rejection, deferral or referral of complaints</w:t>
      </w:r>
      <w:bookmarkEnd w:id="101"/>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pPr>
      <w:r>
        <w:tab/>
        <w:t>(2A)</w:t>
      </w:r>
      <w:r>
        <w:tab/>
        <w:t>The Director may reject a complaint if, in the Director’s opinion, the complainant has not taken reasonable steps to resolve the matter with the respondent.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lastRenderedPageBreak/>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Subsection"/>
      </w:pPr>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p>
    <w:p>
      <w:pPr>
        <w:pStyle w:val="Footnotesection"/>
      </w:pPr>
      <w:r>
        <w:tab/>
        <w:t>[Section 38 amended: No. 44 of 1999 s. 22 and 23; No. 40 of 2012 s. 14; No. 4 of 2015 s. 77.]</w:t>
      </w:r>
    </w:p>
    <w:p>
      <w:pPr>
        <w:pStyle w:val="Heading5"/>
      </w:pPr>
      <w:bookmarkStart w:id="102" w:name="_Toc132298287"/>
      <w:r>
        <w:rPr>
          <w:rStyle w:val="CharSectno"/>
        </w:rPr>
        <w:t>39A</w:t>
      </w:r>
      <w:r>
        <w:t>.</w:t>
      </w:r>
      <w:r>
        <w:tab/>
        <w:t>Response by respondent</w:t>
      </w:r>
      <w:bookmarkEnd w:id="102"/>
    </w:p>
    <w:p>
      <w:pPr>
        <w:pStyle w:val="Subsection"/>
        <w:spacing w:before="120"/>
      </w:pPr>
      <w:r>
        <w:tab/>
        <w:t>(1)</w:t>
      </w:r>
      <w:r>
        <w:tab/>
        <w:t>A respondent who is given a notice under section 37(3)(c) may give the Director a written response to the complaint concerned.</w:t>
      </w:r>
    </w:p>
    <w:p>
      <w:pPr>
        <w:pStyle w:val="Subsection"/>
        <w:spacing w:before="120"/>
      </w:pPr>
      <w:r>
        <w:tab/>
        <w:t>(2)</w:t>
      </w:r>
      <w:r>
        <w:tab/>
        <w:t>A respondent who is given a notice under section 37(4A) must give the Director a written response to the complaint concerned.</w:t>
      </w:r>
    </w:p>
    <w:p>
      <w:pPr>
        <w:pStyle w:val="Subsection"/>
        <w:spacing w:before="120"/>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spacing w:before="120"/>
      </w:pPr>
      <w:r>
        <w:tab/>
        <w:t>(4)</w:t>
      </w:r>
      <w:r>
        <w:tab/>
        <w:t>The Director may extend that 28 day period for good reason.</w:t>
      </w:r>
    </w:p>
    <w:p>
      <w:pPr>
        <w:pStyle w:val="Subsection"/>
        <w:spacing w:before="120"/>
      </w:pPr>
      <w:r>
        <w:tab/>
        <w:t>(5)</w:t>
      </w:r>
      <w:r>
        <w:tab/>
        <w:t>If a respondent does not comply with subsection (2), the Director may nevertheless deal with the complaint under this Part.</w:t>
      </w:r>
    </w:p>
    <w:p>
      <w:pPr>
        <w:pStyle w:val="Subsection"/>
        <w:spacing w:before="120"/>
      </w:pPr>
      <w:r>
        <w:tab/>
        <w:t>(6)</w:t>
      </w:r>
      <w:r>
        <w:tab/>
        <w:t>A respondent who does not comply with subsection (2) does not commit an offence.</w:t>
      </w:r>
    </w:p>
    <w:p>
      <w:pPr>
        <w:pStyle w:val="Subsection"/>
        <w:spacing w:before="120"/>
      </w:pPr>
      <w:r>
        <w:lastRenderedPageBreak/>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spacing w:before="120"/>
      </w:pPr>
      <w:r>
        <w:tab/>
        <w:t>(8)</w:t>
      </w:r>
      <w:r>
        <w:tab/>
        <w:t>Evidence of anything said in a response given by a respondent under this section is not admissible in proceedings before a court or tribunal.</w:t>
      </w:r>
    </w:p>
    <w:p>
      <w:pPr>
        <w:pStyle w:val="Subsection"/>
        <w:spacing w:before="120"/>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No. 33 of 2010 s. 43.]</w:t>
      </w:r>
    </w:p>
    <w:p>
      <w:pPr>
        <w:pStyle w:val="Heading5"/>
        <w:keepNext w:val="0"/>
        <w:keepLines w:val="0"/>
        <w:spacing w:before="180"/>
      </w:pPr>
      <w:bookmarkStart w:id="103" w:name="_Toc132298288"/>
      <w:r>
        <w:rPr>
          <w:rStyle w:val="CharSectno"/>
        </w:rPr>
        <w:t>39B</w:t>
      </w:r>
      <w:r>
        <w:t>.</w:t>
      </w:r>
      <w:r>
        <w:tab/>
        <w:t>Resolving complaints by negotiation</w:t>
      </w:r>
      <w:bookmarkEnd w:id="103"/>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lastRenderedPageBreak/>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No. 33 of 2010 s. 43.]</w:t>
      </w:r>
    </w:p>
    <w:p>
      <w:pPr>
        <w:pStyle w:val="Heading5"/>
        <w:rPr>
          <w:snapToGrid w:val="0"/>
        </w:rPr>
      </w:pPr>
      <w:bookmarkStart w:id="104" w:name="_Toc132298289"/>
      <w:r>
        <w:rPr>
          <w:rStyle w:val="CharSectno"/>
        </w:rPr>
        <w:t>39</w:t>
      </w:r>
      <w:r>
        <w:rPr>
          <w:snapToGrid w:val="0"/>
        </w:rPr>
        <w:t>.</w:t>
      </w:r>
      <w:r>
        <w:rPr>
          <w:snapToGrid w:val="0"/>
        </w:rPr>
        <w:tab/>
        <w:t>Conciliation of complaints</w:t>
      </w:r>
      <w:bookmarkEnd w:id="104"/>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lastRenderedPageBreak/>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 xml:space="preserve">the complainant may be represented by his or her </w:t>
      </w:r>
      <w:r>
        <w:t>representative;</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may investigate the complaint, if of the opinion that an investigation is warranted, taking into account the likely costs and benefits of the investigation.</w:t>
      </w:r>
    </w:p>
    <w:p>
      <w:pPr>
        <w:pStyle w:val="Footnotesection"/>
      </w:pPr>
      <w:r>
        <w:tab/>
        <w:t>[Section 39 amended: No. 44 of 1999 s. 22 and 23; No. 33 of 2010 s. 44; No. 40 of 2012 s. 15; No. 4 of 2015 s. 78.]</w:t>
      </w:r>
    </w:p>
    <w:p>
      <w:pPr>
        <w:pStyle w:val="Heading3"/>
        <w:rPr>
          <w:snapToGrid w:val="0"/>
        </w:rPr>
      </w:pPr>
      <w:bookmarkStart w:id="105" w:name="_Toc132191876"/>
      <w:bookmarkStart w:id="106" w:name="_Toc132192002"/>
      <w:bookmarkStart w:id="107" w:name="_Toc132298290"/>
      <w:r>
        <w:rPr>
          <w:rStyle w:val="CharDivNo"/>
        </w:rPr>
        <w:t>Division 3</w:t>
      </w:r>
      <w:r>
        <w:rPr>
          <w:snapToGrid w:val="0"/>
        </w:rPr>
        <w:t> — </w:t>
      </w:r>
      <w:r>
        <w:rPr>
          <w:rStyle w:val="CharDivText"/>
        </w:rPr>
        <w:t>Investigations</w:t>
      </w:r>
      <w:bookmarkEnd w:id="105"/>
      <w:bookmarkEnd w:id="106"/>
      <w:bookmarkEnd w:id="107"/>
      <w:r>
        <w:rPr>
          <w:rStyle w:val="CharDivText"/>
        </w:rPr>
        <w:t xml:space="preserve"> </w:t>
      </w:r>
    </w:p>
    <w:p>
      <w:pPr>
        <w:pStyle w:val="Heading5"/>
        <w:spacing w:before="180"/>
        <w:rPr>
          <w:snapToGrid w:val="0"/>
        </w:rPr>
      </w:pPr>
      <w:bookmarkStart w:id="108" w:name="_Toc132298291"/>
      <w:r>
        <w:rPr>
          <w:rStyle w:val="CharSectno"/>
        </w:rPr>
        <w:t>40</w:t>
      </w:r>
      <w:r>
        <w:rPr>
          <w:snapToGrid w:val="0"/>
        </w:rPr>
        <w:t>.</w:t>
      </w:r>
      <w:r>
        <w:rPr>
          <w:snapToGrid w:val="0"/>
        </w:rPr>
        <w:tab/>
        <w:t>Investigation of complaints and referred matters</w:t>
      </w:r>
      <w:bookmarkEnd w:id="108"/>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or (4) has occurred and in so deciding, the Director is to have regard to the following —</w:t>
      </w:r>
    </w:p>
    <w:p>
      <w:pPr>
        <w:pStyle w:val="Indenta"/>
        <w:spacing w:before="90"/>
      </w:pPr>
      <w:r>
        <w:lastRenderedPageBreak/>
        <w:tab/>
        <w:t>(a)</w:t>
      </w:r>
      <w:r>
        <w:tab/>
        <w:t>the principles in Schedule 1 and the objectives in Schedule 2;</w:t>
      </w:r>
    </w:p>
    <w:p>
      <w:pPr>
        <w:pStyle w:val="Indenta"/>
      </w:pPr>
      <w:r>
        <w:tab/>
        <w:t>(ba)</w:t>
      </w:r>
      <w:r>
        <w:tab/>
        <w:t xml:space="preserve">in the case of an investigation in relation to the provision of a resident service, the following — </w:t>
      </w:r>
    </w:p>
    <w:p>
      <w:pPr>
        <w:pStyle w:val="Indenti"/>
      </w:pPr>
      <w:r>
        <w:tab/>
        <w:t>(i)</w:t>
      </w:r>
      <w:r>
        <w:tab/>
        <w:t>the principles and objectives set out in the Declared Places Act Part 2;</w:t>
      </w:r>
    </w:p>
    <w:p>
      <w:pPr>
        <w:pStyle w:val="Indenti"/>
      </w:pPr>
      <w:r>
        <w:tab/>
        <w:t>(ii)</w:t>
      </w:r>
      <w:r>
        <w:tab/>
        <w:t>any relevant individual development plan as defined in section 3 of that Act;</w:t>
      </w:r>
    </w:p>
    <w:p>
      <w:pPr>
        <w:pStyle w:val="Indenti"/>
      </w:pPr>
      <w:r>
        <w:tab/>
        <w:t>(iii)</w:t>
      </w:r>
      <w:r>
        <w:tab/>
        <w:t>each applicable minimum standard under section 46 of that Act;</w:t>
      </w:r>
    </w:p>
    <w:p>
      <w:pPr>
        <w:pStyle w:val="Indenti"/>
      </w:pPr>
      <w:r>
        <w:tab/>
        <w:t>(iv)</w:t>
      </w:r>
      <w:r>
        <w:tab/>
        <w:t>the provisions of any relevant contract;</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quality of service delivery expected of a service provider or the Commission, as the case may be;</w:t>
      </w:r>
    </w:p>
    <w:p>
      <w:pPr>
        <w:pStyle w:val="Indenta"/>
      </w:pPr>
      <w:r>
        <w:tab/>
        <w:t>(e)</w:t>
      </w:r>
      <w:r>
        <w:tab/>
        <w:t>the Disability Services Standards;</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 and</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pPr>
      <w:r>
        <w:lastRenderedPageBreak/>
        <w:tab/>
        <w:t>(6)</w:t>
      </w:r>
      <w:r>
        <w:tab/>
        <w:t>In conducting an investigation the Director may make use of a member of the staff.</w:t>
      </w:r>
    </w:p>
    <w:p>
      <w:pPr>
        <w:pStyle w:val="Subsection"/>
      </w:pPr>
      <w:r>
        <w:tab/>
        <w:t>(7)</w:t>
      </w:r>
      <w:r>
        <w:tab/>
        <w:t>If the conciliation process is successful in the settlement of a complaint between the complainant and the respondent, the conciliator must make a final report to the Director on the result of that process.</w:t>
      </w:r>
    </w:p>
    <w:p>
      <w:pPr>
        <w:pStyle w:val="Subsection"/>
      </w:pPr>
      <w:r>
        <w:tab/>
        <w:t>(8)</w:t>
      </w:r>
      <w:r>
        <w:tab/>
        <w:t>A report made under subsection (7) is to include details of any agreement reached.</w:t>
      </w:r>
    </w:p>
    <w:p>
      <w:pPr>
        <w:pStyle w:val="Footnotesection"/>
        <w:ind w:left="890" w:hanging="890"/>
      </w:pPr>
      <w:r>
        <w:tab/>
        <w:t>[Section 40 amended: No. 44 of 1999 s. 18 and 22; No. 37 of 2004 s. 29; No. 57 of 2004 s. 26; No. 33 of 2010 s. 45; No. 40 of 2012 s. 16; No. 4 of 2015 s. 79.]</w:t>
      </w:r>
    </w:p>
    <w:p>
      <w:pPr>
        <w:pStyle w:val="Heading5"/>
        <w:rPr>
          <w:snapToGrid w:val="0"/>
        </w:rPr>
      </w:pPr>
      <w:bookmarkStart w:id="109" w:name="_Toc132298292"/>
      <w:r>
        <w:rPr>
          <w:rStyle w:val="CharSectno"/>
        </w:rPr>
        <w:t>41</w:t>
      </w:r>
      <w:r>
        <w:rPr>
          <w:snapToGrid w:val="0"/>
        </w:rPr>
        <w:t>.</w:t>
      </w:r>
      <w:r>
        <w:rPr>
          <w:snapToGrid w:val="0"/>
        </w:rPr>
        <w:tab/>
        <w:t>Director’s powers on investigation</w:t>
      </w:r>
      <w:bookmarkEnd w:id="1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person’s representative</w:t>
      </w:r>
      <w:r>
        <w:t xml:space="preserve"> means — </w:t>
      </w:r>
    </w:p>
    <w:p>
      <w:pPr>
        <w:pStyle w:val="Defpara"/>
      </w:pPr>
      <w:r>
        <w:tab/>
        <w:t>(a)</w:t>
      </w:r>
      <w:r>
        <w:tab/>
        <w:t>the person’s representative recognised under section 32(2); or</w:t>
      </w:r>
    </w:p>
    <w:p>
      <w:pPr>
        <w:pStyle w:val="Defpara"/>
      </w:pPr>
      <w:r>
        <w:tab/>
        <w:t>(b)</w:t>
      </w:r>
      <w:r>
        <w:tab/>
        <w:t xml:space="preserve">a guardian of the person under the </w:t>
      </w:r>
      <w:r>
        <w:rPr>
          <w:i/>
        </w:rPr>
        <w:t>Guardianship and Administration Act 1990</w:t>
      </w:r>
      <w:r>
        <w:t>; or</w:t>
      </w:r>
    </w:p>
    <w:p>
      <w:pPr>
        <w:pStyle w:val="Defpara"/>
        <w:rPr>
          <w:b/>
        </w:rPr>
      </w:pPr>
      <w:r>
        <w:tab/>
        <w:t>(c)</w:t>
      </w:r>
      <w:r>
        <w:tab/>
        <w:t>in the case of a minor, a parent or guardian of the minor;</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lastRenderedPageBreak/>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lastRenderedPageBreak/>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No. 44 of 1999 s. 22; No. 33 of 2010 s. 46; No. 4 of 2015 s. 80.]</w:t>
      </w:r>
    </w:p>
    <w:p>
      <w:pPr>
        <w:pStyle w:val="Heading5"/>
      </w:pPr>
      <w:bookmarkStart w:id="110" w:name="_Toc132298293"/>
      <w:r>
        <w:rPr>
          <w:rStyle w:val="CharSectno"/>
        </w:rPr>
        <w:t>42A</w:t>
      </w:r>
      <w:r>
        <w:t>.</w:t>
      </w:r>
      <w:r>
        <w:tab/>
        <w:t>Conciliator must not investigate</w:t>
      </w:r>
      <w:bookmarkEnd w:id="110"/>
    </w:p>
    <w:p>
      <w:pPr>
        <w:pStyle w:val="Subsection"/>
      </w:pPr>
      <w:r>
        <w:tab/>
      </w:r>
      <w:r>
        <w:tab/>
        <w:t>A person who under section 39 has conciliated a complaint or attempted to do so must not investigate that complaint.</w:t>
      </w:r>
    </w:p>
    <w:p>
      <w:pPr>
        <w:pStyle w:val="Footnotesection"/>
      </w:pPr>
      <w:r>
        <w:tab/>
        <w:t>[Section 42A inserted: No. 33 of 2010 s. 47.]</w:t>
      </w:r>
    </w:p>
    <w:p>
      <w:pPr>
        <w:pStyle w:val="Heading3"/>
        <w:rPr>
          <w:snapToGrid w:val="0"/>
        </w:rPr>
      </w:pPr>
      <w:bookmarkStart w:id="111" w:name="_Toc132191880"/>
      <w:bookmarkStart w:id="112" w:name="_Toc132192006"/>
      <w:bookmarkStart w:id="113" w:name="_Toc132298294"/>
      <w:r>
        <w:rPr>
          <w:rStyle w:val="CharDivNo"/>
        </w:rPr>
        <w:t>Division 4</w:t>
      </w:r>
      <w:r>
        <w:rPr>
          <w:snapToGrid w:val="0"/>
        </w:rPr>
        <w:t> — </w:t>
      </w:r>
      <w:r>
        <w:rPr>
          <w:rStyle w:val="CharDivText"/>
        </w:rPr>
        <w:t>Consequences of investigation</w:t>
      </w:r>
      <w:bookmarkEnd w:id="111"/>
      <w:bookmarkEnd w:id="112"/>
      <w:bookmarkEnd w:id="113"/>
      <w:r>
        <w:rPr>
          <w:rStyle w:val="CharDivText"/>
        </w:rPr>
        <w:t xml:space="preserve"> </w:t>
      </w:r>
    </w:p>
    <w:p>
      <w:pPr>
        <w:pStyle w:val="Heading5"/>
      </w:pPr>
      <w:bookmarkStart w:id="114" w:name="_Toc132298295"/>
      <w:r>
        <w:rPr>
          <w:rStyle w:val="CharSectno"/>
        </w:rPr>
        <w:t>42</w:t>
      </w:r>
      <w:r>
        <w:t>.</w:t>
      </w:r>
      <w:r>
        <w:tab/>
        <w:t>Director to decide, give reasons etc.</w:t>
      </w:r>
      <w:bookmarkEnd w:id="114"/>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 or</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lastRenderedPageBreak/>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 xml:space="preserve">discloses the identity of a person with </w:t>
      </w:r>
      <w:r>
        <w:t>disability</w:t>
      </w:r>
      <w:r>
        <w:rPr>
          <w:snapToGrid w:val="0"/>
        </w:rPr>
        <w: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ind w:left="890" w:hanging="890"/>
      </w:pPr>
      <w:r>
        <w:tab/>
        <w:t>[Section 42 inserted: No. 57 of 2004 s. 27; amended: No. 33 of 2010 s. 48; No. 40 of 2012 s. 24.]</w:t>
      </w:r>
    </w:p>
    <w:p>
      <w:pPr>
        <w:pStyle w:val="Heading5"/>
        <w:spacing w:before="240"/>
      </w:pPr>
      <w:bookmarkStart w:id="115" w:name="_Toc132298296"/>
      <w:r>
        <w:rPr>
          <w:rStyle w:val="CharSectno"/>
        </w:rPr>
        <w:lastRenderedPageBreak/>
        <w:t>43A</w:t>
      </w:r>
      <w:r>
        <w:t>.</w:t>
      </w:r>
      <w:r>
        <w:tab/>
        <w:t>Warrants</w:t>
      </w:r>
      <w:bookmarkEnd w:id="115"/>
    </w:p>
    <w:p>
      <w:pPr>
        <w:pStyle w:val="Subsection"/>
        <w:spacing w:before="180"/>
      </w:pPr>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p>
    <w:p>
      <w:pPr>
        <w:pStyle w:val="Subsection"/>
        <w:keepNext/>
        <w:spacing w:before="180"/>
      </w:pPr>
      <w:r>
        <w:tab/>
        <w:t>(2)</w:t>
      </w:r>
      <w:r>
        <w:tab/>
        <w:t>If a warrant is issued as a result of that application, the Director may act upon the warrant issued under that Act in accordance with, and subject to the provisions of, Part 4 of that Act.</w:t>
      </w:r>
    </w:p>
    <w:p>
      <w:pPr>
        <w:pStyle w:val="Footnotesection"/>
        <w:ind w:left="890" w:hanging="890"/>
      </w:pPr>
      <w:r>
        <w:tab/>
        <w:t>[Section 43A inserted: No. 40 of 2012 s. 17.]</w:t>
      </w:r>
    </w:p>
    <w:p>
      <w:pPr>
        <w:pStyle w:val="Heading5"/>
        <w:spacing w:before="180"/>
      </w:pPr>
      <w:bookmarkStart w:id="116" w:name="_Toc132298297"/>
      <w:r>
        <w:rPr>
          <w:rStyle w:val="CharSectno"/>
        </w:rPr>
        <w:t>43B</w:t>
      </w:r>
      <w:r>
        <w:t>.</w:t>
      </w:r>
      <w:r>
        <w:tab/>
        <w:t>Reports to Parliament</w:t>
      </w:r>
      <w:bookmarkEnd w:id="116"/>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w:t>
      </w:r>
      <w:r>
        <w:t xml:space="preserve">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43B, formerly section 42A inserted: No. 57 of 2004 s. 27; renumbered as section 43B: No. 40 of 2012 s. 18(1); amended: No. 77 of 2006 Sch. 1 cl. 45(5); No. 40 of 2012 s. 18(2).]</w:t>
      </w:r>
    </w:p>
    <w:p>
      <w:pPr>
        <w:pStyle w:val="Heading5"/>
        <w:spacing w:before="180"/>
        <w:rPr>
          <w:snapToGrid w:val="0"/>
        </w:rPr>
      </w:pPr>
      <w:bookmarkStart w:id="117" w:name="_Toc132298298"/>
      <w:r>
        <w:rPr>
          <w:rStyle w:val="CharSectno"/>
        </w:rPr>
        <w:lastRenderedPageBreak/>
        <w:t>43</w:t>
      </w:r>
      <w:r>
        <w:rPr>
          <w:snapToGrid w:val="0"/>
        </w:rPr>
        <w:t>.</w:t>
      </w:r>
      <w:r>
        <w:rPr>
          <w:snapToGrid w:val="0"/>
        </w:rPr>
        <w:tab/>
        <w:t>Respondent to report on remedial action</w:t>
      </w:r>
      <w:bookmarkEnd w:id="117"/>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spacing w:before="40"/>
        <w:rPr>
          <w:snapToGrid w:val="0"/>
        </w:rPr>
      </w:pPr>
      <w:r>
        <w:rPr>
          <w:snapToGrid w:val="0"/>
        </w:rPr>
        <w:tab/>
        <w:t>Penalty: $2 500.</w:t>
      </w:r>
    </w:p>
    <w:p>
      <w:pPr>
        <w:pStyle w:val="Subsection"/>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No. 44 of 1999 s. 19 and 22.]</w:t>
      </w:r>
    </w:p>
    <w:p>
      <w:pPr>
        <w:pStyle w:val="Heading5"/>
        <w:spacing w:before="180"/>
        <w:rPr>
          <w:snapToGrid w:val="0"/>
        </w:rPr>
      </w:pPr>
      <w:bookmarkStart w:id="118" w:name="_Toc132298299"/>
      <w:r>
        <w:rPr>
          <w:rStyle w:val="CharSectno"/>
        </w:rPr>
        <w:t>44</w:t>
      </w:r>
      <w:r>
        <w:rPr>
          <w:snapToGrid w:val="0"/>
        </w:rPr>
        <w:t>.</w:t>
      </w:r>
      <w:r>
        <w:rPr>
          <w:snapToGrid w:val="0"/>
        </w:rPr>
        <w:tab/>
        <w:t>Report to Parliament where report not made or remedial action not taken</w:t>
      </w:r>
      <w:bookmarkEnd w:id="118"/>
      <w:r>
        <w:rPr>
          <w:snapToGrid w:val="0"/>
        </w:rPr>
        <w:t xml:space="preserve"> </w:t>
      </w:r>
    </w:p>
    <w:p>
      <w:pPr>
        <w:pStyle w:val="Subsection"/>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lastRenderedPageBreak/>
        <w:tab/>
        <w:t>[Section 44 amended: No. 44 of 1999 s. 22 and 23; No. 57 of 2004 s. 28.]</w:t>
      </w:r>
    </w:p>
    <w:p>
      <w:pPr>
        <w:pStyle w:val="Heading3"/>
        <w:keepNext w:val="0"/>
        <w:spacing w:before="200"/>
      </w:pPr>
      <w:bookmarkStart w:id="119" w:name="_Toc132191886"/>
      <w:bookmarkStart w:id="120" w:name="_Toc132192012"/>
      <w:bookmarkStart w:id="121" w:name="_Toc132298300"/>
      <w:r>
        <w:rPr>
          <w:rStyle w:val="CharDivNo"/>
        </w:rPr>
        <w:t>Division 4A</w:t>
      </w:r>
      <w:r>
        <w:t> — </w:t>
      </w:r>
      <w:r>
        <w:rPr>
          <w:rStyle w:val="CharDivText"/>
        </w:rPr>
        <w:t>Director’s relationship with the Minister</w:t>
      </w:r>
      <w:bookmarkEnd w:id="119"/>
      <w:bookmarkEnd w:id="120"/>
      <w:bookmarkEnd w:id="121"/>
    </w:p>
    <w:p>
      <w:pPr>
        <w:pStyle w:val="Footnoteheading"/>
        <w:tabs>
          <w:tab w:val="left" w:pos="851"/>
        </w:tabs>
        <w:spacing w:before="100"/>
      </w:pPr>
      <w:r>
        <w:tab/>
        <w:t>[Heading inserted: No. 57 of 2004 s. 29.]</w:t>
      </w:r>
    </w:p>
    <w:p>
      <w:pPr>
        <w:pStyle w:val="Heading5"/>
        <w:keepNext w:val="0"/>
        <w:keepLines w:val="0"/>
        <w:spacing w:before="180"/>
      </w:pPr>
      <w:bookmarkStart w:id="122" w:name="_Toc132298301"/>
      <w:r>
        <w:rPr>
          <w:rStyle w:val="CharSectno"/>
        </w:rPr>
        <w:t>44A</w:t>
      </w:r>
      <w:r>
        <w:t>.</w:t>
      </w:r>
      <w:r>
        <w:tab/>
        <w:t>Minister may give directions</w:t>
      </w:r>
      <w:bookmarkEnd w:id="122"/>
    </w:p>
    <w:p>
      <w:pPr>
        <w:pStyle w:val="Subsection"/>
        <w:spacing w:before="120"/>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spacing w:before="120"/>
      </w:pPr>
      <w:r>
        <w:tab/>
        <w:t>(3)</w:t>
      </w:r>
      <w:r>
        <w:tab/>
        <w:t>The Minister must cause the text of any direction given under subsection (1) to be laid before each House of Parliament within 14 sitting days after the direction is given.</w:t>
      </w:r>
    </w:p>
    <w:p>
      <w:pPr>
        <w:pStyle w:val="Subsection"/>
        <w:spacing w:before="120"/>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spacing w:before="80"/>
        <w:ind w:left="890" w:hanging="890"/>
      </w:pPr>
      <w:r>
        <w:tab/>
        <w:t>[Section 44A inserted: No. 57 of 2004 s. 29; amended: No. 77 of 2006 Sch. 1 cl. 45(6); No. 33 of 2010 s. 49.]</w:t>
      </w:r>
    </w:p>
    <w:p>
      <w:pPr>
        <w:pStyle w:val="Heading5"/>
        <w:spacing w:before="180"/>
      </w:pPr>
      <w:bookmarkStart w:id="123" w:name="_Toc132298302"/>
      <w:r>
        <w:rPr>
          <w:rStyle w:val="CharSectno"/>
        </w:rPr>
        <w:t>44B</w:t>
      </w:r>
      <w:r>
        <w:t>.</w:t>
      </w:r>
      <w:r>
        <w:tab/>
        <w:t>Minister to have access to information</w:t>
      </w:r>
      <w:bookmarkEnd w:id="123"/>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lastRenderedPageBreak/>
        <w:tab/>
        <w:t>(2)</w:t>
      </w:r>
      <w:r>
        <w:rPr>
          <w:snapToGrid w:val="0"/>
        </w:rPr>
        <w:tab/>
        <w:t>For the purposes of subsection (1) the Minister may — </w:t>
      </w:r>
    </w:p>
    <w:p>
      <w:pPr>
        <w:pStyle w:val="Indenta"/>
        <w:spacing w:before="60"/>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keepNex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No. 57 of 2004 s. 29; amended: No. 33 of 2010 s. 50.]</w:t>
      </w:r>
    </w:p>
    <w:p>
      <w:pPr>
        <w:pStyle w:val="Heading3"/>
        <w:spacing w:before="260"/>
        <w:rPr>
          <w:snapToGrid w:val="0"/>
        </w:rPr>
      </w:pPr>
      <w:bookmarkStart w:id="124" w:name="_Toc132191889"/>
      <w:bookmarkStart w:id="125" w:name="_Toc132192015"/>
      <w:bookmarkStart w:id="126" w:name="_Toc132298303"/>
      <w:r>
        <w:rPr>
          <w:rStyle w:val="CharDivNo"/>
        </w:rPr>
        <w:lastRenderedPageBreak/>
        <w:t>Division 5</w:t>
      </w:r>
      <w:r>
        <w:rPr>
          <w:snapToGrid w:val="0"/>
        </w:rPr>
        <w:t> — </w:t>
      </w:r>
      <w:r>
        <w:rPr>
          <w:rStyle w:val="CharDivText"/>
        </w:rPr>
        <w:t>General</w:t>
      </w:r>
      <w:bookmarkEnd w:id="124"/>
      <w:bookmarkEnd w:id="125"/>
      <w:bookmarkEnd w:id="126"/>
      <w:r>
        <w:rPr>
          <w:rStyle w:val="CharDivText"/>
        </w:rPr>
        <w:t xml:space="preserve"> </w:t>
      </w:r>
    </w:p>
    <w:p>
      <w:pPr>
        <w:pStyle w:val="Heading5"/>
        <w:spacing w:before="240"/>
        <w:rPr>
          <w:snapToGrid w:val="0"/>
        </w:rPr>
      </w:pPr>
      <w:bookmarkStart w:id="127" w:name="_Toc132298304"/>
      <w:r>
        <w:rPr>
          <w:rStyle w:val="CharSectno"/>
        </w:rPr>
        <w:t>45</w:t>
      </w:r>
      <w:r>
        <w:rPr>
          <w:snapToGrid w:val="0"/>
        </w:rPr>
        <w:t>.</w:t>
      </w:r>
      <w:r>
        <w:rPr>
          <w:snapToGrid w:val="0"/>
        </w:rPr>
        <w:tab/>
        <w:t>Proceedings to stop if court action etc.</w:t>
      </w:r>
      <w:bookmarkEnd w:id="127"/>
      <w:r>
        <w:rPr>
          <w:snapToGrid w:val="0"/>
        </w:rPr>
        <w:t xml:space="preserve"> </w:t>
      </w:r>
    </w:p>
    <w:p>
      <w:pPr>
        <w:pStyle w:val="Subsection"/>
        <w:spacing w:before="180"/>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spacing w:before="180"/>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spacing w:before="180"/>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No. 44 of 1999 s. 22.]</w:t>
      </w:r>
    </w:p>
    <w:p>
      <w:pPr>
        <w:pStyle w:val="Heading5"/>
        <w:spacing w:before="240"/>
      </w:pPr>
      <w:bookmarkStart w:id="128" w:name="_Toc132298305"/>
      <w:r>
        <w:rPr>
          <w:rStyle w:val="CharSectno"/>
        </w:rPr>
        <w:t>46</w:t>
      </w:r>
      <w:r>
        <w:t>.</w:t>
      </w:r>
      <w:r>
        <w:tab/>
        <w:t>Minister may refer matters for investigation</w:t>
      </w:r>
      <w:bookmarkEnd w:id="128"/>
      <w:r>
        <w:t xml:space="preserve"> </w:t>
      </w:r>
    </w:p>
    <w:p>
      <w:pPr>
        <w:pStyle w:val="Subsection"/>
        <w:spacing w:before="180"/>
      </w:pPr>
      <w:r>
        <w:tab/>
      </w:r>
      <w:r>
        <w:tab/>
        <w:t xml:space="preserve">Where the Minister is of the opinion that — </w:t>
      </w:r>
    </w:p>
    <w:p>
      <w:pPr>
        <w:pStyle w:val="Indenta"/>
      </w:pPr>
      <w:r>
        <w:tab/>
        <w:t>(a)</w:t>
      </w:r>
      <w:r>
        <w:tab/>
        <w:t>circumstances exist in relation to a person with disability that would justify a complaint being made under this Part; or</w:t>
      </w:r>
    </w:p>
    <w:p>
      <w:pPr>
        <w:pStyle w:val="Indenta"/>
        <w:keepNext/>
      </w:pPr>
      <w:r>
        <w:tab/>
        <w:t>(b)</w:t>
      </w:r>
      <w:r>
        <w:tab/>
        <w:t>it is in the public interest on a matter of general importance relating to disability services or resident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lastRenderedPageBreak/>
        <w:tab/>
        <w:t>[Section 46 inserted: No. 57 of 2004 s. 30; amended: No. 40 of 2012 s. 24; No. 4 of 2015 s. 81.]</w:t>
      </w:r>
    </w:p>
    <w:p>
      <w:pPr>
        <w:pStyle w:val="Heading5"/>
        <w:spacing w:before="180"/>
      </w:pPr>
      <w:bookmarkStart w:id="129" w:name="_Toc132298306"/>
      <w:r>
        <w:rPr>
          <w:rStyle w:val="CharSectno"/>
        </w:rPr>
        <w:t>46A</w:t>
      </w:r>
      <w:r>
        <w:t>.</w:t>
      </w:r>
      <w:r>
        <w:tab/>
        <w:t>Investigation at the request of Parliament</w:t>
      </w:r>
      <w:bookmarkEnd w:id="129"/>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w:t>
      </w:r>
      <w:r>
        <w:t xml:space="preserve"> and report the result of the investigation to the presiding officer of the House or committee within any time limit set out in the referral.</w:t>
      </w:r>
    </w:p>
    <w:p>
      <w:pPr>
        <w:pStyle w:val="Footnotesection"/>
      </w:pPr>
      <w:r>
        <w:tab/>
        <w:t>[Section 46A inserted: No. 57 of 2004 s. 31; amended: No. 40 of 2012 s. 19.]</w:t>
      </w:r>
    </w:p>
    <w:p>
      <w:pPr>
        <w:pStyle w:val="Heading5"/>
        <w:spacing w:before="180"/>
      </w:pPr>
      <w:bookmarkStart w:id="130" w:name="_Toc132298307"/>
      <w:r>
        <w:rPr>
          <w:rStyle w:val="CharSectno"/>
        </w:rPr>
        <w:t>46B</w:t>
      </w:r>
      <w:r>
        <w:t>.</w:t>
      </w:r>
      <w:r>
        <w:tab/>
        <w:t>False or misleading statements</w:t>
      </w:r>
      <w:bookmarkEnd w:id="130"/>
    </w:p>
    <w:p>
      <w:pPr>
        <w:pStyle w:val="Subsection"/>
        <w:spacing w:before="120"/>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No. 33 of 2010 s. 51.]</w:t>
      </w:r>
    </w:p>
    <w:p>
      <w:pPr>
        <w:pStyle w:val="Heading5"/>
        <w:spacing w:before="180"/>
        <w:rPr>
          <w:snapToGrid w:val="0"/>
        </w:rPr>
      </w:pPr>
      <w:bookmarkStart w:id="131" w:name="_Toc132298308"/>
      <w:r>
        <w:rPr>
          <w:rStyle w:val="CharSectno"/>
        </w:rPr>
        <w:t>47</w:t>
      </w:r>
      <w:r>
        <w:rPr>
          <w:snapToGrid w:val="0"/>
        </w:rPr>
        <w:t>.</w:t>
      </w:r>
      <w:r>
        <w:rPr>
          <w:snapToGrid w:val="0"/>
        </w:rPr>
        <w:tab/>
        <w:t>Person not to be penalised because of complaining</w:t>
      </w:r>
      <w:bookmarkEnd w:id="131"/>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lastRenderedPageBreak/>
        <w:tab/>
        <w:t>(ii)</w:t>
      </w:r>
      <w:r>
        <w:rPr>
          <w:snapToGrid w:val="0"/>
        </w:rPr>
        <w:tab/>
        <w:t>not to provide information to or not to otherwise assist the Director in conducting an investigation under Division 3;</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No. 44 of 1999 s. 22.]</w:t>
      </w:r>
    </w:p>
    <w:p>
      <w:pPr>
        <w:pStyle w:val="Heading5"/>
      </w:pPr>
      <w:bookmarkStart w:id="132" w:name="_Toc132298309"/>
      <w:r>
        <w:rPr>
          <w:rStyle w:val="CharSectno"/>
        </w:rPr>
        <w:t>48A</w:t>
      </w:r>
      <w:r>
        <w:t>.</w:t>
      </w:r>
      <w:r>
        <w:tab/>
        <w:t>Prescribed service provider must give certain information</w:t>
      </w:r>
      <w:bookmarkEnd w:id="132"/>
    </w:p>
    <w:p>
      <w:pPr>
        <w:pStyle w:val="Subsection"/>
      </w:pPr>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p>
    <w:p>
      <w:pPr>
        <w:pStyle w:val="Penstart"/>
      </w:pPr>
      <w:r>
        <w:tab/>
        <w:t>Penalty: a fine of $1 000.</w:t>
      </w:r>
    </w:p>
    <w:p>
      <w:pPr>
        <w:pStyle w:val="Subsection"/>
      </w:pPr>
      <w:r>
        <w:tab/>
        <w:t>(2)</w:t>
      </w:r>
      <w:r>
        <w:tab/>
        <w:t>The return is to be in the prescribed form or the form prescribed for the class of service providers, as the case may require.</w:t>
      </w:r>
    </w:p>
    <w:p>
      <w:pPr>
        <w:pStyle w:val="Footnotesection"/>
      </w:pPr>
      <w:r>
        <w:tab/>
        <w:t>[Section 48A inserted: No. 40 of 2012 s. 20.]</w:t>
      </w:r>
    </w:p>
    <w:p>
      <w:pPr>
        <w:pStyle w:val="Heading5"/>
        <w:rPr>
          <w:snapToGrid w:val="0"/>
        </w:rPr>
      </w:pPr>
      <w:bookmarkStart w:id="133" w:name="_Toc132298310"/>
      <w:r>
        <w:rPr>
          <w:rStyle w:val="CharSectno"/>
        </w:rPr>
        <w:t>48</w:t>
      </w:r>
      <w:r>
        <w:rPr>
          <w:snapToGrid w:val="0"/>
        </w:rPr>
        <w:t>.</w:t>
      </w:r>
      <w:r>
        <w:rPr>
          <w:snapToGrid w:val="0"/>
        </w:rPr>
        <w:tab/>
        <w:t>Registers of complaints</w:t>
      </w:r>
      <w:bookmarkEnd w:id="133"/>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lastRenderedPageBreak/>
        <w:tab/>
        <w:t>[Section 48 amended: No. 44 of 1999 s. 22.]</w:t>
      </w:r>
    </w:p>
    <w:p>
      <w:pPr>
        <w:pStyle w:val="Heading5"/>
        <w:rPr>
          <w:snapToGrid w:val="0"/>
        </w:rPr>
      </w:pPr>
      <w:bookmarkStart w:id="134" w:name="_Toc132298311"/>
      <w:r>
        <w:rPr>
          <w:rStyle w:val="CharSectno"/>
        </w:rPr>
        <w:t>49</w:t>
      </w:r>
      <w:r>
        <w:rPr>
          <w:snapToGrid w:val="0"/>
        </w:rPr>
        <w:t>.</w:t>
      </w:r>
      <w:r>
        <w:rPr>
          <w:snapToGrid w:val="0"/>
        </w:rPr>
        <w:tab/>
        <w:t>Delegation</w:t>
      </w:r>
      <w:bookmarkEnd w:id="134"/>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No. 44 of 1999 s. 20 and 22.]</w:t>
      </w:r>
    </w:p>
    <w:p>
      <w:pPr>
        <w:pStyle w:val="Heading5"/>
        <w:rPr>
          <w:snapToGrid w:val="0"/>
        </w:rPr>
      </w:pPr>
      <w:bookmarkStart w:id="135" w:name="_Toc132298312"/>
      <w:r>
        <w:rPr>
          <w:rStyle w:val="CharSectno"/>
        </w:rPr>
        <w:t>50</w:t>
      </w:r>
      <w:r>
        <w:rPr>
          <w:snapToGrid w:val="0"/>
        </w:rPr>
        <w:t>.</w:t>
      </w:r>
      <w:r>
        <w:rPr>
          <w:snapToGrid w:val="0"/>
        </w:rPr>
        <w:tab/>
        <w:t>Confidentiality</w:t>
      </w:r>
      <w:bookmarkEnd w:id="135"/>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No. 44 of 1999 s. 21 and 22; No. 33 of 2010 s. 52.]</w:t>
      </w:r>
    </w:p>
    <w:p>
      <w:pPr>
        <w:pStyle w:val="Heading2"/>
      </w:pPr>
      <w:bookmarkStart w:id="136" w:name="_Toc132191899"/>
      <w:bookmarkStart w:id="137" w:name="_Toc132192025"/>
      <w:bookmarkStart w:id="138" w:name="_Toc132298313"/>
      <w:r>
        <w:rPr>
          <w:rStyle w:val="CharPartNo"/>
        </w:rPr>
        <w:lastRenderedPageBreak/>
        <w:t>Part 7</w:t>
      </w:r>
      <w:r>
        <w:rPr>
          <w:rStyle w:val="CharDivNo"/>
        </w:rPr>
        <w:t> </w:t>
      </w:r>
      <w:r>
        <w:t>—</w:t>
      </w:r>
      <w:r>
        <w:rPr>
          <w:rStyle w:val="CharDivText"/>
        </w:rPr>
        <w:t> </w:t>
      </w:r>
      <w:r>
        <w:rPr>
          <w:rStyle w:val="CharPartText"/>
        </w:rPr>
        <w:t>Miscellaneous</w:t>
      </w:r>
      <w:bookmarkEnd w:id="136"/>
      <w:bookmarkEnd w:id="137"/>
      <w:bookmarkEnd w:id="138"/>
      <w:r>
        <w:rPr>
          <w:rStyle w:val="CharPartText"/>
        </w:rPr>
        <w:t xml:space="preserve"> </w:t>
      </w:r>
    </w:p>
    <w:p>
      <w:pPr>
        <w:pStyle w:val="Heading5"/>
        <w:rPr>
          <w:snapToGrid w:val="0"/>
        </w:rPr>
      </w:pPr>
      <w:bookmarkStart w:id="139" w:name="_Toc132298314"/>
      <w:r>
        <w:rPr>
          <w:rStyle w:val="CharSectno"/>
        </w:rPr>
        <w:t>51</w:t>
      </w:r>
      <w:r>
        <w:rPr>
          <w:snapToGrid w:val="0"/>
        </w:rPr>
        <w:t>.</w:t>
      </w:r>
      <w:r>
        <w:rPr>
          <w:snapToGrid w:val="0"/>
        </w:rPr>
        <w:tab/>
        <w:t>Protection</w:t>
      </w:r>
      <w:bookmarkEnd w:id="139"/>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40" w:name="_Toc132298315"/>
      <w:r>
        <w:rPr>
          <w:rStyle w:val="CharSectno"/>
        </w:rPr>
        <w:t>52</w:t>
      </w:r>
      <w:r>
        <w:rPr>
          <w:snapToGrid w:val="0"/>
        </w:rPr>
        <w:t>.</w:t>
      </w:r>
      <w:r>
        <w:rPr>
          <w:snapToGrid w:val="0"/>
        </w:rPr>
        <w:tab/>
        <w:t>Confidentiality</w:t>
      </w:r>
      <w:bookmarkEnd w:id="140"/>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pPr>
      <w:r>
        <w:tab/>
        <w:t>(ba)</w:t>
      </w:r>
      <w:r>
        <w:tab/>
        <w:t>in connection with the investigation of an offence to —</w:t>
      </w:r>
    </w:p>
    <w:p>
      <w:pPr>
        <w:pStyle w:val="Indenti"/>
      </w:pPr>
      <w:r>
        <w:tab/>
        <w:t>(i)</w:t>
      </w:r>
      <w:r>
        <w:tab/>
        <w:t>a member of the Police Force of Western Australia or the Australian Federal Police; or</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r>
      <w:r>
        <w:tab/>
        <w:t>or</w:t>
      </w:r>
    </w:p>
    <w:p>
      <w:pPr>
        <w:pStyle w:val="Indenta"/>
      </w:pPr>
      <w:r>
        <w:lastRenderedPageBreak/>
        <w:tab/>
        <w:t>(bb)</w:t>
      </w:r>
      <w:r>
        <w:tab/>
        <w:t>where it is in the public interest to protect the physical safety of an individual; or</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 or</w:t>
      </w:r>
    </w:p>
    <w:p>
      <w:pPr>
        <w:pStyle w:val="Indenta"/>
      </w:pPr>
      <w:r>
        <w:tab/>
        <w:t>(bd)</w:t>
      </w:r>
      <w:r>
        <w:tab/>
        <w:t xml:space="preserve">for the purpose of protection proceedings under the </w:t>
      </w:r>
      <w:r>
        <w:rPr>
          <w:i/>
        </w:rPr>
        <w:t>Children and Community Services Act 2004</w:t>
      </w:r>
      <w:r>
        <w:t>; or</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 or</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No. 44 of 1999 s. 24; </w:t>
      </w:r>
      <w:r>
        <w:rPr>
          <w:spacing w:val="-6"/>
        </w:rPr>
        <w:t xml:space="preserve">No. 34 of 2004 </w:t>
      </w:r>
      <w:r>
        <w:t>Sch. 2 cl. 7; No. 55 of 2004 s. 467.]</w:t>
      </w:r>
    </w:p>
    <w:p>
      <w:pPr>
        <w:pStyle w:val="Heading5"/>
        <w:rPr>
          <w:snapToGrid w:val="0"/>
        </w:rPr>
      </w:pPr>
      <w:bookmarkStart w:id="141" w:name="_Toc132298316"/>
      <w:r>
        <w:rPr>
          <w:rStyle w:val="CharSectno"/>
        </w:rPr>
        <w:t>53</w:t>
      </w:r>
      <w:r>
        <w:rPr>
          <w:snapToGrid w:val="0"/>
        </w:rPr>
        <w:t>.</w:t>
      </w:r>
      <w:r>
        <w:rPr>
          <w:snapToGrid w:val="0"/>
        </w:rPr>
        <w:tab/>
        <w:t>Offence of ill</w:t>
      </w:r>
      <w:r>
        <w:rPr>
          <w:snapToGrid w:val="0"/>
        </w:rPr>
        <w:noBreakHyphen/>
        <w:t>treatment</w:t>
      </w:r>
      <w:bookmarkEnd w:id="141"/>
      <w:r>
        <w:rPr>
          <w:snapToGrid w:val="0"/>
        </w:rPr>
        <w:t xml:space="preserve"> </w:t>
      </w:r>
    </w:p>
    <w:p>
      <w:pPr>
        <w:pStyle w:val="Subsection"/>
        <w:rPr>
          <w:snapToGrid w:val="0"/>
        </w:rPr>
      </w:pPr>
      <w:r>
        <w:rPr>
          <w:snapToGrid w:val="0"/>
        </w:rPr>
        <w:tab/>
      </w:r>
      <w:r>
        <w:rPr>
          <w:snapToGrid w:val="0"/>
        </w:rPr>
        <w:tab/>
        <w:t>A person who ill</w:t>
      </w:r>
      <w:r>
        <w:rPr>
          <w:snapToGrid w:val="0"/>
        </w:rPr>
        <w:noBreakHyphen/>
        <w:t xml:space="preserve">treats or wilfully neglects a person with </w:t>
      </w:r>
      <w:r>
        <w:t>disability</w:t>
      </w:r>
      <w:r>
        <w:rPr>
          <w:snapToGrid w:val="0"/>
        </w:rPr>
        <w:t xml:space="preserve"> while that person is under his or her care, supervision or authority commits an offence.</w:t>
      </w:r>
    </w:p>
    <w:p>
      <w:pPr>
        <w:pStyle w:val="Penstart"/>
        <w:rPr>
          <w:snapToGrid w:val="0"/>
        </w:rPr>
      </w:pPr>
      <w:r>
        <w:rPr>
          <w:snapToGrid w:val="0"/>
        </w:rPr>
        <w:tab/>
        <w:t>Penalty: $4 000 or imprisonment for 12 months.</w:t>
      </w:r>
    </w:p>
    <w:p>
      <w:pPr>
        <w:pStyle w:val="Footnotesection"/>
      </w:pPr>
      <w:r>
        <w:tab/>
        <w:t>[Section 53 amended: No. 40 of 2012 s. 24.]</w:t>
      </w:r>
    </w:p>
    <w:p>
      <w:pPr>
        <w:pStyle w:val="Heading5"/>
        <w:rPr>
          <w:snapToGrid w:val="0"/>
        </w:rPr>
      </w:pPr>
      <w:bookmarkStart w:id="142" w:name="_Toc132298317"/>
      <w:r>
        <w:rPr>
          <w:rStyle w:val="CharSectno"/>
        </w:rPr>
        <w:lastRenderedPageBreak/>
        <w:t>54</w:t>
      </w:r>
      <w:r>
        <w:rPr>
          <w:snapToGrid w:val="0"/>
        </w:rPr>
        <w:t>.</w:t>
      </w:r>
      <w:r>
        <w:rPr>
          <w:snapToGrid w:val="0"/>
        </w:rPr>
        <w:tab/>
        <w:t>Prosecution of offences</w:t>
      </w:r>
      <w:bookmarkEnd w:id="142"/>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No. 59 of 2004 s. 141; No. 84 of 2004 s. 80.] </w:t>
      </w:r>
    </w:p>
    <w:p>
      <w:pPr>
        <w:pStyle w:val="Heading5"/>
        <w:rPr>
          <w:snapToGrid w:val="0"/>
        </w:rPr>
      </w:pPr>
      <w:bookmarkStart w:id="143" w:name="_Toc132298318"/>
      <w:r>
        <w:rPr>
          <w:rStyle w:val="CharSectno"/>
        </w:rPr>
        <w:t>55</w:t>
      </w:r>
      <w:r>
        <w:rPr>
          <w:snapToGrid w:val="0"/>
        </w:rPr>
        <w:t>.</w:t>
      </w:r>
      <w:r>
        <w:rPr>
          <w:snapToGrid w:val="0"/>
        </w:rPr>
        <w:tab/>
        <w:t>Parliamentary Commissioner may conduct investigation</w:t>
      </w:r>
      <w:bookmarkEnd w:id="143"/>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44" w:name="_Toc132298319"/>
      <w:r>
        <w:rPr>
          <w:rStyle w:val="CharSectno"/>
        </w:rPr>
        <w:t>56</w:t>
      </w:r>
      <w:r>
        <w:rPr>
          <w:snapToGrid w:val="0"/>
        </w:rPr>
        <w:t>.</w:t>
      </w:r>
      <w:r>
        <w:rPr>
          <w:snapToGrid w:val="0"/>
        </w:rPr>
        <w:tab/>
        <w:t>Regulations</w:t>
      </w:r>
      <w:bookmarkEnd w:id="144"/>
      <w:r>
        <w:rPr>
          <w:snapToGrid w:val="0"/>
        </w:rPr>
        <w:t xml:space="preserve"> </w:t>
      </w:r>
    </w:p>
    <w:p>
      <w:pPr>
        <w:pStyle w:val="Subsection"/>
        <w:rPr>
          <w:snapToGrid w:val="0"/>
        </w:rPr>
      </w:pPr>
      <w:r>
        <w:rPr>
          <w:snapToGrid w:val="0"/>
        </w:rPr>
        <w:tab/>
      </w:r>
      <w:r>
        <w:t>(1)</w:t>
      </w:r>
      <w:r>
        <w:tab/>
        <w:t>The Governor</w:t>
      </w:r>
      <w:r>
        <w:rPr>
          <w:snapToGrid w:val="0"/>
        </w:rPr>
        <w:t xml:space="preserve">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provide for any matter for which rules can be made under the NDIS Act.</w:t>
      </w:r>
    </w:p>
    <w:p>
      <w:pPr>
        <w:pStyle w:val="Footnotesection"/>
        <w:spacing w:before="100"/>
        <w:ind w:left="890" w:hanging="890"/>
      </w:pPr>
      <w:r>
        <w:tab/>
        <w:t>[Section 56 amended: No. 10 of 2014 s. 5.]</w:t>
      </w:r>
    </w:p>
    <w:p>
      <w:pPr>
        <w:pStyle w:val="Heading5"/>
      </w:pPr>
      <w:bookmarkStart w:id="145" w:name="_Toc132298320"/>
      <w:r>
        <w:rPr>
          <w:rStyle w:val="CharSectno"/>
        </w:rPr>
        <w:t>57A</w:t>
      </w:r>
      <w:r>
        <w:t>.</w:t>
      </w:r>
      <w:r>
        <w:tab/>
        <w:t>Regulations may refer to published documents</w:t>
      </w:r>
      <w:bookmarkEnd w:id="14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lastRenderedPageBreak/>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spacing w:before="100"/>
        <w:ind w:left="890" w:hanging="890"/>
      </w:pPr>
      <w:r>
        <w:tab/>
        <w:t>[Section 57A inserted: No. 10 of 2014 s. 6.]</w:t>
      </w:r>
    </w:p>
    <w:p>
      <w:pPr>
        <w:pStyle w:val="Heading5"/>
        <w:rPr>
          <w:snapToGrid w:val="0"/>
        </w:rPr>
      </w:pPr>
      <w:bookmarkStart w:id="146" w:name="_Toc132298321"/>
      <w:r>
        <w:rPr>
          <w:rStyle w:val="CharSectno"/>
        </w:rPr>
        <w:t>57</w:t>
      </w:r>
      <w:r>
        <w:rPr>
          <w:snapToGrid w:val="0"/>
        </w:rPr>
        <w:t>.</w:t>
      </w:r>
      <w:r>
        <w:rPr>
          <w:snapToGrid w:val="0"/>
        </w:rPr>
        <w:tab/>
        <w:t>Review of Act</w:t>
      </w:r>
      <w:bookmarkEnd w:id="14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pPr>
      <w:r>
        <w:tab/>
        <w:t>(2)</w:t>
      </w:r>
      <w:r>
        <w:tab/>
        <w:t>The review is to consider whether the policy objectives of the Act remain valid and whether the provisions of the Act are still appropriate for securing those objectives.</w:t>
      </w:r>
    </w:p>
    <w:p>
      <w:pPr>
        <w:pStyle w:val="Ednotesubsection"/>
      </w:pPr>
      <w:r>
        <w:tab/>
        <w:t>[(3), (4)</w:t>
      </w:r>
      <w:r>
        <w:tab/>
        <w:t>deleted]</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No. 44 of 1999 s. 22; No. 40 of 2012 s. 21.]</w:t>
      </w:r>
    </w:p>
    <w:p>
      <w:pPr>
        <w:pStyle w:val="Ednotesection"/>
      </w:pPr>
      <w:r>
        <w:lastRenderedPageBreak/>
        <w:t>[</w:t>
      </w:r>
      <w:r>
        <w:rPr>
          <w:b/>
        </w:rPr>
        <w:t>58.</w:t>
      </w:r>
      <w:r>
        <w:tab/>
        <w:t>Omitted under the Reprints Act 1984 s. 7(4)(f).]</w:t>
      </w:r>
    </w:p>
    <w:p>
      <w:pPr>
        <w:keepNext/>
        <w:spacing w:before="120"/>
        <w:ind w:right="113"/>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47" w:name="_Toc132191908"/>
      <w:bookmarkStart w:id="148" w:name="_Toc132192034"/>
      <w:bookmarkStart w:id="149" w:name="_Toc132298322"/>
      <w:r>
        <w:rPr>
          <w:rStyle w:val="CharSchNo"/>
        </w:rPr>
        <w:lastRenderedPageBreak/>
        <w:t>Schedule 1</w:t>
      </w:r>
      <w:r>
        <w:rPr>
          <w:rStyle w:val="CharSDivNo"/>
        </w:rPr>
        <w:t> </w:t>
      </w:r>
      <w:r>
        <w:t>—</w:t>
      </w:r>
      <w:r>
        <w:rPr>
          <w:rStyle w:val="CharSDivText"/>
        </w:rPr>
        <w:t> </w:t>
      </w:r>
      <w:r>
        <w:rPr>
          <w:rStyle w:val="CharSchText"/>
        </w:rPr>
        <w:t>Principles applicable to people with disability</w:t>
      </w:r>
      <w:bookmarkEnd w:id="147"/>
      <w:bookmarkEnd w:id="148"/>
      <w:bookmarkEnd w:id="149"/>
    </w:p>
    <w:p>
      <w:pPr>
        <w:pStyle w:val="yShoulderClause"/>
      </w:pPr>
      <w:r>
        <w:t>[s. 12, 23, 24, 28, 40 and 57]</w:t>
      </w:r>
    </w:p>
    <w:p>
      <w:pPr>
        <w:pStyle w:val="yFootnoteheading"/>
      </w:pPr>
      <w:r>
        <w:tab/>
        <w:t>[Heading inserted: No. 40 of 2012 s. 22.]</w:t>
      </w:r>
    </w:p>
    <w:p>
      <w:pPr>
        <w:pStyle w:val="yNumberedItem"/>
        <w:spacing w:before="160"/>
      </w:pPr>
      <w:r>
        <w:t>1.</w:t>
      </w:r>
      <w:r>
        <w:tab/>
        <w:t>People with disability are individuals who have the inherent right to respect for their human worth and dignity without discrimination and with equality of opportunity.</w:t>
      </w:r>
    </w:p>
    <w:p>
      <w:pPr>
        <w:pStyle w:val="yNumberedItem"/>
        <w:spacing w:before="160"/>
      </w:pPr>
      <w:r>
        <w:t>2.</w:t>
      </w:r>
      <w:r>
        <w:tab/>
        <w:t>People with disability, whatever the origin, nature, type or degree of disability, have the same human rights as other members of society and should be enabled to exercise those human rights.</w:t>
      </w:r>
    </w:p>
    <w:p>
      <w:pPr>
        <w:pStyle w:val="yNumberedItem"/>
        <w:spacing w:before="160"/>
      </w:pPr>
      <w:r>
        <w:t>3.</w:t>
      </w:r>
      <w:r>
        <w:tab/>
        <w:t>People with disability have the same rights as other members of society to realise their individual capacities for physical, social, emotional, intellectual, cultural and spiritual development.</w:t>
      </w:r>
    </w:p>
    <w:p>
      <w:pPr>
        <w:pStyle w:val="yNumberedItem"/>
        <w:spacing w:before="160"/>
      </w:pPr>
      <w:r>
        <w:t>4.</w:t>
      </w:r>
      <w:r>
        <w:tab/>
        <w:t>People with disability have the same right as other members of society to access services that will support their choices, assist them to be as independent as possible and enable them to participate in all aspects of life.</w:t>
      </w:r>
    </w:p>
    <w:p>
      <w:pPr>
        <w:pStyle w:val="yNumberedItem"/>
        <w:spacing w:before="160"/>
      </w:pPr>
      <w:r>
        <w:t>5.</w:t>
      </w:r>
      <w:r>
        <w:tab/>
        <w:t>People with disability have the same right as other members of society to participate in, direct and implement the decisions that affect their lives.</w:t>
      </w:r>
    </w:p>
    <w:p>
      <w:pPr>
        <w:pStyle w:val="yNumberedItem"/>
        <w:spacing w:before="160"/>
      </w:pPr>
      <w:r>
        <w:t>6.</w:t>
      </w:r>
      <w:r>
        <w:tab/>
        <w:t>People with disability have the same right as other members of society to receive services in a manner that respects and protects their rights and opportunities and is the least restrictive option in the circumstances.</w:t>
      </w:r>
    </w:p>
    <w:p>
      <w:pPr>
        <w:pStyle w:val="yNumberedItem"/>
        <w:spacing w:before="160"/>
      </w:pPr>
      <w:r>
        <w:t>7.</w:t>
      </w:r>
      <w:r>
        <w:tab/>
        <w:t>People with disability have the right to pursue any grievance concerning services.</w:t>
      </w:r>
    </w:p>
    <w:p>
      <w:pPr>
        <w:pStyle w:val="yNumberedItem"/>
        <w:spacing w:before="160"/>
      </w:pPr>
      <w:r>
        <w:t>8.</w:t>
      </w:r>
      <w:r>
        <w:tab/>
        <w:t>People with disability have the right to access the type of services and supports that they believe are most appropriate to meet their needs.</w:t>
      </w:r>
    </w:p>
    <w:p>
      <w:pPr>
        <w:pStyle w:val="yNumberedItem"/>
        <w:spacing w:before="160"/>
      </w:pPr>
      <w:r>
        <w:t>9.</w:t>
      </w:r>
      <w:r>
        <w:tab/>
        <w:t>People with disability who reside in country areas have a right, as far as is reasonable to expect, to have access to similar services provided to people with disability who reside in the metropolitan area.</w:t>
      </w:r>
    </w:p>
    <w:p>
      <w:pPr>
        <w:pStyle w:val="yNumberedItem"/>
        <w:keepNext/>
        <w:spacing w:before="160"/>
      </w:pPr>
      <w:r>
        <w:lastRenderedPageBreak/>
        <w:t>10.</w:t>
      </w:r>
      <w:r>
        <w:tab/>
        <w:t>People with disability have a right to an environment free from neglect, abuse, violence, intimidation and exploitation.</w:t>
      </w:r>
    </w:p>
    <w:p>
      <w:pPr>
        <w:pStyle w:val="yFootnotesection"/>
      </w:pPr>
      <w:r>
        <w:tab/>
        <w:t>[Schedule 1 inserted: No. 40 of 2012 s. 22.]</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151" w:name="_Toc132191909"/>
      <w:bookmarkStart w:id="152" w:name="_Toc132192035"/>
      <w:bookmarkStart w:id="153" w:name="_Toc132298323"/>
      <w:r>
        <w:rPr>
          <w:rStyle w:val="CharSchNo"/>
        </w:rPr>
        <w:lastRenderedPageBreak/>
        <w:t>Schedule 2</w:t>
      </w:r>
      <w:r>
        <w:rPr>
          <w:rStyle w:val="CharSDivNo"/>
        </w:rPr>
        <w:t> </w:t>
      </w:r>
      <w:r>
        <w:t>—</w:t>
      </w:r>
      <w:r>
        <w:rPr>
          <w:rStyle w:val="CharSDivText"/>
        </w:rPr>
        <w:t> </w:t>
      </w:r>
      <w:r>
        <w:rPr>
          <w:rStyle w:val="CharSchText"/>
        </w:rPr>
        <w:t>Objectives for services and programmes</w:t>
      </w:r>
      <w:bookmarkEnd w:id="151"/>
      <w:bookmarkEnd w:id="152"/>
      <w:bookmarkEnd w:id="153"/>
    </w:p>
    <w:p>
      <w:pPr>
        <w:pStyle w:val="yShoulderClause"/>
      </w:pPr>
      <w:r>
        <w:t>[s. 12, 24, 28 and 40]</w:t>
      </w:r>
    </w:p>
    <w:p>
      <w:pPr>
        <w:pStyle w:val="yFootnoteheading"/>
      </w:pPr>
      <w:r>
        <w:tab/>
        <w:t>[Heading inserted: No. 40 of 2012 s. 22.]</w:t>
      </w:r>
    </w:p>
    <w:p>
      <w:pPr>
        <w:pStyle w:val="yNumberedItem"/>
        <w:spacing w:before="160"/>
      </w:pPr>
      <w:r>
        <w:t>1.</w:t>
      </w:r>
      <w:r>
        <w:tab/>
        <w:t>Programmes and services are to focus on achieving positive outcomes for people with disability, such as increased independence, employment opportunities and inclusion and participation within the community.</w:t>
      </w:r>
    </w:p>
    <w:p>
      <w:pPr>
        <w:pStyle w:val="yNumberedItem"/>
        <w:spacing w:before="160"/>
      </w:pPr>
      <w:r>
        <w:t>2.</w:t>
      </w:r>
      <w:r>
        <w:tab/>
        <w:t>Programmes and services are to contribute to ensuring that the conditions of the every day life of people with disability are the same as norms and patterns which are valued in the general community.</w:t>
      </w:r>
    </w:p>
    <w:p>
      <w:pPr>
        <w:pStyle w:val="yNumberedItem"/>
        <w:spacing w:before="160"/>
      </w:pPr>
      <w:r>
        <w:t>3.</w:t>
      </w:r>
      <w:r>
        <w:tab/>
        <w:t>Programmes and services are to be integrated with services generally available to members of the community.</w:t>
      </w:r>
    </w:p>
    <w:p>
      <w:pPr>
        <w:pStyle w:val="yNumberedItem"/>
        <w:spacing w:before="160"/>
      </w:pPr>
      <w:r>
        <w:t>4.</w:t>
      </w:r>
      <w:r>
        <w:tab/>
        <w:t>Programmes and services are to be flexible and responsive to the individual choices and needs of people with disability, their families, carers and significant others.</w:t>
      </w:r>
    </w:p>
    <w:p>
      <w:pPr>
        <w:pStyle w:val="yNumberedItem"/>
        <w:spacing w:before="160"/>
      </w:pPr>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p>
    <w:p>
      <w:pPr>
        <w:pStyle w:val="yNumberedItem"/>
        <w:spacing w:before="160"/>
      </w:pPr>
      <w:r>
        <w:t>6.</w:t>
      </w:r>
      <w:r>
        <w:tab/>
        <w:t>Programmes and services are to be designed and administered to promote awareness of the abilities and contributions of people with disability and foster respect for their rights and dignity.</w:t>
      </w:r>
    </w:p>
    <w:p>
      <w:pPr>
        <w:pStyle w:val="yNumberedItem"/>
        <w:spacing w:before="160"/>
      </w:pPr>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p>
    <w:p>
      <w:pPr>
        <w:pStyle w:val="yNumberedItem"/>
        <w:spacing w:before="160"/>
      </w:pPr>
      <w:r>
        <w:t>8.</w:t>
      </w:r>
      <w:r>
        <w:tab/>
        <w:t>Programmes and services are to be designed and administered so as to ensure that no single organisation shall exercise control over all or most aspects of an individual’s life.</w:t>
      </w:r>
    </w:p>
    <w:p>
      <w:pPr>
        <w:pStyle w:val="yNumberedItem"/>
        <w:spacing w:before="160"/>
      </w:pPr>
      <w:r>
        <w:t>9.</w:t>
      </w:r>
      <w:r>
        <w:tab/>
        <w:t xml:space="preserve">Service provider organisations, whether disability specific or generic, shall be accountable to those people with disability who use their services, their families and carers, their advocates, the State and the </w:t>
      </w:r>
      <w:r>
        <w:lastRenderedPageBreak/>
        <w:t>community generally for the provision of information from which the quality of their services can be judged.</w:t>
      </w:r>
    </w:p>
    <w:p>
      <w:pPr>
        <w:pStyle w:val="yNumberedItem"/>
        <w:spacing w:before="160"/>
      </w:pPr>
      <w:r>
        <w:t>10.</w:t>
      </w:r>
      <w:r>
        <w:tab/>
        <w:t>Programmes and services are to be designed and administered so as to provide opportunities for people with disability to reach goals and enjoy lifestyles that support their choices and are valued by the community.</w:t>
      </w:r>
    </w:p>
    <w:p>
      <w:pPr>
        <w:pStyle w:val="yNumberedItem"/>
        <w:spacing w:before="160"/>
      </w:pPr>
      <w:r>
        <w:t>11.</w:t>
      </w:r>
      <w:r>
        <w:tab/>
        <w:t>Programmes and services are to be designed and administered so as to ensure that people with disability have access to advocacy support, to enable them to make choices and participate in decisions about the services they receive or are seeking.</w:t>
      </w:r>
    </w:p>
    <w:p>
      <w:pPr>
        <w:pStyle w:val="yNumberedItem"/>
        <w:spacing w:before="160"/>
      </w:pPr>
      <w:r>
        <w:t>12.</w:t>
      </w:r>
      <w:r>
        <w:tab/>
        <w:t>Programmes and services are to be designed and administered so as to ensure that avenues exist for people with disability to raise, and have resolved, any grievances about services.</w:t>
      </w:r>
    </w:p>
    <w:p>
      <w:pPr>
        <w:pStyle w:val="yNumberedItem"/>
        <w:spacing w:before="160"/>
      </w:pPr>
      <w:r>
        <w:t>13.</w:t>
      </w:r>
      <w:r>
        <w:tab/>
        <w:t>Programmes and services are to be designed and implemented in an accessible manner.</w:t>
      </w:r>
    </w:p>
    <w:p>
      <w:pPr>
        <w:pStyle w:val="yNumberedItem"/>
        <w:spacing w:before="160"/>
      </w:pPr>
      <w:r>
        <w:t>14.</w:t>
      </w:r>
      <w:r>
        <w:tab/>
        <w:t>Programmes and services are to be designed and administered so as to respect the rights of people with disability to privacy and confidentiality.</w:t>
      </w:r>
    </w:p>
    <w:p>
      <w:pPr>
        <w:pStyle w:val="yNumberedItem"/>
        <w:spacing w:before="160"/>
      </w:pPr>
      <w:r>
        <w:t>15.</w:t>
      </w:r>
      <w:r>
        <w:tab/>
        <w:t>Programmes and services are to begin as early as possible so as to prevent the occurrence of, or minimise, disability so people with disability can be as independent as possible and participate in all aspects of life.</w:t>
      </w:r>
    </w:p>
    <w:p>
      <w:pPr>
        <w:pStyle w:val="yNumberedItem"/>
        <w:spacing w:before="160"/>
      </w:pPr>
      <w:r>
        <w:t>16.</w:t>
      </w:r>
      <w:r>
        <w:tab/>
        <w:t xml:space="preserve">Programmes and services are to be designed and implemented to — </w:t>
      </w:r>
    </w:p>
    <w:p>
      <w:pPr>
        <w:pStyle w:val="yIndenta"/>
      </w:pPr>
      <w:r>
        <w:tab/>
        <w:t>(a)</w:t>
      </w:r>
      <w:r>
        <w:tab/>
        <w:t>acknowledge, recognise, respect and respond to the role of families, carers and significant others in supporting people with disability; and</w:t>
      </w:r>
    </w:p>
    <w:p>
      <w:pPr>
        <w:pStyle w:val="yIndenta"/>
      </w:pPr>
      <w:r>
        <w:tab/>
        <w:t>(b)</w:t>
      </w:r>
      <w:r>
        <w:tab/>
        <w:t>respond to the views and needs of families, carers and significant others; and</w:t>
      </w:r>
    </w:p>
    <w:p>
      <w:pPr>
        <w:pStyle w:val="yIndenta"/>
      </w:pPr>
      <w:r>
        <w:tab/>
        <w:t>(c)</w:t>
      </w:r>
      <w:r>
        <w:tab/>
        <w:t>strengthen and build the capacity of families, carers and significant others in supporting people with disability.</w:t>
      </w:r>
    </w:p>
    <w:p>
      <w:pPr>
        <w:pStyle w:val="yNumberedItem"/>
        <w:spacing w:before="160"/>
      </w:pPr>
      <w:r>
        <w:t>17.</w:t>
      </w:r>
      <w:r>
        <w:tab/>
        <w:t xml:space="preserve">Programmes and services are to provide — </w:t>
      </w:r>
    </w:p>
    <w:p>
      <w:pPr>
        <w:pStyle w:val="yIndenta"/>
      </w:pPr>
      <w:r>
        <w:tab/>
        <w:t>(a)</w:t>
      </w:r>
      <w:r>
        <w:tab/>
        <w:t>people with disability and their families and carers with opportunities for participating continually in the planning and operation of services they receive; and</w:t>
      </w:r>
    </w:p>
    <w:p>
      <w:pPr>
        <w:pStyle w:val="yIndenta"/>
      </w:pPr>
      <w:r>
        <w:lastRenderedPageBreak/>
        <w:tab/>
        <w:t>(b)</w:t>
      </w:r>
      <w:r>
        <w:tab/>
        <w:t>opportunities for people with disability, their families and their carers to be consulted about the development of major policy, programme or operational changes.</w:t>
      </w:r>
    </w:p>
    <w:p>
      <w:pPr>
        <w:pStyle w:val="yFootnotesection"/>
      </w:pPr>
      <w:r>
        <w:tab/>
        <w:t>[Schedule 2 inserted: No. 40 of 2012 s. 22.]</w:t>
      </w:r>
    </w:p>
    <w:p>
      <w:pPr>
        <w:keepNext/>
        <w:spacing w:before="120"/>
        <w:ind w:right="113"/>
        <w:sectPr>
          <w:headerReference w:type="even" r:id="rId27"/>
          <w:headerReference w:type="default" r:id="rId28"/>
          <w:headerReference w:type="first" r:id="rId29"/>
          <w:pgSz w:w="11907" w:h="16840" w:code="9"/>
          <w:pgMar w:top="2376" w:right="2405" w:bottom="3542" w:left="2405" w:header="706" w:footer="3544" w:gutter="0"/>
          <w:cols w:space="720"/>
          <w:noEndnote/>
          <w:docGrid w:linePitch="326"/>
        </w:sectPr>
      </w:pPr>
    </w:p>
    <w:p>
      <w:pPr>
        <w:pStyle w:val="yScheduleHeading"/>
      </w:pPr>
      <w:bookmarkStart w:id="154" w:name="_Toc132191910"/>
      <w:bookmarkStart w:id="155" w:name="_Toc132192036"/>
      <w:bookmarkStart w:id="156" w:name="_Toc132298324"/>
      <w:r>
        <w:rPr>
          <w:rStyle w:val="CharSchNo"/>
        </w:rPr>
        <w:lastRenderedPageBreak/>
        <w:t>Schedule 3</w:t>
      </w:r>
      <w:r>
        <w:t> — </w:t>
      </w:r>
      <w:r>
        <w:rPr>
          <w:rStyle w:val="CharSchText"/>
        </w:rPr>
        <w:t>Provisions applicable to the Board of the Commission</w:t>
      </w:r>
      <w:bookmarkEnd w:id="154"/>
      <w:bookmarkEnd w:id="155"/>
      <w:bookmarkEnd w:id="156"/>
    </w:p>
    <w:p>
      <w:pPr>
        <w:pStyle w:val="yShoulderClause"/>
        <w:rPr>
          <w:snapToGrid w:val="0"/>
        </w:rPr>
      </w:pPr>
      <w:r>
        <w:rPr>
          <w:snapToGrid w:val="0"/>
        </w:rPr>
        <w:t>[s. 7(4)]</w:t>
      </w:r>
    </w:p>
    <w:p>
      <w:pPr>
        <w:pStyle w:val="yFootnoteheading"/>
      </w:pPr>
      <w:r>
        <w:tab/>
        <w:t>[Heading amended: No. 19 of 2010 s. 4.]</w:t>
      </w:r>
    </w:p>
    <w:p>
      <w:pPr>
        <w:pStyle w:val="yHeading5"/>
        <w:ind w:left="890" w:hanging="890"/>
      </w:pPr>
      <w:bookmarkStart w:id="157" w:name="_Toc132298325"/>
      <w:r>
        <w:rPr>
          <w:rStyle w:val="CharSClsNo"/>
        </w:rPr>
        <w:t>1</w:t>
      </w:r>
      <w:r>
        <w:t>.</w:t>
      </w:r>
      <w:r>
        <w:tab/>
        <w:t>Tenure of office</w:t>
      </w:r>
      <w:bookmarkEnd w:id="157"/>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 and</w:t>
      </w:r>
    </w:p>
    <w:p>
      <w:pPr>
        <w:pStyle w:val="yIndenta"/>
        <w:rPr>
          <w:snapToGrid w:val="0"/>
        </w:rPr>
      </w:pPr>
      <w:r>
        <w:rPr>
          <w:snapToGrid w:val="0"/>
        </w:rPr>
        <w:tab/>
        <w:t>(b)</w:t>
      </w:r>
      <w:r>
        <w:rPr>
          <w:snapToGrid w:val="0"/>
        </w:rPr>
        <w:tab/>
        <w:t>except in the case of the chairperson, is not to hold office for more than 6 years continuously; and</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 or</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lastRenderedPageBreak/>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r>
        <w:tab/>
        <w:t xml:space="preserve">[Clause 1 amended: No. 44 of 1999 s. 25(1) and (2); No. 10 of 2001 s. 220.] </w:t>
      </w:r>
    </w:p>
    <w:p>
      <w:pPr>
        <w:pStyle w:val="yHeading5"/>
        <w:ind w:left="890" w:hanging="890"/>
      </w:pPr>
      <w:bookmarkStart w:id="158" w:name="_Toc132298326"/>
      <w:r>
        <w:rPr>
          <w:rStyle w:val="CharSClsNo"/>
        </w:rPr>
        <w:t>2</w:t>
      </w:r>
      <w:r>
        <w:t>.</w:t>
      </w:r>
      <w:r>
        <w:tab/>
        <w:t>Chairperson</w:t>
      </w:r>
      <w:bookmarkEnd w:id="158"/>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59" w:name="_Toc132298327"/>
      <w:r>
        <w:rPr>
          <w:rStyle w:val="CharSClsNo"/>
        </w:rPr>
        <w:t>3</w:t>
      </w:r>
      <w:r>
        <w:t>.</w:t>
      </w:r>
      <w:r>
        <w:tab/>
        <w:t>Meetings</w:t>
      </w:r>
      <w:bookmarkEnd w:id="159"/>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60" w:name="_Toc132298328"/>
      <w:r>
        <w:rPr>
          <w:rStyle w:val="CharSClsNo"/>
        </w:rPr>
        <w:t>4</w:t>
      </w:r>
      <w:r>
        <w:t>.</w:t>
      </w:r>
      <w:r>
        <w:tab/>
        <w:t>Remuneration</w:t>
      </w:r>
      <w:bookmarkEnd w:id="160"/>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No. 44 of 1999 s. 25(3); No. 39 of 2010 s. 89.] </w:t>
      </w:r>
    </w:p>
    <w:p>
      <w:pPr>
        <w:pStyle w:val="yScheduleHeading"/>
      </w:pPr>
      <w:bookmarkStart w:id="161" w:name="_Toc132191915"/>
      <w:bookmarkStart w:id="162" w:name="_Toc132192041"/>
      <w:bookmarkStart w:id="163" w:name="_Toc132298329"/>
      <w:r>
        <w:rPr>
          <w:rStyle w:val="CharSchNo"/>
        </w:rPr>
        <w:lastRenderedPageBreak/>
        <w:t>Schedule 4</w:t>
      </w:r>
      <w:r>
        <w:t> — </w:t>
      </w:r>
      <w:r>
        <w:rPr>
          <w:rStyle w:val="CharSchText"/>
        </w:rPr>
        <w:t>Provisions applicable to the Commission’s personnel</w:t>
      </w:r>
      <w:bookmarkEnd w:id="161"/>
      <w:bookmarkEnd w:id="162"/>
      <w:bookmarkEnd w:id="163"/>
    </w:p>
    <w:p>
      <w:pPr>
        <w:pStyle w:val="yShoulderClause"/>
        <w:rPr>
          <w:snapToGrid w:val="0"/>
        </w:rPr>
      </w:pPr>
      <w:r>
        <w:rPr>
          <w:snapToGrid w:val="0"/>
        </w:rPr>
        <w:t>[s. 11]</w:t>
      </w:r>
    </w:p>
    <w:p>
      <w:pPr>
        <w:pStyle w:val="yFootnoteheading"/>
      </w:pPr>
      <w:r>
        <w:tab/>
        <w:t>[Heading amended: No. 19 of 2010 s. 4.]</w:t>
      </w:r>
    </w:p>
    <w:p>
      <w:pPr>
        <w:pStyle w:val="yHeading5"/>
        <w:ind w:left="890" w:hanging="890"/>
        <w:outlineLvl w:val="9"/>
      </w:pPr>
      <w:bookmarkStart w:id="164" w:name="_Toc132298330"/>
      <w:r>
        <w:rPr>
          <w:rStyle w:val="CharSClsNo"/>
        </w:rPr>
        <w:t>1</w:t>
      </w:r>
      <w:r>
        <w:t>.</w:t>
      </w:r>
      <w:r>
        <w:tab/>
        <w:t>Superannuation</w:t>
      </w:r>
      <w:bookmarkEnd w:id="164"/>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1</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1</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i/>
          <w:snapToGrid w:val="0"/>
        </w:rPr>
        <w:t>department</w:t>
      </w:r>
      <w:r>
        <w:rPr>
          <w:snapToGrid w:val="0"/>
        </w:rPr>
        <w:t xml:space="preserve"> in section 6 of that Act.</w:t>
      </w:r>
    </w:p>
    <w:p>
      <w:pPr>
        <w:pStyle w:val="yHeading5"/>
        <w:ind w:left="890" w:hanging="890"/>
        <w:outlineLvl w:val="9"/>
      </w:pPr>
      <w:bookmarkStart w:id="165" w:name="_Toc132298331"/>
      <w:r>
        <w:rPr>
          <w:rStyle w:val="CharSClsNo"/>
        </w:rPr>
        <w:t>2</w:t>
      </w:r>
      <w:r>
        <w:t>.</w:t>
      </w:r>
      <w:r>
        <w:tab/>
        <w:t>Saving of leave entitlements</w:t>
      </w:r>
      <w:bookmarkEnd w:id="165"/>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66" w:name="_Toc132191918"/>
      <w:bookmarkStart w:id="167" w:name="_Toc132192044"/>
      <w:bookmarkStart w:id="168" w:name="_Toc132298332"/>
      <w:r>
        <w:rPr>
          <w:rStyle w:val="CharSchNo"/>
        </w:rPr>
        <w:lastRenderedPageBreak/>
        <w:t>Schedule 5</w:t>
      </w:r>
      <w:r>
        <w:t> — </w:t>
      </w:r>
      <w:r>
        <w:rPr>
          <w:rStyle w:val="CharSchText"/>
        </w:rPr>
        <w:t>Provisions applicable to the Ministerial Advisory Council on Disability</w:t>
      </w:r>
      <w:bookmarkEnd w:id="166"/>
      <w:bookmarkEnd w:id="167"/>
      <w:bookmarkEnd w:id="168"/>
    </w:p>
    <w:p>
      <w:pPr>
        <w:pStyle w:val="yShoulderClause"/>
        <w:rPr>
          <w:snapToGrid w:val="0"/>
        </w:rPr>
      </w:pPr>
      <w:r>
        <w:rPr>
          <w:snapToGrid w:val="0"/>
        </w:rPr>
        <w:t>[s. 22(3)]</w:t>
      </w:r>
    </w:p>
    <w:p>
      <w:pPr>
        <w:pStyle w:val="yFootnoteheading"/>
        <w:tabs>
          <w:tab w:val="left" w:pos="851"/>
        </w:tabs>
      </w:pPr>
      <w:r>
        <w:tab/>
        <w:t>[Heading inserted: No. 57 of 2004 s. 34(1).]</w:t>
      </w:r>
    </w:p>
    <w:p>
      <w:pPr>
        <w:pStyle w:val="yHeading5"/>
        <w:ind w:left="890" w:hanging="890"/>
      </w:pPr>
      <w:bookmarkStart w:id="169" w:name="_Toc132298333"/>
      <w:r>
        <w:rPr>
          <w:rStyle w:val="CharSClsNo"/>
        </w:rPr>
        <w:t>1</w:t>
      </w:r>
      <w:r>
        <w:t>.</w:t>
      </w:r>
      <w:r>
        <w:tab/>
        <w:t>Tenure of office</w:t>
      </w:r>
      <w:bookmarkEnd w:id="169"/>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 and</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pPr>
      <w:r>
        <w:tab/>
        <w:t>(1B)</w:t>
      </w:r>
      <w:r>
        <w:tab/>
        <w:t>Despite subclauses (1) and (1a), the deputy chairperson may have his or her appointment extended for up to a year, at the discretion of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yIndenta"/>
        <w:rPr>
          <w:snapToGrid w:val="0"/>
        </w:rPr>
      </w:pPr>
      <w:r>
        <w:rPr>
          <w:snapToGrid w:val="0"/>
        </w:rPr>
        <w:tab/>
        <w:t>(b)</w:t>
      </w:r>
      <w:r>
        <w:rPr>
          <w:snapToGrid w:val="0"/>
        </w:rPr>
        <w:tab/>
        <w:t>if, in the opinion of the Minister, the member misbehaves, neglects his or her duties or is incompetent; or</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keepNext/>
        <w:rPr>
          <w:snapToGrid w:val="0"/>
        </w:rPr>
      </w:pPr>
      <w:r>
        <w:rPr>
          <w:snapToGrid w:val="0"/>
        </w:rPr>
        <w:lastRenderedPageBreak/>
        <w:tab/>
        <w:t>(e)</w:t>
      </w:r>
      <w:r>
        <w:rPr>
          <w:snapToGrid w:val="0"/>
        </w:rPr>
        <w:tab/>
        <w:t>for any other act or omission that in the opinion of the Minister may adversely affect the functioning of the Council.</w:t>
      </w:r>
    </w:p>
    <w:p>
      <w:pPr>
        <w:pStyle w:val="yFootnotesection"/>
      </w:pPr>
      <w:r>
        <w:tab/>
        <w:t>[Clause 1 amended: No. 10 of 2001 s. 220; No. 57 of 2004 s. 34(2) and (3); No. 40 of 2012 s. 23.]</w:t>
      </w:r>
    </w:p>
    <w:p>
      <w:pPr>
        <w:pStyle w:val="yHeading5"/>
        <w:ind w:left="890" w:hanging="890"/>
      </w:pPr>
      <w:bookmarkStart w:id="170" w:name="_Toc132298334"/>
      <w:r>
        <w:rPr>
          <w:rStyle w:val="CharSClsNo"/>
        </w:rPr>
        <w:t>2</w:t>
      </w:r>
      <w:r>
        <w:t>.</w:t>
      </w:r>
      <w:r>
        <w:tab/>
        <w:t>Chairperson</w:t>
      </w:r>
      <w:bookmarkEnd w:id="170"/>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71" w:name="_Toc132298335"/>
      <w:r>
        <w:rPr>
          <w:rStyle w:val="CharSClsNo"/>
        </w:rPr>
        <w:t>3</w:t>
      </w:r>
      <w:r>
        <w:t>.</w:t>
      </w:r>
      <w:r>
        <w:tab/>
        <w:t>Meetings</w:t>
      </w:r>
      <w:bookmarkEnd w:id="171"/>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72" w:name="_Toc132298336"/>
      <w:r>
        <w:rPr>
          <w:rStyle w:val="CharSClsNo"/>
        </w:rPr>
        <w:t>4</w:t>
      </w:r>
      <w:r>
        <w:t>.</w:t>
      </w:r>
      <w:r>
        <w:tab/>
        <w:t>Remuneration</w:t>
      </w:r>
      <w:bookmarkEnd w:id="172"/>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No. 44 of 1999 s. 26; No. 39 of 2010 s. 89.]</w:t>
      </w:r>
    </w:p>
    <w:p>
      <w:pPr>
        <w:pStyle w:val="yFootnotesection"/>
        <w:spacing w:before="400"/>
      </w:pPr>
      <w:r>
        <w:t>[Schedule 6 omitted under the Reprints Act 1984 s. 7(4)(e).]</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173" w:name="_Toc132191923"/>
      <w:bookmarkStart w:id="174" w:name="_Toc132192049"/>
      <w:bookmarkStart w:id="175" w:name="_Toc132298337"/>
      <w:r>
        <w:lastRenderedPageBreak/>
        <w:t>Notes</w:t>
      </w:r>
      <w:bookmarkEnd w:id="173"/>
      <w:bookmarkEnd w:id="174"/>
      <w:bookmarkEnd w:id="175"/>
    </w:p>
    <w:p>
      <w:pPr>
        <w:pStyle w:val="nStatement"/>
      </w:pPr>
      <w:r>
        <w:t xml:space="preserve">This is a compilation of the </w:t>
      </w:r>
      <w:r>
        <w:rPr>
          <w:i/>
          <w:noProof/>
        </w:rPr>
        <w:t>Disability Services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6" w:name="_Toc132298338"/>
      <w:r>
        <w:t>Compilation table</w:t>
      </w:r>
      <w:bookmarkEnd w:id="17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Disability Services Act 1993</w:t>
            </w:r>
            <w:r>
              <w:rPr>
                <w:snapToGrid w:val="0"/>
                <w:vertAlign w:val="superscript"/>
              </w:rPr>
              <w:t> 2</w:t>
            </w:r>
          </w:p>
        </w:tc>
        <w:tc>
          <w:tcPr>
            <w:tcW w:w="1134" w:type="dxa"/>
          </w:tcPr>
          <w:p>
            <w:pPr>
              <w:pStyle w:val="nTable"/>
              <w:spacing w:after="40"/>
            </w:pPr>
            <w:r>
              <w:t>36 of 1993</w:t>
            </w:r>
          </w:p>
        </w:tc>
        <w:tc>
          <w:tcPr>
            <w:tcW w:w="1134" w:type="dxa"/>
          </w:tcPr>
          <w:p>
            <w:pPr>
              <w:pStyle w:val="nTable"/>
              <w:spacing w:after="40"/>
            </w:pPr>
            <w:r>
              <w:t>16 Dec 1993</w:t>
            </w:r>
          </w:p>
        </w:tc>
        <w:tc>
          <w:tcPr>
            <w:tcW w:w="2552" w:type="dxa"/>
          </w:tcPr>
          <w:p>
            <w:pPr>
              <w:pStyle w:val="nTable"/>
              <w:spacing w:after="40"/>
            </w:pPr>
            <w:r>
              <w:t>23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7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70"/>
            </w:pPr>
            <w:r>
              <w:rPr>
                <w:i/>
              </w:rPr>
              <w:t>Health Services (Conciliation and Review) Act 1995</w:t>
            </w:r>
            <w:r>
              <w:t xml:space="preserve"> </w:t>
            </w:r>
            <w:r>
              <w:rPr>
                <w:spacing w:val="-4"/>
              </w:rPr>
              <w:t>s. 80(2)</w:t>
            </w:r>
          </w:p>
        </w:tc>
        <w:tc>
          <w:tcPr>
            <w:tcW w:w="1134" w:type="dxa"/>
          </w:tcPr>
          <w:p>
            <w:pPr>
              <w:pStyle w:val="nTable"/>
              <w:spacing w:after="40"/>
            </w:pPr>
            <w:r>
              <w:t>75 of 1995</w:t>
            </w:r>
          </w:p>
        </w:tc>
        <w:tc>
          <w:tcPr>
            <w:tcW w:w="1134" w:type="dxa"/>
          </w:tcPr>
          <w:p>
            <w:pPr>
              <w:pStyle w:val="nTable"/>
              <w:spacing w:after="40"/>
            </w:pPr>
            <w:r>
              <w:t>9 Jan 1996</w:t>
            </w:r>
          </w:p>
        </w:tc>
        <w:tc>
          <w:tcPr>
            <w:tcW w:w="2552" w:type="dxa"/>
          </w:tcPr>
          <w:p>
            <w:pPr>
              <w:pStyle w:val="nTable"/>
              <w:spacing w:after="40"/>
              <w:ind w:right="113"/>
            </w:pPr>
            <w:r>
              <w:t xml:space="preserve">16 Aug 1996 (see s. 2 and </w:t>
            </w:r>
            <w:r>
              <w:rPr>
                <w:i/>
              </w:rPr>
              <w:t>Gazette</w:t>
            </w:r>
            <w:r>
              <w:t xml:space="preserve"> 16 Aug 1996 </w:t>
            </w:r>
            <w:r>
              <w:rPr>
                <w:spacing w:val="-4"/>
              </w:rPr>
              <w:t>p. 4007)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Disability Services Amendment Act 1999</w:t>
            </w:r>
            <w:r>
              <w:rPr>
                <w:snapToGrid w:val="0"/>
                <w:vertAlign w:val="superscript"/>
              </w:rPr>
              <w:t> 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Disability Services Act 1993</w:t>
            </w:r>
            <w:r>
              <w:rPr>
                <w:b/>
              </w:rPr>
              <w:t xml:space="preserve"> as at 26 May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Carers Recognition Act 2004</w:t>
            </w:r>
            <w:r>
              <w:t xml:space="preserve"> Pt. 5 Div. 1</w:t>
            </w:r>
          </w:p>
        </w:tc>
        <w:tc>
          <w:tcPr>
            <w:tcW w:w="1134" w:type="dxa"/>
          </w:tcPr>
          <w:p>
            <w:pPr>
              <w:pStyle w:val="nTable"/>
              <w:spacing w:after="40"/>
            </w:pPr>
            <w:r>
              <w:t>37 of 2004</w:t>
            </w:r>
          </w:p>
        </w:tc>
        <w:tc>
          <w:tcPr>
            <w:tcW w:w="1134" w:type="dxa"/>
          </w:tcPr>
          <w:p>
            <w:pPr>
              <w:pStyle w:val="nTable"/>
              <w:spacing w:after="40"/>
            </w:pPr>
            <w:r>
              <w:t>28 Oct 2004</w:t>
            </w:r>
          </w:p>
        </w:tc>
        <w:tc>
          <w:tcPr>
            <w:tcW w:w="2552" w:type="dxa"/>
          </w:tcPr>
          <w:p>
            <w:pPr>
              <w:pStyle w:val="nTable"/>
              <w:spacing w:after="40"/>
            </w:pPr>
            <w:r>
              <w:t xml:space="preserve">1 Jan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Disability Services Amendment Act 2004</w:t>
            </w:r>
            <w:r>
              <w:rPr>
                <w:vertAlign w:val="superscript"/>
              </w:rPr>
              <w:t> 4</w:t>
            </w:r>
          </w:p>
        </w:tc>
        <w:tc>
          <w:tcPr>
            <w:tcW w:w="1134" w:type="dxa"/>
          </w:tcPr>
          <w:p>
            <w:pPr>
              <w:pStyle w:val="nTable"/>
              <w:spacing w:after="40"/>
            </w:pPr>
            <w:r>
              <w:t>57 of 2004</w:t>
            </w:r>
          </w:p>
        </w:tc>
        <w:tc>
          <w:tcPr>
            <w:tcW w:w="1134" w:type="dxa"/>
          </w:tcPr>
          <w:p>
            <w:pPr>
              <w:pStyle w:val="nTable"/>
              <w:spacing w:after="40"/>
            </w:pPr>
            <w:r>
              <w:t>18 Nov 2004</w:t>
            </w:r>
          </w:p>
        </w:tc>
        <w:tc>
          <w:tcPr>
            <w:tcW w:w="2552" w:type="dxa"/>
          </w:tcPr>
          <w:p>
            <w:pPr>
              <w:pStyle w:val="nTable"/>
              <w:spacing w:after="40"/>
            </w:pPr>
            <w:r>
              <w:t>s. 1 and 2: 18 Nov 2004;</w:t>
            </w:r>
            <w:r>
              <w:br/>
              <w:t xml:space="preserve">Act other than s. 1 and 2: 15 Dec 2004 (see s. 2 and </w:t>
            </w:r>
            <w:r>
              <w:rPr>
                <w:i/>
              </w:rPr>
              <w:t>Gazette</w:t>
            </w:r>
            <w:r>
              <w:t xml:space="preserve"> 14 Dec 2004 p. 5999)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lastRenderedPageBreak/>
              <w:t>State Administrative Tribunal (Conferral of Jurisdiction) Amendment and Repeal Act 2004</w:t>
            </w:r>
            <w:r>
              <w:t xml:space="preserve"> s. 467</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24 Jan 2005 (see s. 2 and </w:t>
            </w:r>
            <w:r>
              <w:rPr>
                <w:i/>
              </w:rPr>
              <w:t xml:space="preserve">Gazette </w:t>
            </w:r>
            <w:r>
              <w:t>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Administration Legislation Amendment Act 2005</w:t>
            </w:r>
            <w:r>
              <w:rPr>
                <w:snapToGrid w:val="0"/>
              </w:rPr>
              <w:t xml:space="preserve"> s. 38</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2" w:type="dxa"/>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Disability Services Act 1993</w:t>
            </w:r>
            <w:r>
              <w:rPr>
                <w:b/>
              </w:rPr>
              <w:t xml:space="preserve"> as at 15 Jul 2005</w:t>
            </w:r>
            <w:r>
              <w:t xml:space="preserve"> (includes amendments listed above except those in the </w:t>
            </w:r>
            <w:r>
              <w:rPr>
                <w:i/>
                <w:snapToGrid w:val="0"/>
              </w:rPr>
              <w:t xml:space="preserve">Children and Community Services Act 2004 </w:t>
            </w:r>
            <w:r>
              <w:rPr>
                <w:iCs/>
                <w:snapToGrid w:val="0"/>
              </w:rPr>
              <w:t>and the</w:t>
            </w:r>
            <w:r>
              <w:rPr>
                <w:i/>
                <w:snapToGrid w:val="0"/>
              </w:rPr>
              <w:t xml:space="preserve"> Financial Administration Legislation Amendment Act 2005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ind w:left="12"/>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5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893"/>
              </w:tabs>
              <w:spacing w:after="40"/>
              <w:ind w:right="113"/>
              <w:rPr>
                <w:iCs/>
                <w:snapToGrid w:val="0"/>
                <w:vertAlign w:val="superscript"/>
              </w:rPr>
            </w:pPr>
            <w:r>
              <w:rPr>
                <w:i/>
                <w:snapToGrid w:val="0"/>
              </w:rPr>
              <w:t>Volunteers (Protection from Liability) Amendment Act 2006</w:t>
            </w:r>
            <w:r>
              <w:rPr>
                <w:iCs/>
                <w:snapToGrid w:val="0"/>
              </w:rPr>
              <w:t xml:space="preserve"> s. 12(2)</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45</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Disability Services Act 1993</w:t>
            </w:r>
            <w:r>
              <w:rPr>
                <w:b/>
              </w:rPr>
              <w:t xml:space="preserve"> as at 21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Pt. 3</w:t>
            </w:r>
          </w:p>
        </w:tc>
        <w:tc>
          <w:tcPr>
            <w:tcW w:w="1134" w:type="dxa"/>
          </w:tcPr>
          <w:p>
            <w:pPr>
              <w:pStyle w:val="nTable"/>
              <w:spacing w:after="40"/>
              <w:rPr>
                <w:snapToGrid w:val="0"/>
              </w:rPr>
            </w:pPr>
            <w:r>
              <w:rPr>
                <w:snapToGrid w:val="0"/>
              </w:rPr>
              <w:t>33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lastRenderedPageBreak/>
              <w:t>Disability Services Amendment Act 2012</w:t>
            </w:r>
          </w:p>
        </w:tc>
        <w:tc>
          <w:tcPr>
            <w:tcW w:w="1134" w:type="dxa"/>
          </w:tcPr>
          <w:p>
            <w:pPr>
              <w:pStyle w:val="nTable"/>
              <w:spacing w:after="40"/>
              <w:rPr>
                <w:snapToGrid w:val="0"/>
              </w:rPr>
            </w:pPr>
            <w:r>
              <w:rPr>
                <w:snapToGrid w:val="0"/>
              </w:rPr>
              <w:t>40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rPr>
              <w:t>s. 1 and 2: 22 Nov 2012 (see s. 2(a));</w:t>
            </w:r>
            <w:r>
              <w:rPr>
                <w:snapToGrid w:val="0"/>
              </w:rPr>
              <w:br/>
              <w:t xml:space="preserve">Act other than s. 1 and 2: 12 Jun 2013 (see s. 2(b) and </w:t>
            </w:r>
            <w:r>
              <w:rPr>
                <w:i/>
                <w:snapToGrid w:val="0"/>
              </w:rPr>
              <w:t>Gazette</w:t>
            </w:r>
            <w:r>
              <w:rPr>
                <w:snapToGrid w:val="0"/>
              </w:rPr>
              <w:t xml:space="preserve"> 11 Jun 2013 p. 2161)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4: The </w:t>
            </w:r>
            <w:r>
              <w:rPr>
                <w:b/>
                <w:i/>
              </w:rPr>
              <w:t>Disability Services Act 1993</w:t>
            </w:r>
            <w:r>
              <w:rPr>
                <w:b/>
              </w:rPr>
              <w:t xml:space="preserve"> as at 2 Aug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Disability Services Amendment Act 2014</w:t>
            </w:r>
          </w:p>
        </w:tc>
        <w:tc>
          <w:tcPr>
            <w:tcW w:w="1134" w:type="dxa"/>
          </w:tcPr>
          <w:p>
            <w:pPr>
              <w:pStyle w:val="nTable"/>
              <w:spacing w:after="40"/>
              <w:rPr>
                <w:snapToGrid w:val="0"/>
              </w:rPr>
            </w:pPr>
            <w:r>
              <w:rPr>
                <w:snapToGrid w:val="0"/>
              </w:rPr>
              <w:t>10 of 2014</w:t>
            </w:r>
          </w:p>
        </w:tc>
        <w:tc>
          <w:tcPr>
            <w:tcW w:w="1134" w:type="dxa"/>
          </w:tcPr>
          <w:p>
            <w:pPr>
              <w:pStyle w:val="nTable"/>
              <w:spacing w:after="40"/>
              <w:jc w:val="both"/>
              <w:rPr>
                <w:snapToGrid w:val="0"/>
              </w:rPr>
            </w:pPr>
            <w:r>
              <w:rPr>
                <w:snapToGrid w:val="0"/>
              </w:rPr>
              <w:t>24 Jun 2014</w:t>
            </w:r>
          </w:p>
        </w:tc>
        <w:tc>
          <w:tcPr>
            <w:tcW w:w="2552" w:type="dxa"/>
          </w:tcPr>
          <w:p>
            <w:pPr>
              <w:pStyle w:val="nTable"/>
              <w:spacing w:after="40"/>
              <w:rPr>
                <w:snapToGrid w:val="0"/>
              </w:rPr>
            </w:pPr>
            <w:r>
              <w:rPr>
                <w:bCs/>
                <w:snapToGrid w:val="0"/>
                <w:spacing w:val="-2"/>
              </w:rPr>
              <w:t>s. 1 and 2: 24 Jun 2014 (see s. 2(a));</w:t>
            </w:r>
            <w:r>
              <w:rPr>
                <w:bCs/>
                <w:snapToGrid w:val="0"/>
                <w:spacing w:val="-2"/>
              </w:rPr>
              <w:br/>
              <w:t>Act other than s. 1 and 2: 1 Jul 2014 (see s. 2(b)(i))</w:t>
            </w:r>
          </w:p>
        </w:tc>
      </w:tr>
      <w:tr>
        <w:trPr>
          <w:cantSplit/>
        </w:trPr>
        <w:tc>
          <w:tcPr>
            <w:tcW w:w="2268" w:type="dxa"/>
            <w:tcBorders>
              <w:top w:val="nil"/>
              <w:bottom w:val="nil"/>
            </w:tcBorders>
          </w:tcPr>
          <w:p>
            <w:pPr>
              <w:pStyle w:val="nTable"/>
              <w:spacing w:after="40"/>
              <w:ind w:right="113"/>
              <w:rPr>
                <w:i/>
                <w:iCs/>
                <w:snapToGrid w:val="0"/>
              </w:rPr>
            </w:pPr>
            <w:r>
              <w:rPr>
                <w:i/>
                <w:snapToGrid w:val="0"/>
              </w:rPr>
              <w:t>Declared Places (Mentally Impaired Accused) Act 2015</w:t>
            </w:r>
            <w:r>
              <w:rPr>
                <w:snapToGrid w:val="0"/>
              </w:rPr>
              <w:t xml:space="preserve"> Pt. 12 Div. 2</w:t>
            </w:r>
          </w:p>
        </w:tc>
        <w:tc>
          <w:tcPr>
            <w:tcW w:w="1134" w:type="dxa"/>
            <w:tcBorders>
              <w:top w:val="nil"/>
              <w:bottom w:val="nil"/>
            </w:tcBorders>
          </w:tcPr>
          <w:p>
            <w:pPr>
              <w:pStyle w:val="nTable"/>
              <w:spacing w:after="40"/>
              <w:rPr>
                <w:snapToGrid w:val="0"/>
              </w:rPr>
            </w:pPr>
            <w:r>
              <w:t>4 of 2015</w:t>
            </w:r>
          </w:p>
        </w:tc>
        <w:tc>
          <w:tcPr>
            <w:tcW w:w="1134" w:type="dxa"/>
            <w:tcBorders>
              <w:top w:val="nil"/>
              <w:bottom w:val="nil"/>
            </w:tcBorders>
          </w:tcPr>
          <w:p>
            <w:pPr>
              <w:pStyle w:val="nTable"/>
              <w:spacing w:after="40"/>
              <w:jc w:val="both"/>
              <w:rPr>
                <w:snapToGrid w:val="0"/>
              </w:rPr>
            </w:pPr>
            <w:r>
              <w:t>3 Mar 2015</w:t>
            </w:r>
          </w:p>
        </w:tc>
        <w:tc>
          <w:tcPr>
            <w:tcW w:w="2552" w:type="dxa"/>
            <w:tcBorders>
              <w:top w:val="nil"/>
              <w:bottom w:val="nil"/>
            </w:tcBorders>
          </w:tcPr>
          <w:p>
            <w:pPr>
              <w:pStyle w:val="nTable"/>
              <w:spacing w:after="40"/>
              <w:rPr>
                <w:bCs/>
                <w:snapToGrid w:val="0"/>
                <w:spacing w:val="-2"/>
              </w:rPr>
            </w:pPr>
            <w:r>
              <w:rPr>
                <w:bCs/>
                <w:snapToGrid w:val="0"/>
                <w:spacing w:val="-2"/>
              </w:rPr>
              <w:t xml:space="preserve">17 Jun 2015 (see s. 2(b) and </w:t>
            </w:r>
            <w:r>
              <w:rPr>
                <w:bCs/>
                <w:i/>
                <w:snapToGrid w:val="0"/>
                <w:spacing w:val="-2"/>
              </w:rPr>
              <w:t>Gazette</w:t>
            </w:r>
            <w:r>
              <w:rPr>
                <w:bCs/>
                <w:snapToGrid w:val="0"/>
                <w:spacing w:val="-2"/>
              </w:rPr>
              <w:t xml:space="preserve"> 16 Jun 2015 p. 2071)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snapToGrid w:val="0"/>
              </w:rPr>
              <w:t>Procurement Act 2020</w:t>
            </w:r>
            <w:r>
              <w:rPr>
                <w:snapToGrid w:val="0"/>
              </w:rPr>
              <w:t xml:space="preserve"> Pt. 10 Div. 2</w:t>
            </w:r>
          </w:p>
        </w:tc>
        <w:tc>
          <w:tcPr>
            <w:tcW w:w="1134" w:type="dxa"/>
            <w:tcBorders>
              <w:bottom w:val="single" w:sz="4" w:space="0" w:color="auto"/>
            </w:tcBorders>
          </w:tcPr>
          <w:p>
            <w:pPr>
              <w:pStyle w:val="nTable"/>
              <w:spacing w:after="40"/>
            </w:pPr>
            <w:r>
              <w:t>24 of 2020</w:t>
            </w:r>
          </w:p>
        </w:tc>
        <w:tc>
          <w:tcPr>
            <w:tcW w:w="1134" w:type="dxa"/>
            <w:tcBorders>
              <w:bottom w:val="single" w:sz="4" w:space="0" w:color="auto"/>
            </w:tcBorders>
          </w:tcPr>
          <w:p>
            <w:pPr>
              <w:pStyle w:val="nTable"/>
              <w:spacing w:after="40"/>
              <w:jc w:val="both"/>
            </w:pPr>
            <w:r>
              <w:t>19 Jun 2020</w:t>
            </w:r>
          </w:p>
        </w:tc>
        <w:tc>
          <w:tcPr>
            <w:tcW w:w="2552" w:type="dxa"/>
            <w:tcBorders>
              <w:bottom w:val="single" w:sz="4" w:space="0" w:color="auto"/>
            </w:tcBorders>
          </w:tcPr>
          <w:p>
            <w:pPr>
              <w:pStyle w:val="nTable"/>
              <w:spacing w:after="40"/>
              <w:rPr>
                <w:bCs/>
                <w:snapToGrid w:val="0"/>
                <w:spacing w:val="-2"/>
              </w:rPr>
            </w:pPr>
            <w:r>
              <w:t>1 Jun 2021 (see s. 2(b) and SL 2020/244 cl. 2(c))</w:t>
            </w:r>
          </w:p>
        </w:tc>
      </w:tr>
    </w:tbl>
    <w:p>
      <w:pPr>
        <w:pStyle w:val="nHeading3"/>
      </w:pPr>
      <w:bookmarkStart w:id="177" w:name="_Toc132298339"/>
      <w:r>
        <w:t>Uncommenced provisions table</w:t>
      </w:r>
      <w:bookmarkEnd w:id="17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bottom w:val="nil"/>
            </w:tcBorders>
          </w:tcPr>
          <w:p>
            <w:pPr>
              <w:pStyle w:val="nTable"/>
              <w:keepNext/>
              <w:spacing w:after="40"/>
            </w:pPr>
            <w:r>
              <w:t>43 of 2000</w:t>
            </w:r>
          </w:p>
        </w:tc>
        <w:tc>
          <w:tcPr>
            <w:tcW w:w="1134" w:type="dxa"/>
            <w:tcBorders>
              <w:bottom w:val="nil"/>
            </w:tcBorders>
          </w:tcPr>
          <w:p>
            <w:pPr>
              <w:pStyle w:val="nTable"/>
              <w:keepNext/>
              <w:spacing w:after="40"/>
            </w:pPr>
            <w:r>
              <w:t>2 Nov 2000</w:t>
            </w:r>
          </w:p>
        </w:tc>
        <w:tc>
          <w:tcPr>
            <w:tcW w:w="2552" w:type="dxa"/>
            <w:tcBorders>
              <w:bottom w:val="nil"/>
            </w:tcBorders>
          </w:tcPr>
          <w:p>
            <w:pPr>
              <w:pStyle w:val="nTable"/>
              <w:keepNext/>
              <w:spacing w:after="40"/>
            </w:pPr>
            <w:r>
              <w:t>To be proclaimed (see s. 2(2))</w:t>
            </w:r>
          </w:p>
        </w:tc>
      </w:tr>
      <w:tr>
        <w:tc>
          <w:tcPr>
            <w:tcW w:w="2268" w:type="dxa"/>
            <w:tcBorders>
              <w:top w:val="nil"/>
              <w:bottom w:val="single" w:sz="4" w:space="0" w:color="auto"/>
            </w:tcBorders>
          </w:tcPr>
          <w:p>
            <w:pPr>
              <w:pStyle w:val="nTable"/>
              <w:spacing w:after="40"/>
              <w:ind w:right="113"/>
              <w:rPr>
                <w:snapToGrid w:val="0"/>
              </w:rPr>
            </w:pPr>
            <w:r>
              <w:rPr>
                <w:i/>
                <w:snapToGrid w:val="0"/>
              </w:rPr>
              <w:t>Criminal Law (Mental Impairment) Act 2023</w:t>
            </w:r>
            <w:r>
              <w:rPr>
                <w:snapToGrid w:val="0"/>
              </w:rPr>
              <w:t xml:space="preserve"> Pt. 15 Div. 12</w:t>
            </w:r>
          </w:p>
        </w:tc>
        <w:tc>
          <w:tcPr>
            <w:tcW w:w="1134" w:type="dxa"/>
            <w:tcBorders>
              <w:top w:val="nil"/>
              <w:bottom w:val="single" w:sz="4" w:space="0" w:color="auto"/>
            </w:tcBorders>
          </w:tcPr>
          <w:p>
            <w:pPr>
              <w:pStyle w:val="nTable"/>
              <w:keepNext/>
              <w:spacing w:after="40"/>
            </w:pPr>
            <w:r>
              <w:t>10 of 2023</w:t>
            </w:r>
          </w:p>
        </w:tc>
        <w:tc>
          <w:tcPr>
            <w:tcW w:w="1134" w:type="dxa"/>
            <w:tcBorders>
              <w:top w:val="nil"/>
              <w:bottom w:val="single" w:sz="4" w:space="0" w:color="auto"/>
            </w:tcBorders>
          </w:tcPr>
          <w:p>
            <w:pPr>
              <w:pStyle w:val="nTable"/>
              <w:keepNext/>
              <w:spacing w:after="40"/>
            </w:pPr>
            <w:r>
              <w:t>13 Apr 2023</w:t>
            </w:r>
          </w:p>
        </w:tc>
        <w:tc>
          <w:tcPr>
            <w:tcW w:w="2552" w:type="dxa"/>
            <w:tcBorders>
              <w:top w:val="nil"/>
              <w:bottom w:val="single" w:sz="4" w:space="0" w:color="auto"/>
            </w:tcBorders>
          </w:tcPr>
          <w:p>
            <w:pPr>
              <w:pStyle w:val="nTable"/>
              <w:keepNext/>
              <w:spacing w:after="40"/>
            </w:pPr>
            <w:r>
              <w:t>To be proclaimed (see s. 2(b))</w:t>
            </w:r>
          </w:p>
          <w:p/>
        </w:tc>
      </w:tr>
    </w:tbl>
    <w:p>
      <w:pPr>
        <w:pStyle w:val="nHeading3"/>
      </w:pPr>
      <w:bookmarkStart w:id="178" w:name="_Toc132298340"/>
      <w:r>
        <w:t>Other notes</w:t>
      </w:r>
      <w:bookmarkEnd w:id="178"/>
    </w:p>
    <w:p>
      <w:pPr>
        <w:pStyle w:val="nNote"/>
        <w:spacing w:before="160"/>
      </w:pPr>
      <w:r>
        <w:rPr>
          <w:vertAlign w:val="superscript"/>
        </w:rPr>
        <w:t>1</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ind w:left="459" w:hanging="459"/>
      </w:pPr>
      <w:r>
        <w:rPr>
          <w:vertAlign w:val="superscript"/>
        </w:rPr>
        <w:lastRenderedPageBreak/>
        <w:t>2</w:t>
      </w:r>
      <w:r>
        <w:tab/>
        <w:t xml:space="preserve">The </w:t>
      </w:r>
      <w:r>
        <w:rPr>
          <w:i/>
        </w:rPr>
        <w:t xml:space="preserve">Disability Services Act 1993 </w:t>
      </w:r>
      <w:r>
        <w:t>Sch. 6 Pt. 2 reads as follows:</w:t>
      </w:r>
    </w:p>
    <w:p>
      <w:pPr>
        <w:pStyle w:val="BlankOpen"/>
      </w:pPr>
    </w:p>
    <w:p>
      <w:pPr>
        <w:pStyle w:val="nzMiscellaneousBody"/>
        <w:keepNext/>
        <w:jc w:val="center"/>
        <w:rPr>
          <w:b/>
          <w:snapToGrid w:val="0"/>
          <w:sz w:val="22"/>
          <w:szCs w:val="22"/>
        </w:rPr>
      </w:pPr>
      <w:r>
        <w:rPr>
          <w:b/>
          <w:snapToGrid w:val="0"/>
          <w:sz w:val="22"/>
          <w:szCs w:val="22"/>
        </w:rPr>
        <w:t>Part 2 — Transitional provisions</w:t>
      </w:r>
    </w:p>
    <w:p>
      <w:pPr>
        <w:pStyle w:val="nzMiscellaneousBody"/>
        <w:keepNext/>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i/>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keepNext/>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keepNext/>
        <w:keepLines/>
        <w:tabs>
          <w:tab w:val="left" w:pos="851"/>
        </w:tabs>
        <w:ind w:left="1418" w:hanging="851"/>
        <w:rPr>
          <w:snapToGrid w:val="0"/>
        </w:rPr>
      </w:pPr>
      <w:r>
        <w:rPr>
          <w:snapToGrid w:val="0"/>
        </w:rPr>
        <w:lastRenderedPageBreak/>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BlankClose"/>
      </w:pPr>
    </w:p>
    <w:p>
      <w:pPr>
        <w:pStyle w:val="nNote"/>
        <w:rPr>
          <w:snapToGrid w:val="0"/>
        </w:rPr>
      </w:pPr>
      <w:r>
        <w:rPr>
          <w:vertAlign w:val="superscript"/>
        </w:rPr>
        <w:t>3</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Note"/>
        <w:keepNext/>
        <w:keepLines/>
        <w:rPr>
          <w:snapToGrid w:val="0"/>
        </w:rPr>
      </w:pPr>
      <w:r>
        <w:rPr>
          <w:vertAlign w:val="superscript"/>
        </w:rPr>
        <w:lastRenderedPageBreak/>
        <w:t>4</w:t>
      </w:r>
      <w:r>
        <w:rPr>
          <w:vertAlign w:val="superscript"/>
        </w:rPr>
        <w:tab/>
      </w:r>
      <w:r>
        <w:rPr>
          <w:snapToGrid w:val="0"/>
        </w:rPr>
        <w:t xml:space="preserve">The </w:t>
      </w:r>
      <w:r>
        <w:rPr>
          <w:i/>
          <w:snapToGrid w:val="0"/>
        </w:rPr>
        <w:t>Disability Services Amendment Act 2004</w:t>
      </w:r>
      <w:r>
        <w:rPr>
          <w:snapToGrid w:val="0"/>
        </w:rPr>
        <w:t xml:space="preserve"> s. 11(2) and (3) and s. 20(2) read as follows: </w:t>
      </w:r>
    </w:p>
    <w:p>
      <w:pPr>
        <w:pStyle w:val="BlankOpen"/>
      </w:pPr>
    </w:p>
    <w:p>
      <w:pPr>
        <w:pStyle w:val="nzHeading5"/>
      </w:pPr>
      <w:r>
        <w:rPr>
          <w:snapToGrid w:val="0"/>
        </w:rPr>
        <w:t>11.</w:t>
      </w:r>
      <w:r>
        <w:rPr>
          <w:snapToGrid w:val="0"/>
        </w:rPr>
        <w:tab/>
        <w:t>Section 22 replaced and transitional provision</w:t>
      </w:r>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r>
        <w:rPr>
          <w:snapToGrid w:val="0"/>
        </w:rPr>
        <w:t>20.</w:t>
      </w:r>
      <w:r>
        <w:rPr>
          <w:snapToGrid w:val="0"/>
        </w:rPr>
        <w:tab/>
        <w:t>Section 28 replaced and transitional provision</w:t>
      </w:r>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180" w:name="_Toc132191927"/>
      <w:bookmarkStart w:id="181" w:name="_Toc132192053"/>
      <w:bookmarkStart w:id="182" w:name="_Toc132298341"/>
      <w:r>
        <w:rPr>
          <w:sz w:val="28"/>
        </w:rPr>
        <w:lastRenderedPageBreak/>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Board</w:t>
      </w:r>
      <w:r>
        <w:tab/>
        <w:t>3</w:t>
      </w:r>
    </w:p>
    <w:p>
      <w:pPr>
        <w:pStyle w:val="DefinedTerms"/>
      </w:pPr>
      <w:r>
        <w:t>carer</w:t>
      </w:r>
      <w:r>
        <w:tab/>
        <w:t>3</w:t>
      </w:r>
    </w:p>
    <w:p>
      <w:pPr>
        <w:pStyle w:val="DefinedTerms"/>
      </w:pPr>
      <w:r>
        <w:t>Carers Charter</w:t>
      </w:r>
      <w:r>
        <w:tab/>
        <w:t>30</w:t>
      </w:r>
    </w:p>
    <w:p>
      <w:pPr>
        <w:pStyle w:val="DefinedTerms"/>
      </w:pPr>
      <w:r>
        <w:t>chief executive officer</w:t>
      </w:r>
      <w:r>
        <w:tab/>
        <w:t>3</w:t>
      </w:r>
    </w:p>
    <w:p>
      <w:pPr>
        <w:pStyle w:val="DefinedTerms"/>
      </w:pPr>
      <w:r>
        <w:t>commencement day</w:t>
      </w:r>
      <w:r>
        <w:tab/>
        <w:t>26A</w:t>
      </w:r>
    </w:p>
    <w:p>
      <w:pPr>
        <w:pStyle w:val="DefinedTerms"/>
      </w:pPr>
      <w:r>
        <w:t>Commission</w:t>
      </w:r>
      <w:r>
        <w:tab/>
        <w:t>3</w:t>
      </w:r>
    </w:p>
    <w:p>
      <w:pPr>
        <w:pStyle w:val="DefinedTerms"/>
      </w:pPr>
      <w:r>
        <w:t>complaint</w:t>
      </w:r>
      <w:r>
        <w:tab/>
        <w:t>30</w:t>
      </w:r>
    </w:p>
    <w:p>
      <w:pPr>
        <w:pStyle w:val="DefinedTerms"/>
      </w:pPr>
      <w:r>
        <w:t>Complaints Office</w:t>
      </w:r>
      <w:r>
        <w:tab/>
        <w:t>30</w:t>
      </w:r>
    </w:p>
    <w:p>
      <w:pPr>
        <w:pStyle w:val="DefinedTerms"/>
      </w:pPr>
      <w:r>
        <w:t>Council</w:t>
      </w:r>
      <w:r>
        <w:tab/>
        <w:t>3</w:t>
      </w:r>
    </w:p>
    <w:p>
      <w:pPr>
        <w:pStyle w:val="DefinedTerms"/>
      </w:pPr>
      <w:r>
        <w:t>declared place</w:t>
      </w:r>
      <w:r>
        <w:tab/>
        <w:t>30</w:t>
      </w:r>
    </w:p>
    <w:p>
      <w:pPr>
        <w:pStyle w:val="DefinedTerms"/>
      </w:pPr>
      <w:r>
        <w:t>Declared Places Act</w:t>
      </w:r>
      <w:r>
        <w:tab/>
        <w:t>3</w:t>
      </w:r>
    </w:p>
    <w:p>
      <w:pPr>
        <w:pStyle w:val="DefinedTerms"/>
      </w:pPr>
      <w:r>
        <w:t>Director</w:t>
      </w:r>
      <w:r>
        <w:tab/>
        <w:t>3</w:t>
      </w:r>
    </w:p>
    <w:p>
      <w:pPr>
        <w:pStyle w:val="DefinedTerms"/>
      </w:pPr>
      <w:r>
        <w:t>disability</w:t>
      </w:r>
      <w:r>
        <w:tab/>
        <w:t>3</w:t>
      </w:r>
    </w:p>
    <w:p>
      <w:pPr>
        <w:pStyle w:val="DefinedTerms"/>
      </w:pPr>
      <w:r>
        <w:t>disability service</w:t>
      </w:r>
      <w:r>
        <w:tab/>
        <w:t>3, 26A, 30</w:t>
      </w:r>
    </w:p>
    <w:p>
      <w:pPr>
        <w:pStyle w:val="DefinedTerms"/>
      </w:pPr>
      <w:r>
        <w:t>Disability Services Standards</w:t>
      </w:r>
      <w:r>
        <w:tab/>
        <w:t>3</w:t>
      </w:r>
    </w:p>
    <w:p>
      <w:pPr>
        <w:pStyle w:val="DefinedTerms"/>
      </w:pPr>
      <w:r>
        <w:t>document</w:t>
      </w:r>
      <w:r>
        <w:tab/>
        <w:t>21(5), 44B(5)</w:t>
      </w:r>
    </w:p>
    <w:p>
      <w:pPr>
        <w:pStyle w:val="DefinedTerms"/>
      </w:pPr>
      <w:r>
        <w:t>Health Department</w:t>
      </w:r>
      <w:r>
        <w:tab/>
        <w:t>30</w:t>
      </w:r>
    </w:p>
    <w:p>
      <w:pPr>
        <w:pStyle w:val="DefinedTerms"/>
      </w:pPr>
      <w:r>
        <w:t>information</w:t>
      </w:r>
      <w:r>
        <w:tab/>
        <w:t>21(5), 44B(5)</w:t>
      </w:r>
    </w:p>
    <w:p>
      <w:pPr>
        <w:pStyle w:val="DefinedTerms"/>
      </w:pPr>
      <w:r>
        <w:t>member of the staff</w:t>
      </w:r>
      <w:r>
        <w:tab/>
        <w:t>30</w:t>
      </w:r>
    </w:p>
    <w:p>
      <w:pPr>
        <w:pStyle w:val="DefinedTerms"/>
      </w:pPr>
      <w:r>
        <w:t>metropolitan region</w:t>
      </w:r>
      <w:r>
        <w:tab/>
        <w:t>3</w:t>
      </w:r>
    </w:p>
    <w:p>
      <w:pPr>
        <w:pStyle w:val="DefinedTerms"/>
      </w:pPr>
      <w:r>
        <w:t>National Disability Insurance Scheme</w:t>
      </w:r>
      <w:r>
        <w:tab/>
        <w:t>26E</w:t>
      </w:r>
    </w:p>
    <w:p>
      <w:pPr>
        <w:pStyle w:val="DefinedTerms"/>
      </w:pPr>
      <w:r>
        <w:t>NDIS Act</w:t>
      </w:r>
      <w:r>
        <w:tab/>
        <w:t>26E</w:t>
      </w:r>
    </w:p>
    <w:p>
      <w:pPr>
        <w:pStyle w:val="DefinedTerms"/>
      </w:pPr>
      <w:r>
        <w:t>participant</w:t>
      </w:r>
      <w:r>
        <w:tab/>
        <w:t>26E</w:t>
      </w:r>
    </w:p>
    <w:p>
      <w:pPr>
        <w:pStyle w:val="DefinedTerms"/>
      </w:pPr>
      <w:r>
        <w:t>personnel</w:t>
      </w:r>
      <w:r>
        <w:tab/>
        <w:t>3</w:t>
      </w:r>
    </w:p>
    <w:p>
      <w:pPr>
        <w:pStyle w:val="DefinedTerms"/>
      </w:pPr>
      <w:r>
        <w:t>person’s representative</w:t>
      </w:r>
      <w:r>
        <w:tab/>
        <w:t>41(1)</w:t>
      </w:r>
    </w:p>
    <w:p>
      <w:pPr>
        <w:pStyle w:val="DefinedTerms"/>
      </w:pPr>
      <w:r>
        <w:t>plan</w:t>
      </w:r>
      <w:r>
        <w:tab/>
        <w:t>26I(1)</w:t>
      </w:r>
    </w:p>
    <w:p>
      <w:pPr>
        <w:pStyle w:val="DefinedTerms"/>
      </w:pPr>
      <w:r>
        <w:t>public authority</w:t>
      </w:r>
      <w:r>
        <w:tab/>
        <w:t>3</w:t>
      </w:r>
    </w:p>
    <w:p>
      <w:pPr>
        <w:pStyle w:val="DefinedTerms"/>
      </w:pPr>
      <w:r>
        <w:t>relevant information</w:t>
      </w:r>
      <w:r>
        <w:tab/>
        <w:t>41(1)</w:t>
      </w:r>
    </w:p>
    <w:p>
      <w:pPr>
        <w:pStyle w:val="DefinedTerms"/>
      </w:pPr>
      <w:r>
        <w:t>relevant record</w:t>
      </w:r>
      <w:r>
        <w:tab/>
        <w:t>41(1)</w:t>
      </w:r>
    </w:p>
    <w:p>
      <w:pPr>
        <w:pStyle w:val="DefinedTerms"/>
      </w:pPr>
      <w:r>
        <w:t>representative</w:t>
      </w:r>
      <w:r>
        <w:tab/>
        <w:t>30</w:t>
      </w:r>
    </w:p>
    <w:p>
      <w:pPr>
        <w:pStyle w:val="DefinedTerms"/>
      </w:pPr>
      <w:r>
        <w:t>resident</w:t>
      </w:r>
      <w:r>
        <w:tab/>
        <w:t>3</w:t>
      </w:r>
    </w:p>
    <w:p>
      <w:pPr>
        <w:pStyle w:val="DefinedTerms"/>
      </w:pPr>
      <w:r>
        <w:t>resident service</w:t>
      </w:r>
      <w:r>
        <w:tab/>
        <w:t>30</w:t>
      </w:r>
    </w:p>
    <w:p>
      <w:pPr>
        <w:pStyle w:val="DefinedTerms"/>
      </w:pPr>
      <w:r>
        <w:t>respondent</w:t>
      </w:r>
      <w:r>
        <w:tab/>
        <w:t>30</w:t>
      </w:r>
    </w:p>
    <w:p>
      <w:pPr>
        <w:pStyle w:val="DefinedTerms"/>
      </w:pPr>
      <w:r>
        <w:t>service developer</w:t>
      </w:r>
      <w:r>
        <w:tab/>
        <w:t>3</w:t>
      </w:r>
    </w:p>
    <w:p>
      <w:pPr>
        <w:pStyle w:val="DefinedTerms"/>
      </w:pPr>
      <w:r>
        <w:t>service provider</w:t>
      </w:r>
      <w:r>
        <w:tab/>
        <w:t>3, 30</w:t>
      </w:r>
    </w:p>
    <w:p>
      <w:pPr>
        <w:pStyle w:val="DefinedTerms"/>
      </w:pPr>
      <w:r>
        <w:t>support</w:t>
      </w:r>
      <w:r>
        <w:tab/>
        <w:t>26I(1)</w:t>
      </w:r>
    </w:p>
    <w:p>
      <w:pPr>
        <w:pStyle w:val="DefinedTerms"/>
      </w:pPr>
      <w:r>
        <w:t>trial</w:t>
      </w:r>
      <w:r>
        <w:tab/>
        <w:t>26E</w:t>
      </w:r>
    </w:p>
    <w:p/>
    <w:p>
      <w:pPr>
        <w:pStyle w:val="DefinedTerms"/>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Principles applicable to people with disability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Principles applicable to people with disability</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Objectives for services and programmes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Objectives for services and programmes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3" w:name="DefinedTerms"/>
    <w:bookmarkEnd w:id="18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D4E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08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D2F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44FE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C87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DC50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5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94F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D45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A04A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EBC6A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1058"/>
    <w:docVar w:name="WAFER_20140122160146" w:val="RemoveTocBookmarks,RemoveUnusedBookmarks,RemoveLanguageTags,UsedStyles,ResetPageSize,UpdateArrangement"/>
    <w:docVar w:name="WAFER_20140122160146_GUID" w:val="8d4eda84-3b4d-4e54-9e92-e1c1965972a8"/>
    <w:docVar w:name="WAFER_20140122160543" w:val="RemoveTocBookmarks,RunningHeaders"/>
    <w:docVar w:name="WAFER_20140122160543_GUID" w:val="afb077e4-2973-4f38-8fc9-a65638222c46"/>
    <w:docVar w:name="WAFER_20140306114429" w:val="RemoveTocBookmarks,RemoveUnusedBookmarks,RemoveLanguageTags,UsedStyles,ResetPageSize"/>
    <w:docVar w:name="WAFER_20140306114429_GUID" w:val="0346279d-899d-4739-a418-1dc6aec8195b"/>
    <w:docVar w:name="WAFER_20140306115024" w:val="RemoveTocBookmarks,RunningHeaders"/>
    <w:docVar w:name="WAFER_20140306115024_GUID" w:val="e3a63651-a585-4dfb-add4-343ecea3465a"/>
    <w:docVar w:name="WAFER_20140630104154" w:val="RemoveTocBookmarks,RemoveUnusedBookmarks,RemoveLanguageTags,UsedStyles,ResetPageSize,UpdateArrangement"/>
    <w:docVar w:name="WAFER_20140630104154_GUID" w:val="f1fe4867-90fd-44e3-b01a-5843c52186f1"/>
    <w:docVar w:name="WAFER_20150304144512" w:val="ResetPageSize,UpdateArrangement,UpdateNTable"/>
    <w:docVar w:name="WAFER_20150304144512_GUID" w:val="db81e486-24f9-48ff-b4bd-152e99ac8d04"/>
    <w:docVar w:name="WAFER_20151103103744" w:val="UpdateStyles,UsedStyles"/>
    <w:docVar w:name="WAFER_20151103103744_GUID" w:val="60ed3eb1-27e5-4b97-9b19-f8d0a1e9b537"/>
    <w:docVar w:name="WAFER_2020021213460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604_GUID" w:val="335d59b9-4e65-4842-9cb6-ae60f630b9ab"/>
    <w:docVar w:name="WAFER_20200622120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0748_GUID" w:val="bd6c1387-e6b2-4cc2-aba8-d3fae933ea8e"/>
    <w:docVar w:name="WAFER_20201215123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400_GUID" w:val="947894c1-5fb1-4d23-a964-618abb4852fd"/>
    <w:docVar w:name="WAFER_20210528090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08_GUID" w:val="8966a465-e7ad-40a6-a676-2db496d66cd3"/>
    <w:docVar w:name="WAFER_20230412111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058_GUID" w:val="5864ca43-be2b-4aae-9827-8987622c5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4A42-CD7C-433B-BF08-7BDD24DE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20257</Words>
  <Characters>97844</Characters>
  <Application>Microsoft Office Word</Application>
  <DocSecurity>0</DocSecurity>
  <Lines>2717</Lines>
  <Paragraphs>1640</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1993 - 04-g0-00</dc:title>
  <dc:subject/>
  <dc:creator/>
  <cp:keywords/>
  <dc:description/>
  <cp:lastModifiedBy>Master Repository Process</cp:lastModifiedBy>
  <cp:revision>4</cp:revision>
  <cp:lastPrinted>2013-08-20T08:07:00Z</cp:lastPrinted>
  <dcterms:created xsi:type="dcterms:W3CDTF">2023-04-14T01:11:00Z</dcterms:created>
  <dcterms:modified xsi:type="dcterms:W3CDTF">2023-04-14T01:11:00Z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DocumentType">
    <vt:lpwstr>Act</vt:lpwstr>
  </property>
  <property fmtid="{D5CDD505-2E9C-101B-9397-08002B2CF9AE}" pid="4" name="OwlsUID">
    <vt:i4>224</vt:i4>
  </property>
  <property fmtid="{D5CDD505-2E9C-101B-9397-08002B2CF9AE}" pid="5" name="ReprintNo">
    <vt:lpwstr>4</vt:lpwstr>
  </property>
  <property fmtid="{D5CDD505-2E9C-101B-9397-08002B2CF9AE}" pid="6" name="ReprintedAsAt">
    <vt:filetime>2013-08-01T16:00:00Z</vt:filetime>
  </property>
  <property fmtid="{D5CDD505-2E9C-101B-9397-08002B2CF9AE}" pid="7" name="AsAtDate">
    <vt:lpwstr>13 Apr 2023</vt:lpwstr>
  </property>
  <property fmtid="{D5CDD505-2E9C-101B-9397-08002B2CF9AE}" pid="8" name="Suffix">
    <vt:lpwstr>04-g0-00</vt:lpwstr>
  </property>
  <property fmtid="{D5CDD505-2E9C-101B-9397-08002B2CF9AE}" pid="9" name="CommencementDate">
    <vt:lpwstr>20230413</vt:lpwstr>
  </property>
</Properties>
</file>