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_Toc135213590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_Toc135213591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_Toc135213592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Intentionally sown, planted or propagated vegetation (s. 51A)</w:t>
      </w:r>
      <w:r>
        <w:tab/>
      </w:r>
      <w:r>
        <w:fldChar w:fldCharType="begin"/>
      </w:r>
      <w:r>
        <w:instrText xml:space="preserve"> PAGEREF _Toc135213594 \h </w:instrText>
      </w:r>
      <w:r>
        <w:fldChar w:fldCharType="separate"/>
      </w:r>
      <w:r>
        <w:t>4</w:t>
      </w:r>
      <w:r>
        <w:fldChar w:fldCharType="end"/>
      </w:r>
    </w:p>
    <w:p>
      <w:pPr>
        <w:pStyle w:val="TOC8"/>
        <w:rPr>
          <w:rFonts w:asciiTheme="minorHAnsi" w:eastAsiaTheme="minorEastAsia" w:hAnsiTheme="minorHAnsi" w:cstheme="minorBidi"/>
          <w:szCs w:val="22"/>
        </w:rPr>
      </w:pPr>
      <w:r>
        <w:t>5.</w:t>
      </w:r>
      <w:r>
        <w:tab/>
        <w:t>Prescribed clearing (s. 51C)</w:t>
      </w:r>
      <w:r>
        <w:tab/>
      </w:r>
      <w:r>
        <w:fldChar w:fldCharType="begin"/>
      </w:r>
      <w:r>
        <w:instrText xml:space="preserve"> PAGEREF _Toc135213595 \h </w:instrText>
      </w:r>
      <w:r>
        <w:fldChar w:fldCharType="separate"/>
      </w:r>
      <w:r>
        <w:t>5</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_Toc135213596 \h </w:instrText>
      </w:r>
      <w:r>
        <w:fldChar w:fldCharType="separate"/>
      </w:r>
      <w:r>
        <w:t>19</w:t>
      </w:r>
      <w:r>
        <w:fldChar w:fldCharType="end"/>
      </w:r>
    </w:p>
    <w:p>
      <w:pPr>
        <w:pStyle w:val="TOC8"/>
        <w:rPr>
          <w:rFonts w:asciiTheme="minorHAnsi" w:eastAsiaTheme="minorEastAsia" w:hAnsiTheme="minorHAnsi" w:cstheme="minorBidi"/>
          <w:szCs w:val="22"/>
        </w:rPr>
      </w:pPr>
      <w:r>
        <w:t>8.</w:t>
      </w:r>
      <w:r>
        <w:tab/>
        <w:t>Public records of particulars to be kept by CEO (s. 51Q(a))</w:t>
      </w:r>
      <w:r>
        <w:tab/>
      </w:r>
      <w:r>
        <w:fldChar w:fldCharType="begin"/>
      </w:r>
      <w:r>
        <w:instrText xml:space="preserve"> PAGEREF _Toc135213597 \h </w:instrText>
      </w:r>
      <w:r>
        <w:fldChar w:fldCharType="separate"/>
      </w:r>
      <w:r>
        <w:t>22</w:t>
      </w:r>
      <w:r>
        <w:fldChar w:fldCharType="end"/>
      </w:r>
    </w:p>
    <w:p>
      <w:pPr>
        <w:pStyle w:val="TOC8"/>
        <w:rPr>
          <w:rFonts w:asciiTheme="minorHAnsi" w:eastAsiaTheme="minorEastAsia" w:hAnsiTheme="minorHAnsi" w:cstheme="minorBidi"/>
          <w:szCs w:val="22"/>
        </w:rPr>
      </w:pPr>
      <w:r>
        <w:t>8A.</w:t>
      </w:r>
      <w:r>
        <w:tab/>
        <w:t>Public records of other information and documents to be kept by CEO (s. 51Q(b))</w:t>
      </w:r>
      <w:r>
        <w:tab/>
      </w:r>
      <w:r>
        <w:fldChar w:fldCharType="begin"/>
      </w:r>
      <w:r>
        <w:instrText xml:space="preserve"> PAGEREF _Toc135213598 \h </w:instrText>
      </w:r>
      <w:r>
        <w:fldChar w:fldCharType="separate"/>
      </w:r>
      <w:r>
        <w:t>25</w:t>
      </w:r>
      <w:r>
        <w:fldChar w:fldCharType="end"/>
      </w:r>
    </w:p>
    <w:p>
      <w:pPr>
        <w:pStyle w:val="TOC8"/>
        <w:rPr>
          <w:rFonts w:asciiTheme="minorHAnsi" w:eastAsiaTheme="minorEastAsia" w:hAnsiTheme="minorHAnsi" w:cstheme="minorBidi"/>
          <w:szCs w:val="22"/>
        </w:rPr>
      </w:pPr>
      <w:r>
        <w:t>9.</w:t>
      </w:r>
      <w:r>
        <w:tab/>
        <w:t>Expiry of certain provisions</w:t>
      </w:r>
      <w:r>
        <w:tab/>
      </w:r>
      <w:r>
        <w:fldChar w:fldCharType="begin"/>
      </w:r>
      <w:r>
        <w:instrText xml:space="preserve"> PAGEREF _Toc135213599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Publication and confidentiality</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_Toc135213601 \h </w:instrText>
      </w:r>
      <w:r>
        <w:fldChar w:fldCharType="separate"/>
      </w:r>
      <w:r>
        <w:t>26</w:t>
      </w:r>
      <w:r>
        <w:fldChar w:fldCharType="end"/>
      </w:r>
    </w:p>
    <w:p>
      <w:pPr>
        <w:pStyle w:val="TOC8"/>
        <w:rPr>
          <w:rFonts w:asciiTheme="minorHAnsi" w:eastAsiaTheme="minorEastAsia" w:hAnsiTheme="minorHAnsi" w:cstheme="minorBidi"/>
          <w:szCs w:val="22"/>
        </w:rPr>
      </w:pPr>
      <w:r>
        <w:t>11.</w:t>
      </w:r>
      <w:r>
        <w:tab/>
        <w:t>CEO may keep documentation confidential on request</w:t>
      </w:r>
      <w:r>
        <w:tab/>
      </w:r>
      <w:r>
        <w:fldChar w:fldCharType="begin"/>
      </w:r>
      <w:r>
        <w:instrText xml:space="preserve"> PAGEREF _Toc135213602 \h </w:instrText>
      </w:r>
      <w:r>
        <w:fldChar w:fldCharType="separate"/>
      </w:r>
      <w:r>
        <w:t>26</w:t>
      </w:r>
      <w:r>
        <w:fldChar w:fldCharType="end"/>
      </w:r>
    </w:p>
    <w:p>
      <w:pPr>
        <w:pStyle w:val="TOC8"/>
        <w:rPr>
          <w:rFonts w:asciiTheme="minorHAnsi" w:eastAsiaTheme="minorEastAsia" w:hAnsiTheme="minorHAnsi" w:cstheme="minorBidi"/>
          <w:szCs w:val="22"/>
        </w:rPr>
      </w:pPr>
      <w:r>
        <w:t>12.</w:t>
      </w:r>
      <w:r>
        <w:tab/>
        <w:t>CEO must keep certain matters confidential</w:t>
      </w:r>
      <w:r>
        <w:tab/>
      </w:r>
      <w:r>
        <w:fldChar w:fldCharType="begin"/>
      </w:r>
      <w:r>
        <w:instrText xml:space="preserve"> PAGEREF _Toc135213603 \h </w:instrText>
      </w:r>
      <w:r>
        <w:fldChar w:fldCharType="separate"/>
      </w:r>
      <w:r>
        <w:t>27</w:t>
      </w:r>
      <w:r>
        <w:fldChar w:fldCharType="end"/>
      </w:r>
    </w:p>
    <w:p>
      <w:pPr>
        <w:pStyle w:val="TOC8"/>
        <w:rPr>
          <w:rFonts w:asciiTheme="minorHAnsi" w:eastAsiaTheme="minorEastAsia" w:hAnsiTheme="minorHAnsi" w:cstheme="minorBidi"/>
          <w:szCs w:val="22"/>
        </w:rPr>
      </w:pPr>
      <w:r>
        <w:t>13.</w:t>
      </w:r>
      <w:r>
        <w:tab/>
        <w:t>CEO may keep certain matters confidential</w:t>
      </w:r>
      <w:r>
        <w:tab/>
      </w:r>
      <w:r>
        <w:fldChar w:fldCharType="begin"/>
      </w:r>
      <w:r>
        <w:instrText xml:space="preserve"> PAGEREF _Toc135213604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Low impact or other mineral or petroleum activities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_Toc135213606 \h </w:instrText>
      </w:r>
      <w:r>
        <w:fldChar w:fldCharType="separate"/>
      </w:r>
      <w:r>
        <w:t>30</w:t>
      </w:r>
      <w:r>
        <w:fldChar w:fldCharType="end"/>
      </w:r>
    </w:p>
    <w:p>
      <w:pPr>
        <w:pStyle w:val="TOC8"/>
        <w:rPr>
          <w:rFonts w:asciiTheme="minorHAnsi" w:eastAsiaTheme="minorEastAsia" w:hAnsiTheme="minorHAnsi" w:cstheme="minorBidi"/>
          <w:szCs w:val="22"/>
        </w:rPr>
      </w:pPr>
      <w:r>
        <w:t>2.</w:t>
      </w:r>
      <w:r>
        <w:tab/>
        <w:t>Low impact mineral and petroleum activities</w:t>
      </w:r>
      <w:r>
        <w:tab/>
      </w:r>
      <w:r>
        <w:fldChar w:fldCharType="begin"/>
      </w:r>
      <w:r>
        <w:instrText xml:space="preserve"> PAGEREF _Toc135213607 \h </w:instrText>
      </w:r>
      <w:r>
        <w:fldChar w:fldCharType="separate"/>
      </w:r>
      <w:r>
        <w:t>30</w:t>
      </w:r>
      <w:r>
        <w:fldChar w:fldCharType="end"/>
      </w:r>
    </w:p>
    <w:p>
      <w:pPr>
        <w:pStyle w:val="TOC8"/>
        <w:rPr>
          <w:rFonts w:asciiTheme="minorHAnsi" w:eastAsiaTheme="minorEastAsia" w:hAnsiTheme="minorHAnsi" w:cstheme="minorBidi"/>
          <w:szCs w:val="22"/>
        </w:rPr>
      </w:pPr>
      <w:r>
        <w:t>3.</w:t>
      </w:r>
      <w:r>
        <w:tab/>
        <w:t>How the activity is to be carried out</w:t>
      </w:r>
      <w:r>
        <w:tab/>
      </w:r>
      <w:r>
        <w:fldChar w:fldCharType="begin"/>
      </w:r>
      <w:r>
        <w:instrText xml:space="preserve"> PAGEREF _Toc135213608 \h </w:instrText>
      </w:r>
      <w:r>
        <w:fldChar w:fldCharType="separate"/>
      </w:r>
      <w:r>
        <w:t>32</w:t>
      </w:r>
      <w:r>
        <w:fldChar w:fldCharType="end"/>
      </w:r>
    </w:p>
    <w:p>
      <w:pPr>
        <w:pStyle w:val="TOC8"/>
        <w:rPr>
          <w:rFonts w:asciiTheme="minorHAnsi" w:eastAsiaTheme="minorEastAsia" w:hAnsiTheme="minorHAnsi" w:cstheme="minorBidi"/>
          <w:szCs w:val="22"/>
        </w:rPr>
      </w:pPr>
      <w:r>
        <w:t>4.</w:t>
      </w:r>
      <w:r>
        <w:tab/>
        <w:t>Non</w:t>
      </w:r>
      <w:r>
        <w:noBreakHyphen/>
        <w:t>permitted areas</w:t>
      </w:r>
      <w:r>
        <w:tab/>
      </w:r>
      <w:r>
        <w:fldChar w:fldCharType="begin"/>
      </w:r>
      <w:r>
        <w:instrText xml:space="preserve"> PAGEREF _Toc135213609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Clearing for maintenance in existing transport corridors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_Toc135213611 \h </w:instrText>
      </w:r>
      <w:r>
        <w:fldChar w:fldCharType="separate"/>
      </w:r>
      <w:r>
        <w:t>35</w:t>
      </w:r>
      <w:r>
        <w:fldChar w:fldCharType="end"/>
      </w:r>
    </w:p>
    <w:p>
      <w:pPr>
        <w:pStyle w:val="TOC8"/>
        <w:rPr>
          <w:rFonts w:asciiTheme="minorHAnsi" w:eastAsiaTheme="minorEastAsia" w:hAnsiTheme="minorHAnsi" w:cstheme="minorBidi"/>
          <w:szCs w:val="22"/>
        </w:rPr>
      </w:pPr>
      <w:r>
        <w:t>2.</w:t>
      </w:r>
      <w:r>
        <w:tab/>
        <w:t>Extent of clearing for an area or purpose in relation to a road or railway</w:t>
      </w:r>
      <w:r>
        <w:tab/>
      </w:r>
      <w:r>
        <w:fldChar w:fldCharType="begin"/>
      </w:r>
      <w:r>
        <w:instrText xml:space="preserve"> PAGEREF _Toc135213612 \h </w:instrText>
      </w:r>
      <w:r>
        <w:fldChar w:fldCharType="separate"/>
      </w:r>
      <w:r>
        <w:t>35</w:t>
      </w:r>
      <w:r>
        <w:fldChar w:fldCharType="end"/>
      </w:r>
    </w:p>
    <w:p>
      <w:pPr>
        <w:pStyle w:val="TOC8"/>
        <w:rPr>
          <w:rFonts w:asciiTheme="minorHAnsi" w:eastAsiaTheme="minorEastAsia" w:hAnsiTheme="minorHAnsi" w:cstheme="minorBidi"/>
          <w:szCs w:val="22"/>
        </w:rPr>
      </w:pPr>
      <w:r>
        <w:t>3.</w:t>
      </w:r>
      <w:r>
        <w:tab/>
        <w:t>How the clearing is to be carried out</w:t>
      </w:r>
      <w:r>
        <w:tab/>
      </w:r>
      <w:r>
        <w:fldChar w:fldCharType="begin"/>
      </w:r>
      <w:r>
        <w:instrText xml:space="preserve"> PAGEREF _Toc135213613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3 — Infrastructure maintenance activities</w:t>
      </w:r>
    </w:p>
    <w:p>
      <w:pPr>
        <w:pStyle w:val="TOC8"/>
        <w:rPr>
          <w:rFonts w:asciiTheme="minorHAnsi" w:eastAsiaTheme="minorEastAsia" w:hAnsiTheme="minorHAnsi" w:cstheme="minorBidi"/>
          <w:szCs w:val="22"/>
        </w:rPr>
      </w:pPr>
      <w:r>
        <w:t>1.</w:t>
      </w:r>
      <w:r>
        <w:tab/>
        <w:t>Infrastructure maintenance activities</w:t>
      </w:r>
      <w:r>
        <w:tab/>
      </w:r>
      <w:r>
        <w:fldChar w:fldCharType="begin"/>
      </w:r>
      <w:r>
        <w:instrText xml:space="preserve"> PAGEREF _Toc135213615 \h </w:instrText>
      </w:r>
      <w:r>
        <w:fldChar w:fldCharType="separate"/>
      </w:r>
      <w:r>
        <w:t>38</w:t>
      </w:r>
      <w:r>
        <w:fldChar w:fldCharType="end"/>
      </w:r>
    </w:p>
    <w:p>
      <w:pPr>
        <w:pStyle w:val="TOC8"/>
        <w:rPr>
          <w:rFonts w:asciiTheme="minorHAnsi" w:eastAsiaTheme="minorEastAsia" w:hAnsiTheme="minorHAnsi" w:cstheme="minorBidi"/>
          <w:szCs w:val="22"/>
        </w:rPr>
      </w:pPr>
      <w:r>
        <w:t>2.</w:t>
      </w:r>
      <w:r>
        <w:tab/>
        <w:t>How the activity is to be carried out</w:t>
      </w:r>
      <w:r>
        <w:tab/>
      </w:r>
      <w:r>
        <w:fldChar w:fldCharType="begin"/>
      </w:r>
      <w:r>
        <w:instrText xml:space="preserve"> PAGEREF _Toc135213616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_Toc135213618 \h </w:instrText>
      </w:r>
      <w:r>
        <w:fldChar w:fldCharType="separate"/>
      </w:r>
      <w:r>
        <w:t>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_Toc135213619 \h </w:instrText>
      </w:r>
      <w:r>
        <w:fldChar w:fldCharType="separate"/>
      </w:r>
      <w:r>
        <w:t>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_Toc135213620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(Clearing of Native Vegetation) Regulations 2004</w:t>
      </w:r>
    </w:p>
    <w:p>
      <w:pPr>
        <w:pStyle w:val="Heading2"/>
        <w:pageBreakBefore w:val="0"/>
        <w:spacing w:before="360"/>
      </w:pPr>
      <w:bookmarkStart w:id="3" w:name="_Toc135138480"/>
      <w:bookmarkStart w:id="4" w:name="_Toc135138627"/>
      <w:bookmarkStart w:id="5" w:name="_Toc135213589"/>
      <w:r>
        <w:rPr>
          <w:rStyle w:val="CharPartNo"/>
        </w:rPr>
        <w:t>Part 1</w:t>
      </w:r>
      <w:r>
        <w:t> — </w:t>
      </w:r>
      <w:r>
        <w:rPr>
          <w:rStyle w:val="CharPartText"/>
        </w:rPr>
        <w:t>Preliminary</w:t>
      </w:r>
      <w:bookmarkEnd w:id="3"/>
      <w:bookmarkEnd w:id="4"/>
      <w:bookmarkEnd w:id="5"/>
    </w:p>
    <w:p>
      <w:pPr>
        <w:pStyle w:val="Footnoteheading"/>
      </w:pPr>
      <w:r>
        <w:tab/>
        <w:t>[Heading inserted: SL 2021/178 r. 4.]</w:t>
      </w:r>
    </w:p>
    <w:p>
      <w:pPr>
        <w:pStyle w:val="Heading5"/>
      </w:pPr>
      <w:bookmarkStart w:id="6" w:name="_Toc135213590"/>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7" w:name="_Toc135213591"/>
      <w:r>
        <w:rPr>
          <w:rStyle w:val="CharSectno"/>
        </w:rPr>
        <w:t>2</w:t>
      </w:r>
      <w:r>
        <w:rPr>
          <w:spacing w:val="-2"/>
        </w:rPr>
        <w:t>.</w:t>
      </w:r>
      <w:r>
        <w:rPr>
          <w:spacing w:val="-2"/>
        </w:rPr>
        <w:tab/>
        <w:t>Commencement</w:t>
      </w:r>
      <w:bookmarkEnd w:id="7"/>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8" w:name="_Toc135213592"/>
      <w:r>
        <w:rPr>
          <w:rStyle w:val="CharSectno"/>
        </w:rPr>
        <w:t>3</w:t>
      </w:r>
      <w:r>
        <w:t>.</w:t>
      </w:r>
      <w:r>
        <w:tab/>
        <w:t>Terms used</w:t>
      </w:r>
      <w:bookmarkEnd w:id="8"/>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keepNext/>
        <w:spacing w:before="60"/>
      </w:pPr>
      <w:r>
        <w:rPr>
          <w:b/>
        </w:rPr>
        <w:lastRenderedPageBreak/>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2"/>
      </w:pPr>
      <w:bookmarkStart w:id="9" w:name="_Toc135138484"/>
      <w:bookmarkStart w:id="10" w:name="_Toc135138631"/>
      <w:bookmarkStart w:id="11" w:name="_Toc135213593"/>
      <w:r>
        <w:rPr>
          <w:rStyle w:val="CharPartNo"/>
        </w:rPr>
        <w:lastRenderedPageBreak/>
        <w:t>Part 2</w:t>
      </w:r>
      <w:r>
        <w:t> — </w:t>
      </w:r>
      <w:r>
        <w:rPr>
          <w:rStyle w:val="CharPartText"/>
        </w:rPr>
        <w:t>General matters</w:t>
      </w:r>
      <w:bookmarkEnd w:id="9"/>
      <w:bookmarkEnd w:id="10"/>
      <w:bookmarkEnd w:id="11"/>
    </w:p>
    <w:p>
      <w:pPr>
        <w:pStyle w:val="Footnoteheading"/>
      </w:pPr>
      <w:r>
        <w:tab/>
        <w:t>[Heading inserted: SL 2021/178 r. 5.]</w:t>
      </w:r>
    </w:p>
    <w:p>
      <w:pPr>
        <w:pStyle w:val="Heading5"/>
      </w:pPr>
      <w:bookmarkStart w:id="12" w:name="_Toc135213594"/>
      <w:r>
        <w:rPr>
          <w:rStyle w:val="CharSectno"/>
        </w:rPr>
        <w:t>4</w:t>
      </w:r>
      <w:r>
        <w:t>.</w:t>
      </w:r>
      <w:r>
        <w:tab/>
        <w:t>Intentionally sown, planted or propagated vegetation (s. 51A)</w:t>
      </w:r>
      <w:bookmarkEnd w:id="12"/>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lastRenderedPageBreak/>
        <w:tab/>
      </w:r>
      <w:r>
        <w:rPr>
          <w:rStyle w:val="CharDefText"/>
        </w:rPr>
        <w:t>plant</w:t>
      </w:r>
      <w:r>
        <w:t xml:space="preserve"> includes to sow and to propagate.</w:t>
      </w:r>
    </w:p>
    <w:p>
      <w:pPr>
        <w:pStyle w:val="Heading5"/>
        <w:spacing w:before="240"/>
      </w:pPr>
      <w:bookmarkStart w:id="13" w:name="_Toc135213595"/>
      <w:r>
        <w:rPr>
          <w:rStyle w:val="CharSectno"/>
        </w:rPr>
        <w:t>5</w:t>
      </w:r>
      <w:r>
        <w:t>.</w:t>
      </w:r>
      <w:r>
        <w:tab/>
        <w:t>Prescribed clearing (s. 51C)</w:t>
      </w:r>
      <w:bookmarkEnd w:id="13"/>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160"/>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160"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160"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for the purposes of preventing imminent danger to human life </w:t>
            </w:r>
            <w:r>
              <w:lastRenderedPageBreak/>
              <w:t>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160" w:type="dxa"/>
            <w:tcBorders>
              <w:bottom w:val="dotted" w:sz="4" w:space="0" w:color="auto"/>
            </w:tcBorders>
          </w:tcPr>
          <w:p>
            <w:pPr>
              <w:pStyle w:val="TableNAm"/>
            </w:pPr>
          </w:p>
          <w:p>
            <w:pPr>
              <w:pStyle w:val="TableNAm"/>
            </w:pPr>
            <w:r>
              <w:t xml:space="preserve">The owner of the land on which the </w:t>
            </w:r>
            <w:r>
              <w:lastRenderedPageBreak/>
              <w:t>clearing is to take place.</w:t>
            </w:r>
          </w:p>
          <w:p>
            <w:pPr>
              <w:pStyle w:val="TableNAm"/>
              <w:spacing w:before="10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lastRenderedPageBreak/>
              <w:t>3</w:t>
            </w:r>
          </w:p>
        </w:tc>
        <w:tc>
          <w:tcPr>
            <w:tcW w:w="3827" w:type="dxa"/>
            <w:tcBorders>
              <w:top w:val="dotted" w:sz="4" w:space="0" w:color="auto"/>
            </w:tcBorders>
          </w:tcPr>
          <w:p>
            <w:pPr>
              <w:pStyle w:val="TableNAm"/>
              <w:keepNext/>
              <w:rPr>
                <w:b/>
              </w:rPr>
            </w:pPr>
            <w:r>
              <w:rPr>
                <w:b/>
              </w:rPr>
              <w:t>Clearing for fire hazard reduction</w:t>
            </w:r>
          </w:p>
        </w:tc>
        <w:tc>
          <w:tcPr>
            <w:tcW w:w="2160"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160"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160"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160"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pPr>
            <w:r>
              <w:t>5</w:t>
            </w:r>
          </w:p>
        </w:tc>
        <w:tc>
          <w:tcPr>
            <w:tcW w:w="3827" w:type="dxa"/>
            <w:tcBorders>
              <w:top w:val="dotted" w:sz="4" w:space="0" w:color="auto"/>
            </w:tcBorders>
          </w:tcPr>
          <w:p>
            <w:pPr>
              <w:pStyle w:val="TableNAm"/>
              <w:rPr>
                <w:b/>
              </w:rPr>
            </w:pPr>
            <w:r>
              <w:rPr>
                <w:b/>
              </w:rPr>
              <w:t>Clearing for firewood</w:t>
            </w:r>
          </w:p>
        </w:tc>
        <w:tc>
          <w:tcPr>
            <w:tcW w:w="2160" w:type="dxa"/>
            <w:tcBorders>
              <w:top w:val="dotted" w:sz="4" w:space="0" w:color="auto"/>
            </w:tcBorders>
          </w:tcPr>
          <w:p>
            <w:pPr>
              <w:pStyle w:val="TableNAm"/>
            </w:pPr>
          </w:p>
        </w:tc>
      </w:tr>
      <w:tr>
        <w:trPr>
          <w:trHeight w:val="806"/>
        </w:trPr>
        <w:tc>
          <w:tcPr>
            <w:tcW w:w="709" w:type="dxa"/>
          </w:tcPr>
          <w:p>
            <w:pPr>
              <w:pStyle w:val="TableNAm"/>
            </w:pPr>
          </w:p>
        </w:tc>
        <w:tc>
          <w:tcPr>
            <w:tcW w:w="3827" w:type="dxa"/>
          </w:tcPr>
          <w:p>
            <w:pPr>
              <w:pStyle w:val="TableNAm"/>
              <w:rPr>
                <w:i/>
              </w:rPr>
            </w:pPr>
            <w:r>
              <w:t xml:space="preserve">Clearing to provide firewood for use by the owner or occupier of the </w:t>
            </w:r>
            <w:r>
              <w:lastRenderedPageBreak/>
              <w:t xml:space="preserve">property on which the vegetation is located for domestic heating or cooking, being clearing which — </w:t>
            </w:r>
          </w:p>
        </w:tc>
        <w:tc>
          <w:tcPr>
            <w:tcW w:w="2160" w:type="dxa"/>
          </w:tcPr>
          <w:p>
            <w:pPr>
              <w:pStyle w:val="TableNAm"/>
            </w:pPr>
            <w:r>
              <w:lastRenderedPageBreak/>
              <w:t>The owner or occupier.</w:t>
            </w:r>
          </w:p>
        </w:tc>
      </w:tr>
      <w:tr>
        <w:trPr>
          <w:cantSplit/>
        </w:trPr>
        <w:tc>
          <w:tcPr>
            <w:tcW w:w="709" w:type="dxa"/>
          </w:tcPr>
          <w:p>
            <w:pPr>
              <w:pStyle w:val="TableNAm"/>
            </w:pPr>
          </w:p>
        </w:tc>
        <w:tc>
          <w:tcPr>
            <w:tcW w:w="3827" w:type="dxa"/>
          </w:tcPr>
          <w:p>
            <w:pPr>
              <w:pStyle w:val="TableNAm"/>
              <w:ind w:left="567" w:hanging="567"/>
              <w:rPr>
                <w:i/>
              </w:rPr>
            </w:pPr>
            <w:r>
              <w:t>(a)</w:t>
            </w:r>
            <w:r>
              <w:tab/>
              <w:t>does not kill any live vegetation and does not prevent regrowth of the vegetation;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t>(a)</w:t>
            </w:r>
            <w:r>
              <w:tab/>
              <w:t>does not kill any live vegetation and does not prevent regrowth of the vegetation;</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160"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 xml:space="preserve">does not, together with all other limited clearing on the property in the financial year in </w:t>
            </w:r>
            <w:r>
              <w:lastRenderedPageBreak/>
              <w:t>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8</w:t>
            </w:r>
          </w:p>
        </w:tc>
        <w:tc>
          <w:tcPr>
            <w:tcW w:w="3827" w:type="dxa"/>
            <w:tcBorders>
              <w:top w:val="dotted" w:sz="4" w:space="0" w:color="auto"/>
            </w:tcBorders>
          </w:tcPr>
          <w:p>
            <w:pPr>
              <w:pStyle w:val="TableNAm"/>
              <w:keepNext/>
              <w:rPr>
                <w:b/>
              </w:rPr>
            </w:pPr>
            <w:r>
              <w:rPr>
                <w:b/>
              </w:rPr>
              <w:t>Clearing for cultural purposes of Aboriginal persons</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160"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160"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160"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10</w:t>
            </w:r>
          </w:p>
        </w:tc>
        <w:tc>
          <w:tcPr>
            <w:tcW w:w="3827" w:type="dxa"/>
            <w:tcBorders>
              <w:top w:val="dotted" w:sz="4" w:space="0" w:color="auto"/>
            </w:tcBorders>
          </w:tcPr>
          <w:p>
            <w:pPr>
              <w:pStyle w:val="TableNAm"/>
              <w:rPr>
                <w:b/>
              </w:rPr>
            </w:pPr>
            <w:r>
              <w:rPr>
                <w:b/>
              </w:rPr>
              <w:t>Clearing along a fence line – alienated land</w:t>
            </w:r>
          </w:p>
        </w:tc>
        <w:tc>
          <w:tcPr>
            <w:tcW w:w="2160" w:type="dxa"/>
            <w:tcBorders>
              <w:top w:val="dotted" w:sz="4" w:space="0" w:color="auto"/>
            </w:tcBorders>
          </w:tcPr>
          <w:p>
            <w:pPr>
              <w:pStyle w:val="TableNAm"/>
            </w:pPr>
          </w:p>
        </w:tc>
      </w:tr>
      <w:tr>
        <w:trPr>
          <w:trHeight w:val="856"/>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keepNext/>
            </w:pPr>
            <w:r>
              <w:lastRenderedPageBreak/>
              <w:t>11</w:t>
            </w:r>
          </w:p>
        </w:tc>
        <w:tc>
          <w:tcPr>
            <w:tcW w:w="3827" w:type="dxa"/>
            <w:tcBorders>
              <w:top w:val="dotted" w:sz="4" w:space="0" w:color="auto"/>
            </w:tcBorders>
          </w:tcPr>
          <w:p>
            <w:pPr>
              <w:pStyle w:val="TableNAm"/>
              <w:keepNext/>
            </w:pPr>
            <w:r>
              <w:rPr>
                <w:b/>
                <w:bCs/>
              </w:rPr>
              <w:t>Clearing along a fence line — Crown land</w:t>
            </w:r>
          </w:p>
        </w:tc>
        <w:tc>
          <w:tcPr>
            <w:tcW w:w="2160" w:type="dxa"/>
            <w:tcBorders>
              <w:top w:val="dotted" w:sz="4" w:space="0" w:color="auto"/>
            </w:tcBorders>
          </w:tcPr>
          <w:p>
            <w:pPr>
              <w:pStyle w:val="TableNAm"/>
              <w:keepNext/>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160"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12</w:t>
            </w:r>
          </w:p>
        </w:tc>
        <w:tc>
          <w:tcPr>
            <w:tcW w:w="3827" w:type="dxa"/>
            <w:tcBorders>
              <w:top w:val="dotted" w:sz="4" w:space="0" w:color="auto"/>
            </w:tcBorders>
          </w:tcPr>
          <w:p>
            <w:pPr>
              <w:pStyle w:val="TableNAm"/>
              <w:rPr>
                <w:b/>
              </w:rPr>
            </w:pPr>
            <w:r>
              <w:rPr>
                <w:b/>
              </w:rPr>
              <w:t>Clearing for vehicular tracks</w:t>
            </w:r>
          </w:p>
        </w:tc>
        <w:tc>
          <w:tcPr>
            <w:tcW w:w="2160" w:type="dxa"/>
            <w:tcBorders>
              <w:top w:val="dotted" w:sz="4" w:space="0" w:color="auto"/>
            </w:tcBorders>
          </w:tcPr>
          <w:p>
            <w:pPr>
              <w:pStyle w:val="TableNAm"/>
            </w:pPr>
          </w:p>
        </w:tc>
      </w:tr>
      <w:tr>
        <w:trPr>
          <w:trHeight w:val="736"/>
        </w:trPr>
        <w:tc>
          <w:tcPr>
            <w:tcW w:w="709" w:type="dxa"/>
          </w:tcPr>
          <w:p>
            <w:pPr>
              <w:pStyle w:val="TableNAm"/>
            </w:pPr>
          </w:p>
        </w:tc>
        <w:tc>
          <w:tcPr>
            <w:tcW w:w="3827" w:type="dxa"/>
          </w:tcPr>
          <w:p>
            <w:pPr>
              <w:pStyle w:val="TableNAm"/>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160"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14</w:t>
            </w:r>
          </w:p>
        </w:tc>
        <w:tc>
          <w:tcPr>
            <w:tcW w:w="3827" w:type="dxa"/>
            <w:tcBorders>
              <w:top w:val="dotted" w:sz="4" w:space="0" w:color="auto"/>
            </w:tcBorders>
          </w:tcPr>
          <w:p>
            <w:pPr>
              <w:pStyle w:val="TableNAm"/>
              <w:rPr>
                <w:b/>
              </w:rPr>
            </w:pPr>
            <w:r>
              <w:rPr>
                <w:b/>
              </w:rPr>
              <w:t>Clearing to maintain existing cleared areas for pasture, cultivation or forestry</w:t>
            </w:r>
          </w:p>
        </w:tc>
        <w:tc>
          <w:tcPr>
            <w:tcW w:w="2160" w:type="dxa"/>
            <w:tcBorders>
              <w:top w:val="dotted" w:sz="4" w:space="0" w:color="auto"/>
            </w:tcBorders>
          </w:tcPr>
          <w:p>
            <w:pPr>
              <w:pStyle w:val="TableNAm"/>
            </w:pPr>
          </w:p>
        </w:tc>
      </w:tr>
      <w:tr>
        <w:trPr>
          <w:cantSplit/>
          <w:trHeight w:val="1680"/>
        </w:trPr>
        <w:tc>
          <w:tcPr>
            <w:tcW w:w="709" w:type="dxa"/>
            <w:tcBorders>
              <w:bottom w:val="nil"/>
            </w:tcBorders>
          </w:tcPr>
          <w:p>
            <w:pPr>
              <w:pStyle w:val="TableNAm"/>
            </w:pPr>
          </w:p>
        </w:tc>
        <w:tc>
          <w:tcPr>
            <w:tcW w:w="3827" w:type="dxa"/>
            <w:tcBorders>
              <w:bottom w:val="nil"/>
            </w:tcBorders>
          </w:tcPr>
          <w:p>
            <w:pPr>
              <w:pStyle w:val="TableNAm"/>
            </w:pPr>
            <w:r>
              <w:t xml:space="preserve">Clearing of land that was lawfully cleared within the 20 years prior to the clearing if — </w:t>
            </w:r>
          </w:p>
          <w:p>
            <w:pPr>
              <w:pStyle w:val="TableNAm"/>
              <w:ind w:left="567" w:hanging="567"/>
            </w:pPr>
            <w:r>
              <w:t>(a)</w:t>
            </w:r>
            <w:r>
              <w:tab/>
              <w:t>the land has been used as pasture or for cultivation or forestry within those 20 years; and</w:t>
            </w:r>
          </w:p>
        </w:tc>
        <w:tc>
          <w:tcPr>
            <w:tcW w:w="2160" w:type="dxa"/>
            <w:tcBorders>
              <w:bottom w:val="nil"/>
            </w:tcBorders>
          </w:tcPr>
          <w:p>
            <w:pPr>
              <w:pStyle w:val="TableNAm"/>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160"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160"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160"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160"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160" w:type="dxa"/>
          </w:tcPr>
          <w:p>
            <w:pPr>
              <w:pStyle w:val="TableNAm"/>
            </w:pPr>
          </w:p>
        </w:tc>
      </w:tr>
      <w:t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160"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160"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160" w:type="dxa"/>
          </w:tcPr>
          <w:p>
            <w:pPr>
              <w:pStyle w:val="TableNAm"/>
            </w:pPr>
          </w:p>
        </w:tc>
      </w:tr>
      <w:tr>
        <w:tc>
          <w:tcPr>
            <w:tcW w:w="709" w:type="dxa"/>
            <w:tcBorders>
              <w:top w:val="dotted" w:sz="4" w:space="0" w:color="auto"/>
            </w:tcBorders>
          </w:tcPr>
          <w:p>
            <w:pPr>
              <w:pStyle w:val="TableNAm"/>
            </w:pPr>
            <w:r>
              <w:t>16</w:t>
            </w:r>
          </w:p>
        </w:tc>
        <w:tc>
          <w:tcPr>
            <w:tcW w:w="3827" w:type="dxa"/>
            <w:tcBorders>
              <w:top w:val="dotted" w:sz="4" w:space="0" w:color="auto"/>
            </w:tcBorders>
          </w:tcPr>
          <w:p>
            <w:pPr>
              <w:pStyle w:val="TableNAm"/>
              <w:rPr>
                <w:b/>
              </w:rPr>
            </w:pPr>
            <w:r>
              <w:rPr>
                <w:b/>
              </w:rPr>
              <w:t xml:space="preserve">Clearing under the </w:t>
            </w:r>
            <w:r>
              <w:rPr>
                <w:b/>
                <w:i/>
              </w:rPr>
              <w:t>Rights in Water and Irrigation Act 1914</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160" w:type="dxa"/>
            <w:tcBorders>
              <w:bottom w:val="dotted" w:sz="4" w:space="0" w:color="auto"/>
            </w:tcBorders>
          </w:tcPr>
          <w:p>
            <w:pPr>
              <w:pStyle w:val="TableNAm"/>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160"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160"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1</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1</w:t>
            </w:r>
            <w:r>
              <w:t>; or</w:t>
            </w:r>
          </w:p>
          <w:p>
            <w:pPr>
              <w:pStyle w:val="TableNAm"/>
              <w:ind w:left="567" w:hanging="567"/>
            </w:pPr>
            <w:r>
              <w:t>(b)</w:t>
            </w:r>
            <w:r>
              <w:tab/>
              <w:t xml:space="preserve">as described in regulation 6(2) of the </w:t>
            </w:r>
            <w:r>
              <w:rPr>
                <w:i/>
              </w:rPr>
              <w:t>Swan River Trust Regulations 1989</w:t>
            </w:r>
            <w:r>
              <w:rPr>
                <w:iCs/>
                <w:vertAlign w:val="superscript"/>
              </w:rPr>
              <w:t> 1</w:t>
            </w:r>
            <w:r>
              <w:t>.</w:t>
            </w:r>
          </w:p>
        </w:tc>
        <w:tc>
          <w:tcPr>
            <w:tcW w:w="2160" w:type="dxa"/>
            <w:tcBorders>
              <w:bottom w:val="dotted" w:sz="4" w:space="0" w:color="auto"/>
            </w:tcBorders>
          </w:tcPr>
          <w:p>
            <w:pPr>
              <w:pStyle w:val="TableNAm"/>
            </w:pPr>
            <w:r>
              <w:t>In the case of paragraph (a), the person to whom the approval is granted, in the case of paragraph (b), a person.</w:t>
            </w:r>
          </w:p>
        </w:tc>
      </w:tr>
      <w:tr>
        <w:tc>
          <w:tcPr>
            <w:tcW w:w="709" w:type="dxa"/>
            <w:tcBorders>
              <w:top w:val="dotted" w:sz="4" w:space="0" w:color="auto"/>
            </w:tcBorders>
          </w:tcPr>
          <w:p>
            <w:pPr>
              <w:pStyle w:val="TableNAm"/>
            </w:pPr>
            <w:r>
              <w:t>19</w:t>
            </w:r>
          </w:p>
        </w:tc>
        <w:tc>
          <w:tcPr>
            <w:tcW w:w="3827" w:type="dxa"/>
            <w:tcBorders>
              <w:top w:val="dotted" w:sz="4" w:space="0" w:color="auto"/>
            </w:tcBorders>
          </w:tcPr>
          <w:p>
            <w:pPr>
              <w:pStyle w:val="TableNAm"/>
              <w:rPr>
                <w:b/>
              </w:rPr>
            </w:pPr>
            <w:r>
              <w:rPr>
                <w:b/>
              </w:rPr>
              <w:t>Clearing isolated trees</w:t>
            </w:r>
          </w:p>
        </w:tc>
        <w:tc>
          <w:tcPr>
            <w:tcW w:w="2160"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160"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that is the result of the construction of a temporary vehicular track that is necessary to bypass a stretch of road (whether public or private) that is impassable due to unforseen damage to part of that stretch of road.</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NAm"/>
            </w:pPr>
            <w:r>
              <w:t>21A</w:t>
            </w:r>
          </w:p>
        </w:tc>
        <w:tc>
          <w:tcPr>
            <w:tcW w:w="3827" w:type="dxa"/>
            <w:tcBorders>
              <w:top w:val="dotted" w:sz="4" w:space="0" w:color="auto"/>
            </w:tcBorders>
          </w:tcPr>
          <w:p>
            <w:pPr>
              <w:pStyle w:val="TableNAm"/>
            </w:pPr>
            <w:r>
              <w:rPr>
                <w:b/>
              </w:rPr>
              <w:t>Clearing for a crossover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160"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160" w:type="dxa"/>
            <w:tcBorders>
              <w:top w:val="dotted" w:sz="4" w:space="0" w:color="auto"/>
            </w:tcBorders>
          </w:tcPr>
          <w:p>
            <w:pPr>
              <w:pStyle w:val="TableNAm"/>
            </w:pPr>
          </w:p>
        </w:tc>
      </w:tr>
      <w:tr>
        <w:trPr>
          <w:trHeight w:val="1580"/>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accordance with Schedule 3 and within — </w:t>
            </w:r>
          </w:p>
          <w:p>
            <w:pPr>
              <w:pStyle w:val="TableNAm"/>
              <w:ind w:left="567" w:hanging="567"/>
            </w:pPr>
            <w:r>
              <w:t>(a)</w:t>
            </w:r>
            <w:r>
              <w:tab/>
              <w:t xml:space="preserve">in the case of an activity referred to in Schedule 3 clause 1(a), (b) or (c) — </w:t>
            </w:r>
            <w:r>
              <w:lastRenderedPageBreak/>
              <w:t xml:space="preserve">12 months after Part 9 of the </w:t>
            </w:r>
            <w:r>
              <w:rPr>
                <w:i/>
              </w:rPr>
              <w:t>Environmental Protection Amendment Act 2003</w:t>
            </w:r>
            <w:r>
              <w:t xml:space="preserve"> comes into operation; or</w:t>
            </w:r>
          </w:p>
        </w:tc>
        <w:tc>
          <w:tcPr>
            <w:tcW w:w="2160" w:type="dxa"/>
          </w:tcPr>
          <w:p>
            <w:pPr>
              <w:pStyle w:val="TableNAm"/>
            </w:pPr>
            <w:r>
              <w:lastRenderedPageBreak/>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tc>
        <w:tc>
          <w:tcPr>
            <w:tcW w:w="2160"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160"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pPr>
            <w:r>
              <w:t>26</w:t>
            </w:r>
          </w:p>
        </w:tc>
        <w:tc>
          <w:tcPr>
            <w:tcW w:w="3827" w:type="dxa"/>
            <w:tcBorders>
              <w:top w:val="dotted" w:sz="4" w:space="0" w:color="auto"/>
            </w:tcBorders>
          </w:tcPr>
          <w:p>
            <w:pPr>
              <w:pStyle w:val="TableNAm"/>
              <w:rPr>
                <w:b/>
              </w:rPr>
            </w:pPr>
            <w:r>
              <w:rPr>
                <w:b/>
              </w:rPr>
              <w:t xml:space="preserve">Clearing in accordance with a notice of intention under the </w:t>
            </w:r>
            <w:r>
              <w:rPr>
                <w:b/>
                <w:i/>
              </w:rPr>
              <w:t>Soil and Land Conservation Regulations 1992</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the result of carrying out an activity — </w:t>
            </w:r>
          </w:p>
        </w:tc>
        <w:tc>
          <w:tcPr>
            <w:tcW w:w="2160" w:type="dxa"/>
          </w:tcPr>
          <w:p>
            <w:pPr>
              <w:pStyle w:val="TableNAm"/>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160"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160" w:type="dxa"/>
            <w:tcBorders>
              <w:bottom w:val="single" w:sz="4" w:space="0" w:color="auto"/>
            </w:tcBorders>
          </w:tcPr>
          <w:p>
            <w:pPr>
              <w:pStyle w:val="TableNAm"/>
            </w:pPr>
          </w:p>
        </w:tc>
      </w:tr>
    </w:tbl>
    <w:p>
      <w:pPr>
        <w:pStyle w:val="Subsection"/>
        <w:keepLines/>
      </w:pPr>
      <w:r>
        <w:lastRenderedPageBreak/>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14" w:name="_Toc135213596"/>
      <w:r>
        <w:rPr>
          <w:rStyle w:val="CharSectno"/>
        </w:rPr>
        <w:t>7</w:t>
      </w:r>
      <w:r>
        <w:t>.</w:t>
      </w:r>
      <w:r>
        <w:tab/>
        <w:t>Fees</w:t>
      </w:r>
      <w:bookmarkEnd w:id="14"/>
    </w:p>
    <w:p>
      <w:pPr>
        <w:pStyle w:val="Subsection"/>
        <w:keepNext/>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pPr>
      <w:r>
        <w:tab/>
        <w:t>(1A)</w:t>
      </w:r>
      <w:r>
        <w:tab/>
        <w:t xml:space="preserve">For the purposes of section 51E(1)(c) of the Act, the fee for an application for an area permit is determined as set out in the Table, with — </w:t>
      </w:r>
    </w:p>
    <w:p>
      <w:pPr>
        <w:pStyle w:val="Indenta"/>
      </w:pPr>
      <w:r>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lastRenderedPageBreak/>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tab/>
        <w:t>(ii)</w:t>
      </w:r>
      <w:r>
        <w:tab/>
        <w:t xml:space="preserve">column B showing the variable component for any other application. </w:t>
      </w:r>
    </w:p>
    <w:p>
      <w:pPr>
        <w:pStyle w:val="THeadingNAm"/>
      </w:pPr>
      <w:r>
        <w:lastRenderedPageBreak/>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keepLines/>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lastRenderedPageBreak/>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15" w:name="_Toc135213597"/>
      <w:r>
        <w:rPr>
          <w:rStyle w:val="CharSectno"/>
        </w:rPr>
        <w:t>8</w:t>
      </w:r>
      <w:r>
        <w:t>.</w:t>
      </w:r>
      <w:r>
        <w:tab/>
        <w:t>Public records of particulars to be kept by CEO (s. 51Q(a))</w:t>
      </w:r>
      <w:bookmarkEnd w:id="15"/>
    </w:p>
    <w:p>
      <w:pPr>
        <w:pStyle w:val="Subsection"/>
      </w:pPr>
      <w:r>
        <w:tab/>
        <w:t>(1)</w:t>
      </w:r>
      <w:r>
        <w:tab/>
        <w:t>For the purposes of section 51Q(a) of the Act, the particulars are set out in subregulations (2) to (8).</w:t>
      </w:r>
    </w:p>
    <w:p>
      <w:pPr>
        <w:pStyle w:val="Subsection"/>
        <w:keepNext/>
      </w:pPr>
      <w:r>
        <w:tab/>
        <w:t>(2)</w:t>
      </w:r>
      <w:r>
        <w:tab/>
        <w:t>The particulars of applications for clearing permits under section 51E(1) of the Act are as follows —</w:t>
      </w:r>
    </w:p>
    <w:p>
      <w:pPr>
        <w:pStyle w:val="Indenta"/>
      </w:pPr>
      <w:r>
        <w:tab/>
        <w:t>(a)</w:t>
      </w:r>
      <w:r>
        <w:tab/>
        <w:t>the name of the applicant;</w:t>
      </w:r>
    </w:p>
    <w:p>
      <w:pPr>
        <w:pStyle w:val="Indenta"/>
      </w:pPr>
      <w:r>
        <w:tab/>
        <w:t>(b)</w:t>
      </w:r>
      <w:r>
        <w:tab/>
        <w:t>whether the application is for an area permit or a purpose permit;</w:t>
      </w:r>
    </w:p>
    <w:p>
      <w:pPr>
        <w:pStyle w:val="Indenta"/>
      </w:pPr>
      <w:r>
        <w:tab/>
        <w:t>(c)</w:t>
      </w:r>
      <w:r>
        <w:tab/>
        <w:t>a description of the land to which the application relates;</w:t>
      </w:r>
    </w:p>
    <w:p>
      <w:pPr>
        <w:pStyle w:val="Indenta"/>
      </w:pPr>
      <w:r>
        <w:tab/>
        <w:t>(d)</w:t>
      </w:r>
      <w:r>
        <w:tab/>
        <w:t>the purpose of the proposed clearing;</w:t>
      </w:r>
    </w:p>
    <w:p>
      <w:pPr>
        <w:pStyle w:val="Indenta"/>
      </w:pPr>
      <w:r>
        <w:lastRenderedPageBreak/>
        <w:tab/>
        <w:t>(e)</w:t>
      </w:r>
      <w:r>
        <w:tab/>
        <w:t>in the case of an application for an area permit — the size of the area to be cleared or the number of trees to be cleared;</w:t>
      </w:r>
    </w:p>
    <w:p>
      <w:pPr>
        <w:pStyle w:val="Indenta"/>
      </w:pPr>
      <w:r>
        <w:tab/>
        <w:t>(f)</w:t>
      </w:r>
      <w:r>
        <w:tab/>
        <w:t>the period for which the permit is sought.</w:t>
      </w:r>
    </w:p>
    <w:p>
      <w:pPr>
        <w:pStyle w:val="Subsection"/>
      </w:pPr>
      <w:r>
        <w:tab/>
        <w:t>(3)</w:t>
      </w:r>
      <w:r>
        <w:tab/>
        <w:t>The particulars of applications for amendments of clearing permits under section 51K(2)(a) of the Act are as follows —</w:t>
      </w:r>
    </w:p>
    <w:p>
      <w:pPr>
        <w:pStyle w:val="Indenta"/>
      </w:pPr>
      <w:r>
        <w:tab/>
        <w:t>(a)</w:t>
      </w:r>
      <w:r>
        <w:tab/>
        <w:t>the name of the applicant;</w:t>
      </w:r>
    </w:p>
    <w:p>
      <w:pPr>
        <w:pStyle w:val="Indenta"/>
      </w:pPr>
      <w:r>
        <w:tab/>
        <w:t>(b)</w:t>
      </w:r>
      <w:r>
        <w:tab/>
        <w:t>whether the application is for the amendment of an area permit or a purpose permit;</w:t>
      </w:r>
    </w:p>
    <w:p>
      <w:pPr>
        <w:pStyle w:val="Indenta"/>
      </w:pPr>
      <w:r>
        <w:tab/>
        <w:t>(c)</w:t>
      </w:r>
      <w:r>
        <w:tab/>
        <w:t>in the case of an application for amendment of an area permit — any change in the size of the area to be cleared or the number of trees to be cleared;</w:t>
      </w:r>
    </w:p>
    <w:p>
      <w:pPr>
        <w:pStyle w:val="Indenta"/>
      </w:pPr>
      <w:r>
        <w:tab/>
        <w:t>(d)</w:t>
      </w:r>
      <w:r>
        <w:tab/>
        <w:t>in the case of an application to amend the period during which the permit is in force — the period for which the permit is sought.</w:t>
      </w:r>
    </w:p>
    <w:p>
      <w:pPr>
        <w:pStyle w:val="Subsection"/>
      </w:pPr>
      <w:r>
        <w:tab/>
        <w:t>(4)</w:t>
      </w:r>
      <w:r>
        <w:tab/>
        <w:t>The particulars of clearing permits that are in force are as follows —</w:t>
      </w:r>
    </w:p>
    <w:p>
      <w:pPr>
        <w:pStyle w:val="Indenta"/>
      </w:pPr>
      <w:r>
        <w:tab/>
        <w:t>(a)</w:t>
      </w:r>
      <w:r>
        <w:tab/>
        <w:t>the name of the permit holder;</w:t>
      </w:r>
    </w:p>
    <w:p>
      <w:pPr>
        <w:pStyle w:val="Indenta"/>
      </w:pPr>
      <w:r>
        <w:tab/>
        <w:t>(b)</w:t>
      </w:r>
      <w:r>
        <w:tab/>
        <w:t>whether the permit is an area permit or a purpose permit;</w:t>
      </w:r>
    </w:p>
    <w:p>
      <w:pPr>
        <w:pStyle w:val="Indenta"/>
      </w:pPr>
      <w:r>
        <w:tab/>
        <w:t>(c)</w:t>
      </w:r>
      <w:r>
        <w:tab/>
        <w:t>a description of the land to which the permit relates;</w:t>
      </w:r>
    </w:p>
    <w:p>
      <w:pPr>
        <w:pStyle w:val="Indenta"/>
      </w:pPr>
      <w:r>
        <w:tab/>
        <w:t>(d)</w:t>
      </w:r>
      <w:r>
        <w:tab/>
        <w:t>the purpose of the clearing;</w:t>
      </w:r>
    </w:p>
    <w:p>
      <w:pPr>
        <w:pStyle w:val="Indenta"/>
      </w:pPr>
      <w:r>
        <w:tab/>
        <w:t>(e)</w:t>
      </w:r>
      <w:r>
        <w:tab/>
        <w:t>in the case of an area permit — the size of the area to be cleared or the number of trees to be cleared;</w:t>
      </w:r>
    </w:p>
    <w:p>
      <w:pPr>
        <w:pStyle w:val="Indenta"/>
      </w:pPr>
      <w:r>
        <w:tab/>
        <w:t>(f)</w:t>
      </w:r>
      <w:r>
        <w:tab/>
        <w:t>the conditions to which the permit is subject;</w:t>
      </w:r>
    </w:p>
    <w:p>
      <w:pPr>
        <w:pStyle w:val="Indenta"/>
      </w:pPr>
      <w:r>
        <w:tab/>
        <w:t>(g)</w:t>
      </w:r>
      <w:r>
        <w:tab/>
        <w:t>the period during which the permit is in force.</w:t>
      </w:r>
    </w:p>
    <w:p>
      <w:pPr>
        <w:pStyle w:val="Subsection"/>
        <w:keepNext/>
      </w:pPr>
      <w:r>
        <w:tab/>
        <w:t>(5)</w:t>
      </w:r>
      <w:r>
        <w:tab/>
        <w:t>The particulars of undertakings given by the CEO under section 51E(9) of the Act are as follows —</w:t>
      </w:r>
    </w:p>
    <w:p>
      <w:pPr>
        <w:pStyle w:val="Indenta"/>
      </w:pPr>
      <w:r>
        <w:tab/>
        <w:t>(a)</w:t>
      </w:r>
      <w:r>
        <w:tab/>
        <w:t>the name of the person to whom the undertaking is given;</w:t>
      </w:r>
    </w:p>
    <w:p>
      <w:pPr>
        <w:pStyle w:val="Indenta"/>
      </w:pPr>
      <w:r>
        <w:tab/>
        <w:t>(b)</w:t>
      </w:r>
      <w:r>
        <w:tab/>
        <w:t>a description of the land to which the permit that will be granted in accordance with the undertaking relates;</w:t>
      </w:r>
    </w:p>
    <w:p>
      <w:pPr>
        <w:pStyle w:val="Indenta"/>
      </w:pPr>
      <w:r>
        <w:lastRenderedPageBreak/>
        <w:tab/>
        <w:t>(c)</w:t>
      </w:r>
      <w:r>
        <w:tab/>
        <w:t>the purpose of the proposed clearing;</w:t>
      </w:r>
    </w:p>
    <w:p>
      <w:pPr>
        <w:pStyle w:val="Indenta"/>
      </w:pPr>
      <w:r>
        <w:tab/>
        <w:t>(d)</w:t>
      </w:r>
      <w:r>
        <w:tab/>
        <w:t>the size of the area to be cleared or the number of trees to be cleared under the permit that will be granted in accordance with the undertaking;</w:t>
      </w:r>
    </w:p>
    <w:p>
      <w:pPr>
        <w:pStyle w:val="Indenta"/>
      </w:pPr>
      <w:r>
        <w:tab/>
        <w:t>(e)</w:t>
      </w:r>
      <w:r>
        <w:tab/>
        <w:t>the conditions to which the permit that will be granted in accordance with the undertaking is to be subject;</w:t>
      </w:r>
    </w:p>
    <w:p>
      <w:pPr>
        <w:pStyle w:val="Indenta"/>
      </w:pPr>
      <w:r>
        <w:tab/>
        <w:t>(f)</w:t>
      </w:r>
      <w:r>
        <w:tab/>
        <w:t>the period for which the permit that will be granted in accordance with the undertaking is to be in force.</w:t>
      </w:r>
    </w:p>
    <w:p>
      <w:pPr>
        <w:pStyle w:val="Subsection"/>
        <w:keepNext/>
      </w:pPr>
      <w:r>
        <w:tab/>
        <w:t>(6)</w:t>
      </w:r>
      <w:r>
        <w:tab/>
        <w:t>The particulars of notifications received under section 51N(1) of the Act of the transfer or passing of the owner’s interest in the land are as follows —</w:t>
      </w:r>
    </w:p>
    <w:p>
      <w:pPr>
        <w:pStyle w:val="Indenta"/>
      </w:pPr>
      <w:r>
        <w:tab/>
        <w:t>(a)</w:t>
      </w:r>
      <w:r>
        <w:tab/>
        <w:t>the name of the person giving the notification;</w:t>
      </w:r>
    </w:p>
    <w:p>
      <w:pPr>
        <w:pStyle w:val="Indenta"/>
      </w:pPr>
      <w:r>
        <w:tab/>
        <w:t>(b)</w:t>
      </w:r>
      <w:r>
        <w:tab/>
        <w:t>the date on which the interest was transferred or passed, or will transfer or pass, to the person giving the notification;</w:t>
      </w:r>
    </w:p>
    <w:p>
      <w:pPr>
        <w:pStyle w:val="Indenta"/>
      </w:pPr>
      <w:r>
        <w:tab/>
        <w:t>(c)</w:t>
      </w:r>
      <w:r>
        <w:tab/>
        <w:t>the date on which the notice was received by the CEO.</w:t>
      </w:r>
    </w:p>
    <w:p>
      <w:pPr>
        <w:pStyle w:val="Subsection"/>
        <w:keepNext/>
      </w:pPr>
      <w:r>
        <w:tab/>
        <w:t>(7)</w:t>
      </w:r>
      <w:r>
        <w:tab/>
        <w:t>The particulars of the surrender of clearing permits accepted by the CEO under section 51MA(7)(a) of the Act are as follows —</w:t>
      </w:r>
    </w:p>
    <w:p>
      <w:pPr>
        <w:pStyle w:val="Indenta"/>
      </w:pPr>
      <w:r>
        <w:tab/>
        <w:t>(a)</w:t>
      </w:r>
      <w:r>
        <w:tab/>
        <w:t>the name of the person who applied to surrender the permit;</w:t>
      </w:r>
    </w:p>
    <w:p>
      <w:pPr>
        <w:pStyle w:val="Indenta"/>
      </w:pPr>
      <w:r>
        <w:tab/>
        <w:t>(b)</w:t>
      </w:r>
      <w:r>
        <w:tab/>
        <w:t>the identification number of the permit;</w:t>
      </w:r>
    </w:p>
    <w:p>
      <w:pPr>
        <w:pStyle w:val="Indenta"/>
      </w:pPr>
      <w:r>
        <w:tab/>
        <w:t>(c)</w:t>
      </w:r>
      <w:r>
        <w:tab/>
        <w:t>the date on which the CEO accepted the surrender.</w:t>
      </w:r>
    </w:p>
    <w:p>
      <w:pPr>
        <w:pStyle w:val="Subsection"/>
        <w:keepNext/>
      </w:pPr>
      <w:r>
        <w:tab/>
        <w:t>(8)</w:t>
      </w:r>
      <w:r>
        <w:tab/>
        <w:t>The particulars of clearing permits revoked or suspended by the CEO under section 51L(1) of the Act are as follows —</w:t>
      </w:r>
    </w:p>
    <w:p>
      <w:pPr>
        <w:pStyle w:val="Indenta"/>
      </w:pPr>
      <w:r>
        <w:tab/>
        <w:t>(a)</w:t>
      </w:r>
      <w:r>
        <w:tab/>
        <w:t>the name of the permit holder at the time of the revocation or suspension;</w:t>
      </w:r>
    </w:p>
    <w:p>
      <w:pPr>
        <w:pStyle w:val="Indenta"/>
      </w:pPr>
      <w:r>
        <w:tab/>
        <w:t>(b)</w:t>
      </w:r>
      <w:r>
        <w:tab/>
        <w:t>the identification number of the permit;</w:t>
      </w:r>
    </w:p>
    <w:p>
      <w:pPr>
        <w:pStyle w:val="Indenta"/>
      </w:pPr>
      <w:r>
        <w:tab/>
        <w:t>(c)</w:t>
      </w:r>
      <w:r>
        <w:tab/>
        <w:t>the grounds for the revocation or suspension;</w:t>
      </w:r>
    </w:p>
    <w:p>
      <w:pPr>
        <w:pStyle w:val="Indenta"/>
        <w:keepNext/>
      </w:pPr>
      <w:r>
        <w:tab/>
        <w:t>(d)</w:t>
      </w:r>
      <w:r>
        <w:tab/>
        <w:t>the date on which the permit was revoked or suspended.</w:t>
      </w:r>
    </w:p>
    <w:p>
      <w:pPr>
        <w:pStyle w:val="Footnotesection"/>
      </w:pPr>
      <w:r>
        <w:tab/>
        <w:t>[Regulation 8 inserted: SL 2021/178 r. 6.]</w:t>
      </w:r>
    </w:p>
    <w:p>
      <w:pPr>
        <w:pStyle w:val="Heading5"/>
      </w:pPr>
      <w:bookmarkStart w:id="16" w:name="_Toc135213598"/>
      <w:r>
        <w:rPr>
          <w:rStyle w:val="CharSectno"/>
        </w:rPr>
        <w:lastRenderedPageBreak/>
        <w:t>8A</w:t>
      </w:r>
      <w:r>
        <w:t>.</w:t>
      </w:r>
      <w:r>
        <w:tab/>
        <w:t>Public records of other information and documents to be kept by CEO (s. 51Q(b))</w:t>
      </w:r>
      <w:bookmarkEnd w:id="16"/>
    </w:p>
    <w:p>
      <w:pPr>
        <w:pStyle w:val="Subsection"/>
        <w:keepNext/>
      </w:pPr>
      <w:r>
        <w:tab/>
      </w:r>
      <w:r>
        <w:tab/>
        <w:t>For the purposes of section 51Q(b) of the Act, the CEO must keep a public record of information and documents given to the CEO in response to a written notice given by the CEO under section 51E(1A), 51KA(2) or 51MA(3) of the Act.</w:t>
      </w:r>
    </w:p>
    <w:p>
      <w:pPr>
        <w:pStyle w:val="Footnotesection"/>
      </w:pPr>
      <w:r>
        <w:tab/>
        <w:t>[Regulation 8A inserted: SL 2021/178 r. 6.]</w:t>
      </w:r>
    </w:p>
    <w:p>
      <w:pPr>
        <w:pStyle w:val="Heading5"/>
      </w:pPr>
      <w:bookmarkStart w:id="17" w:name="_Toc135213599"/>
      <w:r>
        <w:rPr>
          <w:rStyle w:val="CharSectno"/>
        </w:rPr>
        <w:t>9</w:t>
      </w:r>
      <w:r>
        <w:t>.</w:t>
      </w:r>
      <w:r>
        <w:tab/>
        <w:t>Expiry of certain provisions</w:t>
      </w:r>
      <w:bookmarkEnd w:id="17"/>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pStyle w:val="Heading2"/>
      </w:pPr>
      <w:bookmarkStart w:id="18" w:name="_Toc135138491"/>
      <w:bookmarkStart w:id="19" w:name="_Toc135138638"/>
      <w:bookmarkStart w:id="20" w:name="_Toc135213600"/>
      <w:r>
        <w:rPr>
          <w:rStyle w:val="CharPartNo"/>
        </w:rPr>
        <w:lastRenderedPageBreak/>
        <w:t>Part 3</w:t>
      </w:r>
      <w:r>
        <w:t> — </w:t>
      </w:r>
      <w:r>
        <w:rPr>
          <w:rStyle w:val="CharPartText"/>
        </w:rPr>
        <w:t>Publication and confidentiality</w:t>
      </w:r>
      <w:bookmarkEnd w:id="18"/>
      <w:bookmarkEnd w:id="19"/>
      <w:bookmarkEnd w:id="20"/>
    </w:p>
    <w:p>
      <w:pPr>
        <w:pStyle w:val="Footnoteheading"/>
      </w:pPr>
      <w:r>
        <w:tab/>
        <w:t>[Heading inserted: SL 2021/178 r. 7.]</w:t>
      </w:r>
    </w:p>
    <w:p>
      <w:pPr>
        <w:pStyle w:val="Heading5"/>
      </w:pPr>
      <w:bookmarkStart w:id="21" w:name="_Toc135213601"/>
      <w:r>
        <w:rPr>
          <w:rStyle w:val="CharSectno"/>
        </w:rPr>
        <w:t>10</w:t>
      </w:r>
      <w:r>
        <w:t>.</w:t>
      </w:r>
      <w:r>
        <w:tab/>
        <w:t>Terms used</w:t>
      </w:r>
      <w:bookmarkEnd w:id="21"/>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10 inserted: SL 2021/178 r. 7.]</w:t>
      </w:r>
    </w:p>
    <w:p>
      <w:pPr>
        <w:pStyle w:val="Heading5"/>
      </w:pPr>
      <w:bookmarkStart w:id="22" w:name="_Toc135213602"/>
      <w:r>
        <w:rPr>
          <w:rStyle w:val="CharSectno"/>
        </w:rPr>
        <w:t>11</w:t>
      </w:r>
      <w:r>
        <w:t>.</w:t>
      </w:r>
      <w:r>
        <w:tab/>
        <w:t>CEO may keep documentation confidential on request</w:t>
      </w:r>
      <w:bookmarkEnd w:id="22"/>
    </w:p>
    <w:p>
      <w:pPr>
        <w:pStyle w:val="Subsection"/>
      </w:pPr>
      <w:r>
        <w:tab/>
        <w:t>(1)</w:t>
      </w:r>
      <w:r>
        <w:tab/>
        <w:t>In this regulation —</w:t>
      </w:r>
    </w:p>
    <w:p>
      <w:pPr>
        <w:pStyle w:val="Defstart"/>
      </w:pPr>
      <w:r>
        <w:tab/>
      </w:r>
      <w:r>
        <w:rPr>
          <w:rStyle w:val="CharDefText"/>
        </w:rPr>
        <w:t>clearing referral</w:t>
      </w:r>
      <w:r>
        <w:t xml:space="preserve"> means a referral of proposed clearing under section 51DA(2) of the Act;</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A person may, when submitting documentation to the CEO in relation to a clearing referral or a clearing permit, request in writing that the CEO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CEO must acknowledge receipt of the request in writing.</w:t>
      </w:r>
    </w:p>
    <w:p>
      <w:pPr>
        <w:pStyle w:val="Subsection"/>
      </w:pPr>
      <w:r>
        <w:lastRenderedPageBreak/>
        <w:tab/>
        <w:t>(4)</w:t>
      </w:r>
      <w:r>
        <w:tab/>
        <w:t>On receipt of a request under subregulation (2) and, if subregulation (3) applies, after the CEO has acknowledged receipt of the request the CEO —</w:t>
      </w:r>
    </w:p>
    <w:p>
      <w:pPr>
        <w:pStyle w:val="Indenta"/>
      </w:pPr>
      <w:r>
        <w:tab/>
        <w:t>(a)</w:t>
      </w:r>
      <w:r>
        <w:tab/>
        <w:t>must, if satisfied that the whole or part of the relevant documentation contains confidential material, refrain from publishing that whole or part; and</w:t>
      </w:r>
    </w:p>
    <w:p>
      <w:pPr>
        <w:pStyle w:val="Indenta"/>
      </w:pPr>
      <w:r>
        <w:tab/>
        <w:t>(b)</w:t>
      </w:r>
      <w:r>
        <w:tab/>
        <w:t>may refrain from publishing the whole or part of the relevant documentation if the CEO —</w:t>
      </w:r>
    </w:p>
    <w:p>
      <w:pPr>
        <w:pStyle w:val="Indenti"/>
      </w:pPr>
      <w:r>
        <w:tab/>
        <w:t>(i)</w:t>
      </w:r>
      <w:r>
        <w:tab/>
        <w:t>is not satisfied of the matters referred to in paragraph (a); but</w:t>
      </w:r>
    </w:p>
    <w:p>
      <w:pPr>
        <w:pStyle w:val="Indenti"/>
      </w:pPr>
      <w:r>
        <w:tab/>
        <w:t>(ii)</w:t>
      </w:r>
      <w:r>
        <w:tab/>
        <w:t>is satisfied that it is desirable to refrain from publishing that whole or part because of the confidential nature of that whole or part.</w:t>
      </w:r>
    </w:p>
    <w:p>
      <w:pPr>
        <w:pStyle w:val="Footnotesection"/>
      </w:pPr>
      <w:r>
        <w:tab/>
        <w:t>[Regulation 11 inserted: SL 2021/178 r. 7.]</w:t>
      </w:r>
    </w:p>
    <w:p>
      <w:pPr>
        <w:pStyle w:val="Heading5"/>
      </w:pPr>
      <w:bookmarkStart w:id="23" w:name="_Toc135213603"/>
      <w:r>
        <w:rPr>
          <w:rStyle w:val="CharSectno"/>
        </w:rPr>
        <w:t>12</w:t>
      </w:r>
      <w:r>
        <w:t>.</w:t>
      </w:r>
      <w:r>
        <w:tab/>
        <w:t>CEO must keep certain matters confidential</w:t>
      </w:r>
      <w:bookmarkEnd w:id="23"/>
    </w:p>
    <w:p>
      <w:pPr>
        <w:pStyle w:val="Subsection"/>
      </w:pPr>
      <w:r>
        <w:tab/>
        <w:t>(1)</w:t>
      </w:r>
      <w:r>
        <w:tab/>
        <w:t>The CEO must refrain from publishing any BSB number or bank account number contained in documentation submitted to the CEO in relation to a clearing referral (as defined in regulation 11(1)) or a clearing permit.</w:t>
      </w:r>
    </w:p>
    <w:p>
      <w:pPr>
        <w:pStyle w:val="Subsection"/>
      </w:pPr>
      <w:r>
        <w:tab/>
        <w:t>(2)</w:t>
      </w:r>
      <w:r>
        <w:tab/>
        <w:t>Subregulation (1) applies whether or not a request has been made under regulation 11(2).</w:t>
      </w:r>
    </w:p>
    <w:p>
      <w:pPr>
        <w:pStyle w:val="Footnotesection"/>
      </w:pPr>
      <w:r>
        <w:tab/>
        <w:t>[Regulation 12 inserted: SL 2021/178 r. 7.]</w:t>
      </w:r>
    </w:p>
    <w:p>
      <w:pPr>
        <w:pStyle w:val="Heading5"/>
      </w:pPr>
      <w:bookmarkStart w:id="24" w:name="_Toc135213604"/>
      <w:r>
        <w:rPr>
          <w:rStyle w:val="CharSectno"/>
        </w:rPr>
        <w:t>13</w:t>
      </w:r>
      <w:r>
        <w:t>.</w:t>
      </w:r>
      <w:r>
        <w:tab/>
        <w:t>CEO may keep certain matters confidential</w:t>
      </w:r>
      <w:bookmarkEnd w:id="24"/>
    </w:p>
    <w:p>
      <w:pPr>
        <w:pStyle w:val="Subsection"/>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pPr>
      <w:r>
        <w:tab/>
      </w:r>
      <w:r>
        <w:rPr>
          <w:rStyle w:val="CharDefText"/>
        </w:rPr>
        <w:t>priority list</w:t>
      </w:r>
      <w:r>
        <w:t xml:space="preserve"> means either of the following —</w:t>
      </w:r>
    </w:p>
    <w:p>
      <w:pPr>
        <w:pStyle w:val="Defpara"/>
      </w:pPr>
      <w:r>
        <w:lastRenderedPageBreak/>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pPr>
      <w:r>
        <w:tab/>
        <w:t>(2)</w:t>
      </w:r>
      <w:r>
        <w:tab/>
        <w:t>The CEO may at any time refrain from publishing any of the following information if it is confidential (whether or not a request has been made under regulation 11(2)) —</w:t>
      </w:r>
    </w:p>
    <w:p>
      <w:pPr>
        <w:pStyle w:val="Indenta"/>
      </w:pPr>
      <w:r>
        <w:tab/>
        <w:t>(a)</w:t>
      </w:r>
      <w:r>
        <w:tab/>
        <w:t>personal information;</w:t>
      </w:r>
    </w:p>
    <w:p>
      <w:pPr>
        <w:pStyle w:val="Indenta"/>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pPr>
      <w:r>
        <w:tab/>
        <w:t>(c)</w:t>
      </w:r>
      <w:r>
        <w:tab/>
        <w:t>the precise location of a population of a native species, or a breeding area of a native species, if the CEO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pPr>
      <w:r>
        <w:tab/>
        <w:t>(d)</w:t>
      </w:r>
      <w:r>
        <w:tab/>
        <w:t>the precise location of an Aboriginal site, if the precise location of that site is identified in documentation provided to the CEO in relation to a clearing referral (as defined in regulation 11(1)) or a clearing permit.</w:t>
      </w:r>
    </w:p>
    <w:p>
      <w:pPr>
        <w:pStyle w:val="Footnotesection"/>
      </w:pPr>
      <w:r>
        <w:tab/>
        <w:t>[Regulation 13 inserted: SL 2021/178 r. 7.]</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5" w:name="_Toc135138496"/>
      <w:bookmarkStart w:id="26" w:name="_Toc135138643"/>
      <w:bookmarkStart w:id="27" w:name="_Toc135213605"/>
      <w:r>
        <w:rPr>
          <w:rStyle w:val="CharSchNo"/>
        </w:rPr>
        <w:lastRenderedPageBreak/>
        <w:t>Schedule 1</w:t>
      </w:r>
      <w:r>
        <w:t> — </w:t>
      </w:r>
      <w:r>
        <w:rPr>
          <w:rStyle w:val="CharSchText"/>
        </w:rPr>
        <w:t>Low impact or other mineral or petroleum activities</w:t>
      </w:r>
      <w:bookmarkEnd w:id="25"/>
      <w:bookmarkEnd w:id="26"/>
      <w:bookmarkEnd w:id="27"/>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outlineLvl w:val="9"/>
      </w:pPr>
      <w:bookmarkStart w:id="28" w:name="_Toc135213606"/>
      <w:r>
        <w:rPr>
          <w:rStyle w:val="CharSClsNo"/>
        </w:rPr>
        <w:t>1</w:t>
      </w:r>
      <w:r>
        <w:t>.</w:t>
      </w:r>
      <w:r>
        <w:tab/>
        <w:t>Terms used</w:t>
      </w:r>
      <w:bookmarkEnd w:id="28"/>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outlineLvl w:val="9"/>
      </w:pPr>
      <w:bookmarkStart w:id="29" w:name="_Toc135213607"/>
      <w:r>
        <w:rPr>
          <w:rStyle w:val="CharSClsNo"/>
        </w:rPr>
        <w:t>2</w:t>
      </w:r>
      <w:r>
        <w:t>.</w:t>
      </w:r>
      <w:r>
        <w:tab/>
        <w:t>Low impact mineral and petroleum activities</w:t>
      </w:r>
      <w:bookmarkEnd w:id="29"/>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lastRenderedPageBreak/>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clearing in an authority area for any purpose, being clearing which does not, together with all other clearing carried out under this subclause in the </w:t>
      </w:r>
      <w:r>
        <w:lastRenderedPageBreak/>
        <w:t>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2</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outlineLvl w:val="9"/>
      </w:pPr>
      <w:bookmarkStart w:id="30" w:name="_Toc135213608"/>
      <w:r>
        <w:rPr>
          <w:rStyle w:val="CharSClsNo"/>
        </w:rPr>
        <w:t>3</w:t>
      </w:r>
      <w:r>
        <w:t>.</w:t>
      </w:r>
      <w:r>
        <w:tab/>
        <w:t>How the activity is to be carried out</w:t>
      </w:r>
      <w:bookmarkEnd w:id="30"/>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31" w:name="_Toc135213609"/>
      <w:r>
        <w:rPr>
          <w:rStyle w:val="CharSClsNo"/>
        </w:rPr>
        <w:t>4</w:t>
      </w:r>
      <w:r>
        <w:t>.</w:t>
      </w:r>
      <w:r>
        <w:tab/>
        <w:t>Non</w:t>
      </w:r>
      <w:r>
        <w:noBreakHyphen/>
        <w:t>permitted areas</w:t>
      </w:r>
      <w:bookmarkEnd w:id="31"/>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lastRenderedPageBreak/>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 xml:space="preserve">“Conservation Reserves for Western Australia. The Darling System — System 6. Part I: General Principles and Recommendations and Part II: </w:t>
      </w:r>
      <w:r>
        <w:lastRenderedPageBreak/>
        <w:t>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32" w:name="_Toc135138501"/>
      <w:bookmarkStart w:id="33" w:name="_Toc135138648"/>
      <w:bookmarkStart w:id="34" w:name="_Toc135213610"/>
      <w:r>
        <w:rPr>
          <w:rStyle w:val="CharSchNo"/>
        </w:rPr>
        <w:lastRenderedPageBreak/>
        <w:t>Schedule 2</w:t>
      </w:r>
      <w:r>
        <w:t> — </w:t>
      </w:r>
      <w:r>
        <w:rPr>
          <w:rStyle w:val="CharSchText"/>
        </w:rPr>
        <w:t>Clearing for maintenance in existing transport corridors</w:t>
      </w:r>
      <w:bookmarkEnd w:id="32"/>
      <w:bookmarkEnd w:id="33"/>
      <w:bookmarkEnd w:id="34"/>
    </w:p>
    <w:p>
      <w:pPr>
        <w:pStyle w:val="yShoulderClause"/>
      </w:pPr>
      <w:r>
        <w:t>[r. 5(1) item 22]</w:t>
      </w:r>
    </w:p>
    <w:p>
      <w:pPr>
        <w:pStyle w:val="yFootnoteheading"/>
      </w:pPr>
      <w:r>
        <w:tab/>
        <w:t>[Heading amended: Gazette 7 Jul 2006 p. 2500.]</w:t>
      </w:r>
    </w:p>
    <w:p>
      <w:pPr>
        <w:pStyle w:val="yHeading5"/>
        <w:spacing w:before="240"/>
        <w:outlineLvl w:val="9"/>
      </w:pPr>
      <w:bookmarkStart w:id="35" w:name="_Toc135213611"/>
      <w:r>
        <w:rPr>
          <w:rStyle w:val="CharSClsNo"/>
        </w:rPr>
        <w:t>1</w:t>
      </w:r>
      <w:r>
        <w:t>.</w:t>
      </w:r>
      <w:r>
        <w:tab/>
        <w:t>Terms used</w:t>
      </w:r>
      <w:bookmarkEnd w:id="35"/>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outlineLvl w:val="9"/>
      </w:pPr>
      <w:bookmarkStart w:id="36" w:name="_Toc135213612"/>
      <w:r>
        <w:rPr>
          <w:rStyle w:val="CharSClsNo"/>
        </w:rPr>
        <w:t>2</w:t>
      </w:r>
      <w:r>
        <w:t>.</w:t>
      </w:r>
      <w:r>
        <w:tab/>
        <w:t>Extent of clearing for an area or purpose in relation to a road or railway</w:t>
      </w:r>
      <w:bookmarkEnd w:id="36"/>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lastRenderedPageBreak/>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cantSplit/>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rPr>
          <w:cantSplit/>
        </w:trP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rPr>
          <w:cantSplit/>
        </w:trP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rPr>
          <w:cantSplit/>
        </w:trP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rPr>
          <w:cantSplit/>
        </w:trP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outlineLvl w:val="9"/>
      </w:pPr>
      <w:bookmarkStart w:id="37" w:name="_Toc135213613"/>
      <w:r>
        <w:rPr>
          <w:rStyle w:val="CharSClsNo"/>
        </w:rPr>
        <w:lastRenderedPageBreak/>
        <w:t>3</w:t>
      </w:r>
      <w:r>
        <w:t>.</w:t>
      </w:r>
      <w:r>
        <w:tab/>
        <w:t>How the clearing is to be carried out</w:t>
      </w:r>
      <w:bookmarkEnd w:id="37"/>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38" w:name="_Toc135138505"/>
      <w:bookmarkStart w:id="39" w:name="_Toc135138652"/>
      <w:bookmarkStart w:id="40" w:name="_Toc135213614"/>
      <w:r>
        <w:rPr>
          <w:rStyle w:val="CharSchNo"/>
        </w:rPr>
        <w:lastRenderedPageBreak/>
        <w:t>Schedule 3</w:t>
      </w:r>
      <w:r>
        <w:t> — </w:t>
      </w:r>
      <w:r>
        <w:rPr>
          <w:rStyle w:val="CharSchText"/>
        </w:rPr>
        <w:t>Infrastructure maintenance activities</w:t>
      </w:r>
      <w:bookmarkEnd w:id="38"/>
      <w:bookmarkEnd w:id="39"/>
      <w:bookmarkEnd w:id="40"/>
    </w:p>
    <w:p>
      <w:pPr>
        <w:pStyle w:val="yShoulderClause"/>
      </w:pPr>
      <w:r>
        <w:t>[r. 5(1) item 23]</w:t>
      </w:r>
    </w:p>
    <w:p>
      <w:pPr>
        <w:pStyle w:val="yHeading5"/>
        <w:spacing w:before="120"/>
        <w:outlineLvl w:val="9"/>
      </w:pPr>
      <w:bookmarkStart w:id="41" w:name="_Toc135213615"/>
      <w:r>
        <w:rPr>
          <w:rStyle w:val="CharSClsNo"/>
        </w:rPr>
        <w:t>1</w:t>
      </w:r>
      <w:r>
        <w:t>.</w:t>
      </w:r>
      <w:r>
        <w:tab/>
        <w:t>Infrastructure maintenance activities</w:t>
      </w:r>
      <w:bookmarkEnd w:id="41"/>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outlineLvl w:val="9"/>
      </w:pPr>
      <w:bookmarkStart w:id="42" w:name="_Toc135213616"/>
      <w:r>
        <w:rPr>
          <w:rStyle w:val="CharSClsNo"/>
        </w:rPr>
        <w:t>2</w:t>
      </w:r>
      <w:r>
        <w:t>.</w:t>
      </w:r>
      <w:r>
        <w:tab/>
        <w:t>How the activity is to be carried out</w:t>
      </w:r>
      <w:bookmarkEnd w:id="42"/>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44" w:name="_Toc135138508"/>
      <w:bookmarkStart w:id="45" w:name="_Toc135138655"/>
      <w:bookmarkStart w:id="46" w:name="_Toc135213617"/>
      <w:r>
        <w:lastRenderedPageBreak/>
        <w:t>Notes</w:t>
      </w:r>
      <w:bookmarkEnd w:id="44"/>
      <w:bookmarkEnd w:id="45"/>
      <w:bookmarkEnd w:id="46"/>
    </w:p>
    <w:p>
      <w:pPr>
        <w:pStyle w:val="nStatement"/>
      </w:pPr>
      <w:r>
        <w:t xml:space="preserve">This is a compilation of the </w:t>
      </w:r>
      <w:r>
        <w:rPr>
          <w:i/>
          <w:noProof/>
        </w:rPr>
        <w:t>Environmental Protection (Clearing of Native Vegetation)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7" w:name="_Toc135213618"/>
      <w:r>
        <w:t>Compilation table</w:t>
      </w:r>
      <w:bookmarkEnd w:id="4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c>
          <w:tcPr>
            <w:tcW w:w="3118" w:type="dxa"/>
            <w:tcBorders>
              <w:top w:val="nil"/>
              <w:bottom w:val="nil"/>
            </w:tcBorders>
          </w:tcPr>
          <w:p>
            <w:pPr>
              <w:pStyle w:val="nTable"/>
              <w:spacing w:after="40"/>
            </w:pPr>
            <w:r>
              <w:rPr>
                <w:i/>
              </w:rPr>
              <w:t>Environmental Protection (Clearing of Native Vegetation) Amendment Regulations 2019</w:t>
            </w:r>
          </w:p>
        </w:tc>
        <w:tc>
          <w:tcPr>
            <w:tcW w:w="1276" w:type="dxa"/>
            <w:tcBorders>
              <w:top w:val="nil"/>
              <w:bottom w:val="nil"/>
            </w:tcBorders>
          </w:tcPr>
          <w:p>
            <w:pPr>
              <w:pStyle w:val="nTable"/>
              <w:spacing w:after="40"/>
            </w:pPr>
            <w:r>
              <w:t>3 May 2019 p. 1307</w:t>
            </w:r>
            <w:r>
              <w:noBreakHyphen/>
              <w:t>9</w:t>
            </w:r>
          </w:p>
        </w:tc>
        <w:tc>
          <w:tcPr>
            <w:tcW w:w="2693" w:type="dxa"/>
            <w:tcBorders>
              <w:top w:val="nil"/>
              <w:bottom w:val="nil"/>
            </w:tcBorders>
          </w:tcPr>
          <w:p>
            <w:pPr>
              <w:pStyle w:val="nTable"/>
              <w:spacing w:after="40"/>
            </w:pPr>
            <w:r>
              <w:t>r. 1 and 2: 3 May 2019 (see r. 2(a));</w:t>
            </w:r>
            <w:r>
              <w:br/>
              <w:t>Regulations other than r. 1 and 2: 1 Jul 2019 (see r. 2(b))</w:t>
            </w:r>
          </w:p>
        </w:tc>
      </w:tr>
      <w:tr>
        <w:tc>
          <w:tcPr>
            <w:tcW w:w="3118" w:type="dxa"/>
            <w:tcBorders>
              <w:top w:val="nil"/>
              <w:bottom w:val="single" w:sz="4" w:space="0" w:color="auto"/>
            </w:tcBorders>
          </w:tcPr>
          <w:p>
            <w:pPr>
              <w:pStyle w:val="nTable"/>
              <w:spacing w:after="40"/>
            </w:pPr>
            <w:r>
              <w:rPr>
                <w:i/>
              </w:rPr>
              <w:t>Environmental Protection Regulations Amendment (Publication and Confidentiality) Regulations 2021</w:t>
            </w:r>
            <w:r>
              <w:t xml:space="preserve"> Pt. 2</w:t>
            </w:r>
          </w:p>
        </w:tc>
        <w:tc>
          <w:tcPr>
            <w:tcW w:w="1276" w:type="dxa"/>
            <w:tcBorders>
              <w:top w:val="nil"/>
              <w:bottom w:val="single" w:sz="4" w:space="0" w:color="auto"/>
            </w:tcBorders>
          </w:tcPr>
          <w:p>
            <w:pPr>
              <w:pStyle w:val="nTable"/>
              <w:spacing w:after="40"/>
            </w:pPr>
            <w:r>
              <w:t>SL 2021/178 22 Oct 2021</w:t>
            </w:r>
          </w:p>
        </w:tc>
        <w:tc>
          <w:tcPr>
            <w:tcW w:w="2693" w:type="dxa"/>
            <w:tcBorders>
              <w:top w:val="nil"/>
              <w:bottom w:val="single" w:sz="4" w:space="0" w:color="auto"/>
            </w:tcBorders>
          </w:tcPr>
          <w:p>
            <w:pPr>
              <w:pStyle w:val="nTable"/>
              <w:spacing w:after="40"/>
            </w:pPr>
            <w:r>
              <w:t>23 Oct 2021 (see r. 2(b) and SL 2021/176 cl. 2)</w:t>
            </w:r>
          </w:p>
        </w:tc>
      </w:tr>
    </w:tbl>
    <w:p>
      <w:pPr>
        <w:pStyle w:val="nHeading3"/>
      </w:pPr>
      <w:bookmarkStart w:id="48" w:name="_Toc135213619"/>
      <w:r>
        <w:t>Uncommenced provisions table</w:t>
      </w:r>
      <w:bookmarkEnd w:id="4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 Regulations Amendment (Aboriginal Cultural Heritage) Regulations 2023</w:t>
            </w:r>
            <w:r>
              <w:t xml:space="preserve"> Pt. 3</w:t>
            </w:r>
          </w:p>
        </w:tc>
        <w:tc>
          <w:tcPr>
            <w:tcW w:w="1276" w:type="dxa"/>
          </w:tcPr>
          <w:p>
            <w:pPr>
              <w:pStyle w:val="nTable"/>
              <w:spacing w:after="40"/>
            </w:pPr>
            <w:r>
              <w:t>SL 2023/50 19 May 2023</w:t>
            </w:r>
          </w:p>
        </w:tc>
        <w:tc>
          <w:tcPr>
            <w:tcW w:w="2693" w:type="dxa"/>
          </w:tcPr>
          <w:p>
            <w:pPr>
              <w:pStyle w:val="nTable"/>
              <w:spacing w:after="40"/>
            </w:pPr>
            <w:r>
              <w:t>1 Jul 2023 (see r. 2(b))</w:t>
            </w:r>
          </w:p>
        </w:tc>
      </w:tr>
    </w:tbl>
    <w:p>
      <w:pPr>
        <w:pStyle w:val="nHeading3"/>
      </w:pPr>
      <w:bookmarkStart w:id="49" w:name="_Toc135213620"/>
      <w:r>
        <w:t>Other notes</w:t>
      </w:r>
      <w:bookmarkEnd w:id="49"/>
    </w:p>
    <w:p>
      <w:pPr>
        <w:pStyle w:val="nNote"/>
      </w:pPr>
      <w:r>
        <w:rPr>
          <w:vertAlign w:val="superscript"/>
        </w:rPr>
        <w:t>1</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Note"/>
        <w:rPr>
          <w:snapToGrid w:val="0"/>
        </w:rPr>
      </w:pPr>
      <w:r>
        <w:rPr>
          <w:vertAlign w:val="superscript"/>
        </w:rPr>
        <w:t>2</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w:t>
      </w:r>
      <w:r>
        <w:rPr>
          <w:i/>
          <w:iCs/>
          <w:snapToGrid w:val="0"/>
        </w:rPr>
        <w:lastRenderedPageBreak/>
        <w:t xml:space="preserve">Amendment Act 2007 </w:t>
      </w:r>
      <w:r>
        <w:rPr>
          <w:snapToGrid w:val="0"/>
        </w:rPr>
        <w:t xml:space="preserve">s. 5.  The reference was changed under the </w:t>
      </w:r>
      <w:r>
        <w:rPr>
          <w:i/>
          <w:iCs/>
          <w:snapToGrid w:val="0"/>
        </w:rPr>
        <w:t xml:space="preserve">Reprints Act 1984 </w:t>
      </w:r>
      <w:r>
        <w:rPr>
          <w:snapToGrid w:val="0"/>
        </w:rPr>
        <w:t>s. 7(3)(gb).</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51" w:name="_Toc135138511"/>
      <w:bookmarkStart w:id="52" w:name="_Toc135138659"/>
      <w:bookmarkStart w:id="53" w:name="_Toc135213621"/>
      <w:r>
        <w:rPr>
          <w:sz w:val="28"/>
        </w:rPr>
        <w:lastRenderedPageBreak/>
        <w:t>Defined terms</w:t>
      </w:r>
      <w:bookmarkEnd w:id="51"/>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3</w:t>
      </w:r>
    </w:p>
    <w:p>
      <w:pPr>
        <w:pStyle w:val="DefinedTerms"/>
      </w:pPr>
      <w:r>
        <w:t>Aboriginal site</w:t>
      </w:r>
      <w:r>
        <w:tab/>
        <w:t>13(1)</w:t>
      </w:r>
    </w:p>
    <w:p>
      <w:pPr>
        <w:pStyle w:val="DefinedTerms"/>
      </w:pPr>
      <w:r>
        <w:t>alienated land</w:t>
      </w:r>
      <w:r>
        <w:tab/>
        <w:t>3</w:t>
      </w:r>
    </w:p>
    <w:p>
      <w:pPr>
        <w:pStyle w:val="DefinedTerms"/>
      </w:pPr>
      <w:r>
        <w:t>application area</w:t>
      </w:r>
      <w:r>
        <w:tab/>
        <w:t>7(1)</w:t>
      </w:r>
    </w:p>
    <w:p>
      <w:pPr>
        <w:pStyle w:val="DefinedTerms"/>
      </w:pPr>
      <w:r>
        <w:t>authority area</w:t>
      </w:r>
      <w:r>
        <w:tab/>
        <w:t>Sch. 1 cl. 2(3)</w:t>
      </w:r>
    </w:p>
    <w:p>
      <w:pPr>
        <w:pStyle w:val="DefinedTerms"/>
      </w:pPr>
      <w:r>
        <w:t>biodiversity conservation</w:t>
      </w:r>
      <w:r>
        <w:tab/>
        <w:t>4(2)</w:t>
      </w:r>
    </w:p>
    <w:p>
      <w:pPr>
        <w:pStyle w:val="DefinedTerms"/>
      </w:pPr>
      <w:r>
        <w:t>bioregion</w:t>
      </w:r>
      <w:r>
        <w:tab/>
        <w:t>3</w:t>
      </w:r>
    </w:p>
    <w:p>
      <w:pPr>
        <w:pStyle w:val="DefinedTerms"/>
      </w:pPr>
      <w:r>
        <w:t>building</w:t>
      </w:r>
      <w:r>
        <w:tab/>
        <w:t>3</w:t>
      </w:r>
    </w:p>
    <w:p>
      <w:pPr>
        <w:pStyle w:val="DefinedTerms"/>
      </w:pPr>
      <w:r>
        <w:t>clearing referral</w:t>
      </w:r>
      <w:r>
        <w:tab/>
        <w:t>11(1)</w:t>
      </w:r>
    </w:p>
    <w:p>
      <w:pPr>
        <w:pStyle w:val="DefinedTerms"/>
      </w:pPr>
      <w:r>
        <w:t>confidential material</w:t>
      </w:r>
      <w:r>
        <w:tab/>
        <w:t>11(1)</w:t>
      </w:r>
    </w:p>
    <w:p>
      <w:pPr>
        <w:pStyle w:val="DefinedTerms"/>
      </w:pPr>
      <w:r>
        <w:t>crossover area</w:t>
      </w:r>
      <w:r>
        <w:tab/>
        <w:t>Sch. 2 cl. 1</w:t>
      </w:r>
    </w:p>
    <w:p>
      <w:pPr>
        <w:pStyle w:val="DefinedTerms"/>
      </w:pPr>
      <w:r>
        <w:t>Crown land</w:t>
      </w:r>
      <w:r>
        <w:tab/>
        <w:t>3</w:t>
      </w:r>
    </w:p>
    <w:p>
      <w:pPr>
        <w:pStyle w:val="DefinedTerms"/>
      </w:pPr>
      <w:r>
        <w:t>department</w:t>
      </w:r>
      <w:r>
        <w:tab/>
        <w:t>13(1)</w:t>
      </w:r>
    </w:p>
    <w:p>
      <w:pPr>
        <w:pStyle w:val="DefinedTerms"/>
      </w:pPr>
      <w:r>
        <w:t>documentation</w:t>
      </w:r>
      <w:r>
        <w:tab/>
        <w:t>10</w:t>
      </w:r>
    </w:p>
    <w:p>
      <w:pPr>
        <w:pStyle w:val="DefinedTerms"/>
      </w:pPr>
      <w:r>
        <w:t>environmentally sensitive area</w:t>
      </w:r>
      <w:r>
        <w:tab/>
        <w:t>3</w:t>
      </w:r>
    </w:p>
    <w:p>
      <w:pPr>
        <w:pStyle w:val="DefinedTerms"/>
      </w:pPr>
      <w:r>
        <w:t>fence</w:t>
      </w:r>
      <w:r>
        <w:tab/>
        <w:t>3</w:t>
      </w:r>
    </w:p>
    <w:p>
      <w:pPr>
        <w:pStyle w:val="DefinedTerms"/>
      </w:pPr>
      <w:r>
        <w:t>fire hazard reduction burning</w:t>
      </w:r>
      <w:r>
        <w:tab/>
        <w:t>3</w:t>
      </w:r>
    </w:p>
    <w:p>
      <w:pPr>
        <w:pStyle w:val="DefinedTerms"/>
      </w:pPr>
      <w:r>
        <w:t>fire risk reduction area</w:t>
      </w:r>
      <w:r>
        <w:tab/>
        <w:t>3</w:t>
      </w:r>
    </w:p>
    <w:p>
      <w:pPr>
        <w:pStyle w:val="DefinedTerms"/>
      </w:pPr>
      <w:r>
        <w:t>intensive land-use zone</w:t>
      </w:r>
      <w:r>
        <w:tab/>
        <w:t>3</w:t>
      </w:r>
    </w:p>
    <w:p>
      <w:pPr>
        <w:pStyle w:val="DefinedTerms"/>
      </w:pPr>
      <w:r>
        <w:t>land conservation</w:t>
      </w:r>
      <w:r>
        <w:tab/>
        <w:t>4(2)</w:t>
      </w:r>
    </w:p>
    <w:p>
      <w:pPr>
        <w:pStyle w:val="DefinedTerms"/>
      </w:pPr>
      <w:r>
        <w:t>lateral clearance area</w:t>
      </w:r>
      <w:r>
        <w:tab/>
        <w:t>Sch. 2 cl. 1</w:t>
      </w:r>
    </w:p>
    <w:p>
      <w:pPr>
        <w:pStyle w:val="DefinedTerms"/>
      </w:pPr>
      <w:r>
        <w:t>limited clearing</w:t>
      </w:r>
      <w:r>
        <w:tab/>
        <w:t>3</w:t>
      </w:r>
    </w:p>
    <w:p>
      <w:pPr>
        <w:pStyle w:val="DefinedTerms"/>
      </w:pPr>
      <w:r>
        <w:t>native species</w:t>
      </w:r>
      <w:r>
        <w:tab/>
        <w:t>13(1)</w:t>
      </w:r>
    </w:p>
    <w:p>
      <w:pPr>
        <w:pStyle w:val="DefinedTerms"/>
      </w:pPr>
      <w:r>
        <w:t>plant</w:t>
      </w:r>
      <w:r>
        <w:tab/>
        <w:t>4(2)</w:t>
      </w:r>
    </w:p>
    <w:p>
      <w:pPr>
        <w:pStyle w:val="DefinedTerms"/>
      </w:pPr>
      <w:r>
        <w:t>previously cleared</w:t>
      </w:r>
      <w:r>
        <w:tab/>
        <w:t>Sch. 2 cl. 1</w:t>
      </w:r>
    </w:p>
    <w:p>
      <w:pPr>
        <w:pStyle w:val="DefinedTerms"/>
      </w:pPr>
      <w:r>
        <w:t>priority list</w:t>
      </w:r>
      <w:r>
        <w:tab/>
        <w:t>13(1)</w:t>
      </w:r>
    </w:p>
    <w:p>
      <w:pPr>
        <w:pStyle w:val="DefinedTerms"/>
      </w:pPr>
      <w:r>
        <w:t>property</w:t>
      </w:r>
      <w:r>
        <w:tab/>
        <w:t>3</w:t>
      </w:r>
    </w:p>
    <w:p>
      <w:pPr>
        <w:pStyle w:val="DefinedTerms"/>
      </w:pPr>
      <w:r>
        <w:t>public roadside facility</w:t>
      </w:r>
      <w:r>
        <w:tab/>
        <w:t>Sch. 2 cl. 1</w:t>
      </w:r>
    </w:p>
    <w:p>
      <w:pPr>
        <w:pStyle w:val="DefinedTerms"/>
      </w:pPr>
      <w:r>
        <w:t>publish</w:t>
      </w:r>
      <w:r>
        <w:tab/>
        <w:t>10</w:t>
      </w:r>
    </w:p>
    <w:p>
      <w:pPr>
        <w:pStyle w:val="DefinedTerms"/>
      </w:pPr>
      <w:r>
        <w:t>relevant documentation</w:t>
      </w:r>
      <w:r>
        <w:tab/>
        <w:t>11(2)</w:t>
      </w:r>
    </w:p>
    <w:p>
      <w:pPr>
        <w:pStyle w:val="DefinedTerms"/>
      </w:pPr>
      <w:r>
        <w:t>riparian vegetation</w:t>
      </w:r>
      <w:r>
        <w:tab/>
        <w:t>3</w:t>
      </w:r>
    </w:p>
    <w:p>
      <w:pPr>
        <w:pStyle w:val="DefinedTerms"/>
      </w:pPr>
      <w:r>
        <w:t>scrape and detect operation</w:t>
      </w:r>
      <w:r>
        <w:tab/>
        <w:t>Sch. 1 cl. 1</w:t>
      </w:r>
    </w:p>
    <w:p>
      <w:pPr>
        <w:pStyle w:val="DefinedTerms"/>
      </w:pPr>
      <w:r>
        <w:t>sight line area</w:t>
      </w:r>
      <w:r>
        <w:tab/>
        <w:t>3, Sch. 3 cl. 1(2)</w:t>
      </w:r>
    </w:p>
    <w:p>
      <w:pPr>
        <w:pStyle w:val="DefinedTerms"/>
      </w:pPr>
      <w:r>
        <w:t>species</w:t>
      </w:r>
      <w:r>
        <w:tab/>
        <w:t>13(1)</w:t>
      </w:r>
    </w:p>
    <w:p>
      <w:pPr>
        <w:pStyle w:val="DefinedTerms"/>
      </w:pPr>
      <w:r>
        <w:t>submit</w:t>
      </w:r>
      <w:r>
        <w:tab/>
        <w:t>10</w:t>
      </w:r>
    </w:p>
    <w:p>
      <w:pPr>
        <w:pStyle w:val="DefinedTerms"/>
      </w:pPr>
      <w:r>
        <w:t>threatened species</w:t>
      </w:r>
      <w:r>
        <w:tab/>
        <w:t>13(1)</w:t>
      </w:r>
    </w:p>
    <w:p>
      <w:pPr>
        <w:pStyle w:val="DefinedTerms"/>
      </w:pPr>
      <w:r>
        <w:t>transport corridor infrastructure</w:t>
      </w:r>
      <w:r>
        <w:tab/>
        <w:t>Sch. 2 cl. 1</w:t>
      </w:r>
    </w:p>
    <w:p>
      <w:pPr>
        <w:pStyle w:val="DefinedTerms"/>
      </w:pPr>
      <w:r>
        <w:t>utility</w:t>
      </w:r>
      <w:r>
        <w:tab/>
        <w:t>3</w:t>
      </w:r>
    </w:p>
    <w:p>
      <w:pPr>
        <w:pStyle w:val="DefinedTerms"/>
      </w:pPr>
      <w:r>
        <w:t>watercourse</w:t>
      </w:r>
      <w:r>
        <w:tab/>
        <w:t>3</w:t>
      </w:r>
    </w:p>
    <w:p>
      <w:pPr>
        <w:pStyle w:val="DefinedTerms"/>
      </w:pPr>
      <w:r>
        <w:lastRenderedPageBreak/>
        <w:t>water supply area</w:t>
      </w:r>
      <w:r>
        <w:tab/>
        <w:t>Sch. 1 cl. 1</w:t>
      </w:r>
    </w:p>
    <w:p>
      <w:pPr>
        <w:pStyle w:val="DefinedTerms"/>
      </w:pPr>
      <w:r>
        <w:t>wetland</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5715"/>
      <w:gridCol w:w="1592"/>
    </w:tblGrid>
    <w:tr>
      <w:trPr>
        <w:cantSplit/>
        <w:jc w:val="center"/>
      </w:trPr>
      <w:tc>
        <w:tcPr>
          <w:tcW w:w="730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92"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92"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07"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0609"/>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 w:name="WAFER_20211019164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9164826_GUID" w:val="89785bfb-4bc8-428f-b9d8-f680c4891f56"/>
    <w:docVar w:name="WAFER_20230516140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40609_GUID" w:val="ea870035-d738-435d-a9ca-7e7a76e35f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D9584A65-D7DE-4121-A0A5-A0E5846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292">
      <w:bodyDiv w:val="1"/>
      <w:marLeft w:val="0"/>
      <w:marRight w:val="0"/>
      <w:marTop w:val="0"/>
      <w:marBottom w:val="0"/>
      <w:divBdr>
        <w:top w:val="none" w:sz="0" w:space="0" w:color="auto"/>
        <w:left w:val="none" w:sz="0" w:space="0" w:color="auto"/>
        <w:bottom w:val="none" w:sz="0" w:space="0" w:color="auto"/>
        <w:right w:val="none" w:sz="0" w:space="0" w:color="auto"/>
      </w:divBdr>
    </w:div>
    <w:div w:id="1500124048">
      <w:bodyDiv w:val="1"/>
      <w:marLeft w:val="0"/>
      <w:marRight w:val="0"/>
      <w:marTop w:val="0"/>
      <w:marBottom w:val="0"/>
      <w:divBdr>
        <w:top w:val="none" w:sz="0" w:space="0" w:color="auto"/>
        <w:left w:val="none" w:sz="0" w:space="0" w:color="auto"/>
        <w:bottom w:val="none" w:sz="0" w:space="0" w:color="auto"/>
        <w:right w:val="none" w:sz="0" w:space="0" w:color="auto"/>
      </w:divBdr>
    </w:div>
    <w:div w:id="1727333303">
      <w:bodyDiv w:val="1"/>
      <w:marLeft w:val="0"/>
      <w:marRight w:val="0"/>
      <w:marTop w:val="0"/>
      <w:marBottom w:val="0"/>
      <w:divBdr>
        <w:top w:val="none" w:sz="0" w:space="0" w:color="auto"/>
        <w:left w:val="none" w:sz="0" w:space="0" w:color="auto"/>
        <w:bottom w:val="none" w:sz="0" w:space="0" w:color="auto"/>
        <w:right w:val="none" w:sz="0" w:space="0" w:color="auto"/>
      </w:divBdr>
    </w:div>
    <w:div w:id="1836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063B-931D-4A60-94AA-AD561F1C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8799</Words>
  <Characters>42326</Characters>
  <Application>Microsoft Office Word</Application>
  <DocSecurity>0</DocSecurity>
  <Lines>1763</Lines>
  <Paragraphs>881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50244</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2004 - 02-g0-00</dc:title>
  <dc:subject/>
  <dc:creator/>
  <cp:keywords/>
  <dc:description/>
  <cp:lastModifiedBy>Master Repository Process</cp:lastModifiedBy>
  <cp:revision>4</cp:revision>
  <cp:lastPrinted>2009-05-12T01:47:00Z</cp:lastPrinted>
  <dcterms:created xsi:type="dcterms:W3CDTF">2023-05-18T22:12:00Z</dcterms:created>
  <dcterms:modified xsi:type="dcterms:W3CDTF">2023-05-18T22:12:00Z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AsAtDate">
    <vt:lpwstr>19 May 2023</vt:lpwstr>
  </property>
  <property fmtid="{D5CDD505-2E9C-101B-9397-08002B2CF9AE}" pid="8" name="Suffix">
    <vt:lpwstr>02-g0-00</vt:lpwstr>
  </property>
  <property fmtid="{D5CDD505-2E9C-101B-9397-08002B2CF9AE}" pid="9" name="CommencementDate">
    <vt:lpwstr>20230519</vt:lpwstr>
  </property>
</Properties>
</file>