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_Toc137724819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_Toc137724820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_Toc137724821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_Toc137724822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_Toc137724823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_Toc137724824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_Toc137724825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_Toc137724826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_Toc137724827 \h </w:instrText>
      </w:r>
      <w:r>
        <w:fldChar w:fldCharType="separate"/>
      </w:r>
      <w:r>
        <w:t>7</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_Toc137724828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_Toc137724829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_Toc137724831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_Toc137724832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_Toc137724833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First Home Owner Grant Act 2000</w:t>
      </w:r>
    </w:p>
    <w:p>
      <w:pPr>
        <w:pStyle w:val="NameofActReg"/>
      </w:pPr>
      <w:r>
        <w:t>First Home Owner Grant Regulations 2000</w:t>
      </w:r>
    </w:p>
    <w:p>
      <w:pPr>
        <w:pStyle w:val="Heading5"/>
      </w:pPr>
      <w:bookmarkStart w:id="3" w:name="_Toc137724819"/>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137724820"/>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137724821"/>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137724822"/>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w:t>
      </w:r>
      <w:r>
        <w:lastRenderedPageBreak/>
        <w:t xml:space="preserve">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137724823"/>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lastRenderedPageBreak/>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137724824"/>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titles scheme registered under the </w:t>
      </w:r>
      <w:r>
        <w:rPr>
          <w:i/>
        </w:rPr>
        <w:t>Strata Titles Act 1985</w:t>
      </w:r>
      <w:r>
        <w:t>; and</w:t>
      </w:r>
    </w:p>
    <w:p>
      <w:pPr>
        <w:pStyle w:val="Indenta"/>
      </w:pPr>
      <w:r>
        <w:lastRenderedPageBreak/>
        <w:tab/>
        <w:t>(b)</w:t>
      </w:r>
      <w:r>
        <w:tab/>
        <w:t>the strata titles scheme is, or will be, registered as soon as practicable after the eligible transaction is completed; and</w:t>
      </w:r>
    </w:p>
    <w:p>
      <w:pPr>
        <w:pStyle w:val="Indenta"/>
      </w:pPr>
      <w:r>
        <w:tab/>
        <w:t>(c)</w:t>
      </w:r>
      <w:r>
        <w:tab/>
        <w:t>the person is not, or will not become, as a result of the registration of the strata titles scheme,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lastRenderedPageBreak/>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lastRenderedPageBreak/>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 SL 2020/206 r. 11.]</w:t>
      </w:r>
    </w:p>
    <w:p>
      <w:pPr>
        <w:pStyle w:val="Heading5"/>
      </w:pPr>
      <w:bookmarkStart w:id="9" w:name="_Toc137724825"/>
      <w:r>
        <w:rPr>
          <w:rStyle w:val="CharSectno"/>
        </w:rPr>
        <w:t>8</w:t>
      </w:r>
      <w:r>
        <w:t>.</w:t>
      </w:r>
      <w:r>
        <w:tab/>
        <w:t>Prescribed rates of interest (s. 30, 32 and 52)</w:t>
      </w:r>
      <w:bookmarkEnd w:id="9"/>
    </w:p>
    <w:p>
      <w:pPr>
        <w:pStyle w:val="Subsection"/>
      </w:pPr>
      <w:r>
        <w:tab/>
        <w:t>(1)</w:t>
      </w:r>
      <w:r>
        <w:tab/>
        <w:t>The rate of interest for the purposes of section 30(3), (4)(d), (5)(c) and (6)(c) of the Act is 0.2% per annum.</w:t>
      </w:r>
    </w:p>
    <w:p>
      <w:pPr>
        <w:pStyle w:val="Subsection"/>
      </w:pPr>
      <w:r>
        <w:tab/>
        <w:t>(2)</w:t>
      </w:r>
      <w:r>
        <w:tab/>
        <w:t>The rate of interest for the purposes of section 32(2), (3)(d), (4)(c) and (5)(c) of the Act is 0.2% per annum.</w:t>
      </w:r>
    </w:p>
    <w:p>
      <w:pPr>
        <w:pStyle w:val="Subsection"/>
      </w:pPr>
      <w:r>
        <w:tab/>
        <w:t>(3)</w:t>
      </w:r>
      <w:r>
        <w:tab/>
        <w:t>The rate of interest for the purposes of section 52(3)(a) and (7) of the Act is 8.2% per annum.</w:t>
      </w:r>
    </w:p>
    <w:p>
      <w:pPr>
        <w:pStyle w:val="Footnotesection"/>
      </w:pPr>
      <w:r>
        <w:tab/>
        <w:t>[Regulation 8 inserted: Gazette 26 Jun 2015 p. 2278; amended: Gazette 11 Dec 2015 p. 4961; 29 Dec 2017 p. 6085; 28 Jun  2019 p. 2493; SL 2020/71 r. 4.]</w:t>
      </w:r>
    </w:p>
    <w:p>
      <w:pPr>
        <w:pStyle w:val="Heading5"/>
      </w:pPr>
      <w:bookmarkStart w:id="10" w:name="_Toc137724826"/>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lastRenderedPageBreak/>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137724827"/>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lastRenderedPageBreak/>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137724828"/>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lastRenderedPageBreak/>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137724829"/>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lastRenderedPageBreak/>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lastRenderedPageBreak/>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4" w:name="_Toc137564578"/>
      <w:bookmarkStart w:id="15" w:name="_Toc137564824"/>
      <w:bookmarkStart w:id="16" w:name="_Toc137724830"/>
      <w:r>
        <w:lastRenderedPageBreak/>
        <w:t>Notes</w:t>
      </w:r>
      <w:bookmarkEnd w:id="14"/>
      <w:bookmarkEnd w:id="15"/>
      <w:bookmarkEnd w:id="16"/>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 w:name="_Toc137724831"/>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lastRenderedPageBreak/>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trPr>
        <w:tc>
          <w:tcPr>
            <w:tcW w:w="3119" w:type="dxa"/>
            <w:tcBorders>
              <w:bottom w:val="single" w:sz="4" w:space="0" w:color="auto"/>
            </w:tcBorders>
          </w:tcPr>
          <w:p>
            <w:pPr>
              <w:pStyle w:val="nTable"/>
              <w:spacing w:after="40"/>
            </w:pPr>
            <w:r>
              <w:rPr>
                <w:i/>
              </w:rPr>
              <w:t>Finance Regulations Amendment Regulations 2020</w:t>
            </w:r>
            <w:r>
              <w:t xml:space="preserve"> Pt. 4</w:t>
            </w:r>
          </w:p>
        </w:tc>
        <w:tc>
          <w:tcPr>
            <w:tcW w:w="1276" w:type="dxa"/>
            <w:tcBorders>
              <w:bottom w:val="single" w:sz="4" w:space="0" w:color="auto"/>
            </w:tcBorders>
          </w:tcPr>
          <w:p>
            <w:pPr>
              <w:pStyle w:val="nTable"/>
              <w:spacing w:after="40"/>
            </w:pPr>
            <w:r>
              <w:t>SL 2020/206 23 Oct 2020</w:t>
            </w:r>
          </w:p>
        </w:tc>
        <w:tc>
          <w:tcPr>
            <w:tcW w:w="2693" w:type="dxa"/>
            <w:tcBorders>
              <w:bottom w:val="single" w:sz="4" w:space="0" w:color="auto"/>
            </w:tcBorders>
          </w:tcPr>
          <w:p>
            <w:pPr>
              <w:pStyle w:val="nTable"/>
              <w:spacing w:after="40"/>
            </w:pPr>
            <w:r>
              <w:t>24 Oct 2020 (see r. 2(b))</w:t>
            </w:r>
          </w:p>
        </w:tc>
      </w:tr>
    </w:tbl>
    <w:p>
      <w:pPr>
        <w:pStyle w:val="nHeading3"/>
      </w:pPr>
      <w:bookmarkStart w:id="18" w:name="_Toc137724832"/>
      <w:r>
        <w:lastRenderedPageBreak/>
        <w:t>Uncommenced provisions table</w:t>
      </w:r>
      <w:bookmarkEnd w:id="1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Finance Regulations Amendment (Interest Rates) Regulations 2023</w:t>
            </w:r>
            <w:r>
              <w:t xml:space="preserve"> Pt. 2</w:t>
            </w:r>
          </w:p>
        </w:tc>
        <w:tc>
          <w:tcPr>
            <w:tcW w:w="1276" w:type="dxa"/>
          </w:tcPr>
          <w:p>
            <w:pPr>
              <w:pStyle w:val="nTable"/>
              <w:spacing w:after="40"/>
            </w:pPr>
            <w:r>
              <w:t>SL 2023/70 16 Jun 2023</w:t>
            </w:r>
          </w:p>
        </w:tc>
        <w:tc>
          <w:tcPr>
            <w:tcW w:w="2693" w:type="dxa"/>
          </w:tcPr>
          <w:p>
            <w:pPr>
              <w:pStyle w:val="nTable"/>
              <w:spacing w:after="40"/>
            </w:pPr>
            <w:r>
              <w:t>1 Jul 2023 (see r. 2(b))</w:t>
            </w:r>
          </w:p>
        </w:tc>
      </w:tr>
    </w:tbl>
    <w:p>
      <w:pPr>
        <w:pStyle w:val="nHeading3"/>
      </w:pPr>
      <w:bookmarkStart w:id="19" w:name="_Toc137724833"/>
      <w:r>
        <w:t>Other notes</w:t>
      </w:r>
      <w:bookmarkEnd w:id="19"/>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21" w:name="_Toc137564581"/>
      <w:bookmarkStart w:id="22" w:name="_Toc137564828"/>
      <w:bookmarkStart w:id="23" w:name="_Toc137724834"/>
      <w:r>
        <w:rPr>
          <w:sz w:val="28"/>
        </w:rPr>
        <w:lastRenderedPageBreak/>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11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 w:name="WAFER_20230613160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119_GUID" w:val="00cfe5d3-a91e-4f79-bc3b-6c5d40784d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EF85A9E-22D3-4F71-A0A5-78795CA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3653</Words>
  <Characters>17208</Characters>
  <Application>Microsoft Office Word</Application>
  <DocSecurity>0</DocSecurity>
  <Lines>555</Lines>
  <Paragraphs>306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2000 - 03-g0-00</dc:title>
  <dc:subject/>
  <dc:creator/>
  <cp:keywords/>
  <dc:description/>
  <cp:lastModifiedBy>Master Repository Process</cp:lastModifiedBy>
  <cp:revision>4</cp:revision>
  <cp:lastPrinted>2019-01-18T03:31:00Z</cp:lastPrinted>
  <dcterms:created xsi:type="dcterms:W3CDTF">2023-06-15T23:23:00Z</dcterms:created>
  <dcterms:modified xsi:type="dcterms:W3CDTF">2023-06-15T23:23:00Z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16 Jun 2023</vt:lpwstr>
  </property>
  <property fmtid="{D5CDD505-2E9C-101B-9397-08002B2CF9AE}" pid="8" name="Suffix">
    <vt:lpwstr>03-g0-00</vt:lpwstr>
  </property>
  <property fmtid="{D5CDD505-2E9C-101B-9397-08002B2CF9AE}" pid="9" name="CommencementDate">
    <vt:lpwstr>20230616</vt:lpwstr>
  </property>
</Properties>
</file>