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_Toc155077546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_Toc155077547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_Toc155077548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_Toc155077549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_Toc155077550 \h </w:instrText>
      </w:r>
      <w:r>
        <w:fldChar w:fldCharType="separate"/>
      </w:r>
      <w:r>
        <w:t>3</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_Toc155077551 \h </w:instrText>
      </w:r>
      <w:r>
        <w:fldChar w:fldCharType="separate"/>
      </w:r>
      <w:r>
        <w:t>4</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_Toc155077552 \h </w:instrText>
      </w:r>
      <w:r>
        <w:fldChar w:fldCharType="separate"/>
      </w:r>
      <w:r>
        <w:t>4</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_Toc155077553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_Toc155077554 \h </w:instrText>
      </w:r>
      <w:r>
        <w:fldChar w:fldCharType="separate"/>
      </w:r>
      <w:r>
        <w:t>5</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_Toc155077555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_Toc155077556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Schedule 1 — Supply charges</w:t>
      </w:r>
    </w:p>
    <w:p>
      <w:pPr>
        <w:pStyle w:val="TOC4"/>
        <w:tabs>
          <w:tab w:val="right" w:pos="7077"/>
        </w:tabs>
        <w:rPr>
          <w:rFonts w:asciiTheme="minorHAnsi" w:eastAsiaTheme="minorEastAsia" w:hAnsiTheme="minorHAnsi" w:cstheme="minorBidi"/>
          <w:b w:val="0"/>
          <w:szCs w:val="22"/>
        </w:rPr>
      </w:pPr>
      <w:r>
        <w:t>Division 1 — Tariffs other than MyPower tariffs</w:t>
      </w:r>
    </w:p>
    <w:p>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_Toc155077559 \h </w:instrText>
      </w:r>
      <w:r>
        <w:fldChar w:fldCharType="separate"/>
      </w:r>
      <w:r>
        <w:t>7</w:t>
      </w:r>
      <w:r>
        <w:fldChar w:fldCharType="end"/>
      </w:r>
    </w:p>
    <w:p>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_Toc155077560 \h </w:instrText>
      </w:r>
      <w:r>
        <w:fldChar w:fldCharType="separate"/>
      </w:r>
      <w:r>
        <w:t>7</w:t>
      </w:r>
      <w:r>
        <w:fldChar w:fldCharType="end"/>
      </w:r>
    </w:p>
    <w:p>
      <w:pPr>
        <w:pStyle w:val="TOC8"/>
        <w:rPr>
          <w:rFonts w:asciiTheme="minorHAnsi" w:eastAsiaTheme="minorEastAsia" w:hAnsiTheme="minorHAnsi" w:cstheme="minorBidi"/>
          <w:szCs w:val="22"/>
        </w:rPr>
      </w:pPr>
      <w:r>
        <w:t>3.</w:t>
      </w:r>
      <w:r>
        <w:tab/>
        <w:t>Tariff A2 (residential tariff)</w:t>
      </w:r>
      <w:r>
        <w:tab/>
      </w:r>
      <w:r>
        <w:fldChar w:fldCharType="begin"/>
      </w:r>
      <w:r>
        <w:instrText xml:space="preserve"> PAGEREF _Toc155077561 \h </w:instrText>
      </w:r>
      <w:r>
        <w:fldChar w:fldCharType="separate"/>
      </w:r>
      <w:r>
        <w:t>8</w:t>
      </w:r>
      <w:r>
        <w:fldChar w:fldCharType="end"/>
      </w:r>
    </w:p>
    <w:p>
      <w:pPr>
        <w:pStyle w:val="TOC8"/>
        <w:rPr>
          <w:rFonts w:asciiTheme="minorHAnsi" w:eastAsiaTheme="minorEastAsia" w:hAnsiTheme="minorHAnsi" w:cstheme="minorBidi"/>
          <w:szCs w:val="22"/>
        </w:rPr>
      </w:pPr>
      <w:r>
        <w:t>4.</w:t>
      </w:r>
      <w:r>
        <w:tab/>
        <w:t>Tariff C2 (special community service tariff)</w:t>
      </w:r>
      <w:r>
        <w:tab/>
      </w:r>
      <w:r>
        <w:fldChar w:fldCharType="begin"/>
      </w:r>
      <w:r>
        <w:instrText xml:space="preserve"> PAGEREF _Toc155077562 \h </w:instrText>
      </w:r>
      <w:r>
        <w:fldChar w:fldCharType="separate"/>
      </w:r>
      <w:r>
        <w:t>8</w:t>
      </w:r>
      <w:r>
        <w:fldChar w:fldCharType="end"/>
      </w:r>
    </w:p>
    <w:p>
      <w:pPr>
        <w:pStyle w:val="TOC8"/>
        <w:rPr>
          <w:rFonts w:asciiTheme="minorHAnsi" w:eastAsiaTheme="minorEastAsia" w:hAnsiTheme="minorHAnsi" w:cstheme="minorBidi"/>
          <w:szCs w:val="22"/>
        </w:rPr>
      </w:pPr>
      <w:r>
        <w:t>5.</w:t>
      </w:r>
      <w:r>
        <w:tab/>
        <w:t>Tariff D2 (special tariff for certain premises)</w:t>
      </w:r>
      <w:r>
        <w:tab/>
      </w:r>
      <w:r>
        <w:fldChar w:fldCharType="begin"/>
      </w:r>
      <w:r>
        <w:instrText xml:space="preserve"> PAGEREF _Toc155077563 \h </w:instrText>
      </w:r>
      <w:r>
        <w:fldChar w:fldCharType="separate"/>
      </w:r>
      <w:r>
        <w:t>9</w:t>
      </w:r>
      <w:r>
        <w:fldChar w:fldCharType="end"/>
      </w:r>
    </w:p>
    <w:p>
      <w:pPr>
        <w:pStyle w:val="TOC8"/>
        <w:rPr>
          <w:rFonts w:asciiTheme="minorHAnsi" w:eastAsiaTheme="minorEastAsia" w:hAnsiTheme="minorHAnsi" w:cstheme="minorBidi"/>
          <w:szCs w:val="22"/>
        </w:rPr>
      </w:pPr>
      <w:r>
        <w:t>6.</w:t>
      </w:r>
      <w:r>
        <w:tab/>
        <w:t>Tariff K2 (general supply with residential tariff)</w:t>
      </w:r>
      <w:r>
        <w:tab/>
      </w:r>
      <w:r>
        <w:fldChar w:fldCharType="begin"/>
      </w:r>
      <w:r>
        <w:instrText xml:space="preserve"> PAGEREF _Toc155077564 \h </w:instrText>
      </w:r>
      <w:r>
        <w:fldChar w:fldCharType="separate"/>
      </w:r>
      <w:r>
        <w:t>10</w:t>
      </w:r>
      <w:r>
        <w:fldChar w:fldCharType="end"/>
      </w:r>
    </w:p>
    <w:p>
      <w:pPr>
        <w:pStyle w:val="TOC4"/>
        <w:tabs>
          <w:tab w:val="right" w:pos="7077"/>
        </w:tabs>
        <w:rPr>
          <w:rFonts w:asciiTheme="minorHAnsi" w:eastAsiaTheme="minorEastAsia" w:hAnsiTheme="minorHAnsi" w:cstheme="minorBidi"/>
          <w:b w:val="0"/>
          <w:szCs w:val="22"/>
        </w:rPr>
      </w:pPr>
      <w:r>
        <w:t>Division 2 — MyPower tariffs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_Toc155077566 \h </w:instrText>
      </w:r>
      <w:r>
        <w:fldChar w:fldCharType="separate"/>
      </w:r>
      <w:r>
        <w:t>10</w:t>
      </w:r>
      <w:r>
        <w:fldChar w:fldCharType="end"/>
      </w:r>
    </w:p>
    <w:p>
      <w:pPr>
        <w:pStyle w:val="TOC8"/>
        <w:rPr>
          <w:rFonts w:asciiTheme="minorHAnsi" w:eastAsiaTheme="minorEastAsia" w:hAnsiTheme="minorHAnsi" w:cstheme="minorBidi"/>
          <w:szCs w:val="22"/>
        </w:rPr>
      </w:pPr>
      <w:r>
        <w:t>8.</w:t>
      </w:r>
      <w:r>
        <w:tab/>
        <w:t>MyPower residential tariffs</w:t>
      </w:r>
      <w:r>
        <w:tab/>
      </w:r>
      <w:r>
        <w:fldChar w:fldCharType="begin"/>
      </w:r>
      <w:r>
        <w:instrText xml:space="preserve"> PAGEREF _Toc155077567 \h </w:instrText>
      </w:r>
      <w:r>
        <w:fldChar w:fldCharType="separate"/>
      </w:r>
      <w:r>
        <w:t>11</w:t>
      </w:r>
      <w:r>
        <w:fldChar w:fldCharType="end"/>
      </w:r>
    </w:p>
    <w:p>
      <w:pPr>
        <w:pStyle w:val="TOC8"/>
        <w:rPr>
          <w:rFonts w:asciiTheme="minorHAnsi" w:eastAsiaTheme="minorEastAsia" w:hAnsiTheme="minorHAnsi" w:cstheme="minorBidi"/>
          <w:szCs w:val="22"/>
        </w:rPr>
      </w:pPr>
      <w:r>
        <w:t>9.</w:t>
      </w:r>
      <w:r>
        <w:tab/>
        <w:t>MyPower non</w:t>
      </w:r>
      <w:r>
        <w:noBreakHyphen/>
        <w:t>residential tariffs</w:t>
      </w:r>
      <w:r>
        <w:tab/>
      </w:r>
      <w:r>
        <w:fldChar w:fldCharType="begin"/>
      </w:r>
      <w:r>
        <w:instrText xml:space="preserve"> PAGEREF _Toc155077568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10.</w:t>
      </w:r>
      <w:r>
        <w:tab/>
        <w:t>Eligibility criteria for MyPower tariffs</w:t>
      </w:r>
      <w:r>
        <w:tab/>
      </w:r>
      <w:r>
        <w:fldChar w:fldCharType="begin"/>
      </w:r>
      <w:r>
        <w:instrText xml:space="preserve"> PAGEREF _Toc155077569 \h </w:instrText>
      </w:r>
      <w:r>
        <w:fldChar w:fldCharType="separate"/>
      </w:r>
      <w:r>
        <w:t>17</w:t>
      </w:r>
      <w:r>
        <w:fldChar w:fldCharType="end"/>
      </w:r>
    </w:p>
    <w:p>
      <w:pPr>
        <w:pStyle w:val="TOC2"/>
        <w:tabs>
          <w:tab w:val="right" w:pos="7077"/>
        </w:tabs>
        <w:rPr>
          <w:rFonts w:asciiTheme="minorHAnsi" w:eastAsiaTheme="minorEastAsia" w:hAnsiTheme="minorHAnsi" w:cstheme="minorBidi"/>
          <w:b w:val="0"/>
          <w:sz w:val="22"/>
          <w:szCs w:val="22"/>
        </w:rPr>
      </w:pPr>
      <w:r>
        <w:t>Schedule 2 — Unmetered supply</w:t>
      </w:r>
    </w:p>
    <w:p>
      <w:pPr>
        <w:pStyle w:val="TOC4"/>
        <w:tabs>
          <w:tab w:val="right" w:pos="7077"/>
        </w:tabs>
        <w:rPr>
          <w:rFonts w:asciiTheme="minorHAnsi" w:eastAsiaTheme="minorEastAsia" w:hAnsiTheme="minorHAnsi" w:cstheme="minorBidi"/>
          <w:b w:val="0"/>
          <w:szCs w:val="22"/>
        </w:rPr>
      </w:pPr>
      <w:r>
        <w:t>Division 1 — Street lighting</w:t>
      </w:r>
    </w:p>
    <w:p>
      <w:pPr>
        <w:pStyle w:val="TOC4"/>
        <w:tabs>
          <w:tab w:val="righ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_Toc155077573 \h </w:instrText>
      </w:r>
      <w:r>
        <w:fldChar w:fldCharType="separate"/>
      </w:r>
      <w:r>
        <w:t>20</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_Toc155077574 \h </w:instrText>
      </w:r>
      <w:r>
        <w:fldChar w:fldCharType="separate"/>
      </w:r>
      <w:r>
        <w:t>20</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_Toc155077575 \h </w:instrText>
      </w:r>
      <w:r>
        <w:fldChar w:fldCharType="separate"/>
      </w:r>
      <w:r>
        <w:t>20</w:t>
      </w:r>
      <w:r>
        <w:fldChar w:fldCharType="end"/>
      </w:r>
    </w:p>
    <w:p>
      <w:pPr>
        <w:pStyle w:val="TOC2"/>
        <w:tabs>
          <w:tab w:val="right" w:pos="7077"/>
        </w:tabs>
        <w:rPr>
          <w:rFonts w:asciiTheme="minorHAnsi" w:eastAsiaTheme="minorEastAsia" w:hAnsiTheme="minorHAnsi" w:cstheme="minorBidi"/>
          <w:b w:val="0"/>
          <w:sz w:val="22"/>
          <w:szCs w:val="22"/>
        </w:rPr>
      </w:pPr>
      <w:r>
        <w:t>Schedule 3 — Meter rentals</w:t>
      </w:r>
    </w:p>
    <w:p>
      <w:pPr>
        <w:pStyle w:val="TOC2"/>
        <w:tabs>
          <w:tab w:val="right" w:pos="7077"/>
        </w:tabs>
        <w:rPr>
          <w:rFonts w:asciiTheme="minorHAnsi" w:eastAsiaTheme="minorEastAsia" w:hAnsiTheme="minorHAnsi" w:cstheme="minorBidi"/>
          <w:b w:val="0"/>
          <w:sz w:val="22"/>
          <w:szCs w:val="22"/>
        </w:rPr>
      </w:pPr>
      <w:r>
        <w:t>Schedule 4 — Fees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_Toc155077579 \h </w:instrText>
      </w:r>
      <w:r>
        <w:fldChar w:fldCharType="separate"/>
      </w:r>
      <w:r>
        <w:t>24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Energy Operators (Powers) Act 1979</w:t>
      </w:r>
    </w:p>
    <w:p>
      <w:pPr>
        <w:pStyle w:val="NameofActReg"/>
      </w:pPr>
      <w:r>
        <w:t>Energy Operators (Regional Power Corporation) (Charges) By</w:t>
      </w:r>
      <w:r>
        <w:noBreakHyphen/>
        <w:t>laws 2006</w:t>
      </w:r>
    </w:p>
    <w:p>
      <w:pPr>
        <w:pStyle w:val="Heading5"/>
      </w:pPr>
      <w:bookmarkStart w:id="3" w:name="_Toc155077546"/>
      <w:r>
        <w:rPr>
          <w:rStyle w:val="CharSectno"/>
        </w:rPr>
        <w:t>1</w:t>
      </w:r>
      <w:r>
        <w:t>.</w:t>
      </w:r>
      <w:r>
        <w:tab/>
        <w:t>Citation</w:t>
      </w:r>
      <w:bookmarkEnd w:id="3"/>
    </w:p>
    <w:p>
      <w:pPr>
        <w:pStyle w:val="Subsection"/>
      </w:pPr>
      <w:r>
        <w:tab/>
      </w:r>
      <w:r>
        <w:tab/>
        <w:t>These by</w:t>
      </w:r>
      <w:r>
        <w:noBreakHyphen/>
        <w:t xml:space="preserve">laws are the </w:t>
      </w:r>
      <w:r>
        <w:rPr>
          <w:i/>
        </w:rPr>
        <w:t>Energy Operators (Regional Power Corporation) (Charges) By</w:t>
      </w:r>
      <w:r>
        <w:rPr>
          <w:i/>
        </w:rPr>
        <w:noBreakHyphen/>
        <w:t>laws 2006</w:t>
      </w:r>
      <w:r>
        <w:t>.</w:t>
      </w:r>
    </w:p>
    <w:p>
      <w:pPr>
        <w:pStyle w:val="Heading5"/>
      </w:pPr>
      <w:bookmarkStart w:id="4" w:name="_Toc155077547"/>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155077548"/>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lastRenderedPageBreak/>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6" w:name="_Toc155077549"/>
      <w:r>
        <w:rPr>
          <w:rStyle w:val="CharSectno"/>
        </w:rPr>
        <w:t>4</w:t>
      </w:r>
      <w:r>
        <w:t>.</w:t>
      </w:r>
      <w:r>
        <w:tab/>
      </w:r>
      <w:r>
        <w:rPr>
          <w:snapToGrid w:val="0"/>
        </w:rPr>
        <w:t>Electricity charges</w:t>
      </w:r>
      <w:bookmarkEnd w:id="6"/>
    </w:p>
    <w:p>
      <w:pPr>
        <w:pStyle w:val="Subsection"/>
      </w:pPr>
      <w:r>
        <w:tab/>
        <w:t>(1A)</w:t>
      </w:r>
      <w:r>
        <w:tab/>
        <w:t xml:space="preserve">In this </w:t>
      </w:r>
      <w:r>
        <w:rPr>
          <w:snapToGrid w:val="0"/>
        </w:rPr>
        <w:t>by</w:t>
      </w:r>
      <w:r>
        <w:rPr>
          <w:snapToGrid w:val="0"/>
        </w:rPr>
        <w:noBreakHyphen/>
        <w:t>law</w:t>
      </w:r>
      <w:r>
        <w:t xml:space="preserve"> — </w:t>
      </w:r>
    </w:p>
    <w:p>
      <w:pPr>
        <w:pStyle w:val="Defstart"/>
      </w:pPr>
      <w:r>
        <w:tab/>
      </w:r>
      <w:r>
        <w:rPr>
          <w:rStyle w:val="CharDefText"/>
        </w:rPr>
        <w:t>government consumer</w:t>
      </w:r>
      <w:r>
        <w:t xml:space="preserve"> — </w:t>
      </w:r>
    </w:p>
    <w:p>
      <w:pPr>
        <w:pStyle w:val="Defpara"/>
      </w:pPr>
      <w:r>
        <w:tab/>
        <w:t>(a)</w:t>
      </w:r>
      <w:r>
        <w:tab/>
        <w:t>means a Commonwealth, State or foreign government department, instrumentality, agency or trading concern; but</w:t>
      </w:r>
    </w:p>
    <w:p>
      <w:pPr>
        <w:pStyle w:val="Defpara"/>
      </w:pPr>
      <w:r>
        <w:tab/>
        <w:t>(b)</w:t>
      </w:r>
      <w:r>
        <w:tab/>
        <w:t xml:space="preserve">does not include — </w:t>
      </w:r>
    </w:p>
    <w:p>
      <w:pPr>
        <w:pStyle w:val="Defsubpara"/>
      </w:pPr>
      <w:r>
        <w:tab/>
        <w:t>(i)</w:t>
      </w:r>
      <w:r>
        <w:tab/>
        <w:t>a local government, regional local government or regional subsidiary; or</w:t>
      </w:r>
    </w:p>
    <w:p>
      <w:pPr>
        <w:pStyle w:val="Defsubpara"/>
      </w:pPr>
      <w:r>
        <w:tab/>
        <w:t>(ii)</w:t>
      </w:r>
      <w:r>
        <w:tab/>
        <w:t xml:space="preserve">an incorporated company or any other body corporate that a local government forms, takes part in forming or acquires a controlling interest in in compliance with the </w:t>
      </w:r>
      <w:r>
        <w:rPr>
          <w:i/>
        </w:rPr>
        <w:t>Local Government Act 1995</w:t>
      </w:r>
      <w:r>
        <w:t xml:space="preserve"> section 3.60;</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lastRenderedPageBreak/>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integrated system or the North West interconnected system to a government consumer.</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 SL 2022/71 bl. 4.]</w:t>
      </w:r>
    </w:p>
    <w:p>
      <w:pPr>
        <w:pStyle w:val="Heading5"/>
      </w:pPr>
      <w:bookmarkStart w:id="7" w:name="_Toc155077550"/>
      <w:r>
        <w:rPr>
          <w:rStyle w:val="CharSectno"/>
        </w:rPr>
        <w:t>5</w:t>
      </w:r>
      <w:r>
        <w:t>.</w:t>
      </w:r>
      <w:r>
        <w:tab/>
        <w:t>Application of residential tariffs</w:t>
      </w:r>
      <w:bookmarkEnd w:id="7"/>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8" w:name="_Toc155077551"/>
      <w:r>
        <w:rPr>
          <w:rStyle w:val="CharSectno"/>
        </w:rPr>
        <w:lastRenderedPageBreak/>
        <w:t>6</w:t>
      </w:r>
      <w:r>
        <w:t>.</w:t>
      </w:r>
      <w:r>
        <w:tab/>
        <w:t>Meter rental</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keepNext/>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keepNext/>
        <w:rPr>
          <w:snapToGrid w:val="0"/>
        </w:rPr>
      </w:pPr>
      <w:r>
        <w:rPr>
          <w:snapToGrid w:val="0"/>
        </w:rPr>
        <w:tab/>
        <w:t>(c)</w:t>
      </w:r>
      <w:r>
        <w:rPr>
          <w:snapToGrid w:val="0"/>
        </w:rPr>
        <w:tab/>
        <w:t xml:space="preserve">the master account is supplied under </w:t>
      </w:r>
      <w:r>
        <w:t>a residential</w:t>
      </w:r>
      <w:r>
        <w:rPr>
          <w:snapToGrid w:val="0"/>
        </w:rPr>
        <w:t xml:space="preserve"> tariff.</w:t>
      </w:r>
    </w:p>
    <w:p>
      <w:pPr>
        <w:pStyle w:val="Footnotesection"/>
      </w:pPr>
      <w:r>
        <w:tab/>
        <w:t>[By</w:t>
      </w:r>
      <w:r>
        <w:noBreakHyphen/>
        <w:t>law 6 amended: SL 2022/71 bl. 5.]</w:t>
      </w:r>
    </w:p>
    <w:p>
      <w:pPr>
        <w:pStyle w:val="Heading5"/>
      </w:pPr>
      <w:bookmarkStart w:id="9" w:name="_Toc155077552"/>
      <w:r>
        <w:rPr>
          <w:rStyle w:val="CharSectno"/>
        </w:rPr>
        <w:t>7</w:t>
      </w:r>
      <w:r>
        <w:t>.</w:t>
      </w:r>
      <w:r>
        <w:tab/>
        <w:t>Fees</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155077553"/>
      <w:r>
        <w:rPr>
          <w:rStyle w:val="CharSectno"/>
        </w:rPr>
        <w:t>8</w:t>
      </w:r>
      <w:r>
        <w:t>.</w:t>
      </w:r>
      <w:r>
        <w:tab/>
        <w:t>Payment</w:t>
      </w:r>
      <w:bookmarkEnd w:id="10"/>
    </w:p>
    <w:p>
      <w:pPr>
        <w:pStyle w:val="Subsection"/>
        <w:keepNext/>
      </w:pPr>
      <w:r>
        <w:tab/>
        <w:t>(1)</w:t>
      </w:r>
      <w:r>
        <w:tab/>
        <w:t>In this by</w:t>
      </w:r>
      <w:r>
        <w:noBreakHyphen/>
        <w:t xml:space="preserve">law — </w:t>
      </w:r>
    </w:p>
    <w:p>
      <w:pPr>
        <w:pStyle w:val="Defstart"/>
        <w:keepNex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 xml:space="preserve">for each day that the charge remains unpaid at a rate that is </w:t>
      </w:r>
      <w:r>
        <w:lastRenderedPageBreak/>
        <w:t>equal to the RBA cash rate as at that day increased by 6 percentage points.</w:t>
      </w:r>
    </w:p>
    <w:p>
      <w:pPr>
        <w:pStyle w:val="Subsection"/>
        <w:keepNext/>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11" w:name="_Toc155077554"/>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keepNext/>
      </w:pPr>
      <w:r>
        <w:tab/>
        <w:t>[(2), (3)</w:t>
      </w:r>
      <w:r>
        <w:tab/>
        <w:t>deleted]</w:t>
      </w:r>
    </w:p>
    <w:p>
      <w:pPr>
        <w:pStyle w:val="Footnotesection"/>
      </w:pPr>
      <w:r>
        <w:tab/>
        <w:t>[By-law 10 amended: Gazette 27 Jun 2014 p. 2320; 21 Jun 2019 p. 2128.]</w:t>
      </w:r>
    </w:p>
    <w:p>
      <w:pPr>
        <w:pStyle w:val="Heading5"/>
      </w:pPr>
      <w:bookmarkStart w:id="12" w:name="_Toc155077555"/>
      <w:r>
        <w:rPr>
          <w:rStyle w:val="CharSectno"/>
        </w:rPr>
        <w:t>11</w:t>
      </w:r>
      <w:r>
        <w:t>.</w:t>
      </w:r>
      <w:r>
        <w:tab/>
        <w:t>Changes in rates</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155077556"/>
      <w:r>
        <w:rPr>
          <w:rStyle w:val="CharSectno"/>
        </w:rPr>
        <w:t>12</w:t>
      </w:r>
      <w:r>
        <w:t>.</w:t>
      </w:r>
      <w:r>
        <w:tab/>
        <w:t>Prescribed rate of interest for s. 62(16) of Act</w:t>
      </w:r>
      <w:bookmarkEnd w:id="13"/>
    </w:p>
    <w:p>
      <w:pPr>
        <w:pStyle w:val="Subsection"/>
        <w:keepNext/>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keepNext/>
      </w:pPr>
      <w:r>
        <w:lastRenderedPageBreak/>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keepNext/>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4" w:name="_Toc155077557"/>
      <w:r>
        <w:rPr>
          <w:rStyle w:val="CharSchNo"/>
        </w:rPr>
        <w:lastRenderedPageBreak/>
        <w:t>Schedule 1</w:t>
      </w:r>
      <w:r>
        <w:t> — </w:t>
      </w:r>
      <w:r>
        <w:rPr>
          <w:rStyle w:val="CharSchText"/>
        </w:rPr>
        <w:t>Supply charges</w:t>
      </w:r>
      <w:bookmarkEnd w:id="14"/>
    </w:p>
    <w:p>
      <w:pPr>
        <w:pStyle w:val="yShoulderClause"/>
      </w:pPr>
      <w:r>
        <w:t>[bl. 3, 4(1) and 10(1)]</w:t>
      </w:r>
    </w:p>
    <w:p>
      <w:pPr>
        <w:pStyle w:val="yFootnoteheading"/>
      </w:pPr>
      <w:r>
        <w:tab/>
        <w:t>[Heading inserted: SL 2023/84 bl. 4.]</w:t>
      </w:r>
    </w:p>
    <w:p>
      <w:pPr>
        <w:pStyle w:val="yHeading3"/>
      </w:pPr>
      <w:bookmarkStart w:id="15" w:name="_Toc155077558"/>
      <w:r>
        <w:rPr>
          <w:rStyle w:val="CharSDivNo"/>
        </w:rPr>
        <w:t>Division 1</w:t>
      </w:r>
      <w:r>
        <w:t> — </w:t>
      </w:r>
      <w:r>
        <w:rPr>
          <w:rStyle w:val="CharSDivText"/>
        </w:rPr>
        <w:t>Tariffs other than MyPower tariffs</w:t>
      </w:r>
      <w:bookmarkEnd w:id="15"/>
    </w:p>
    <w:p>
      <w:pPr>
        <w:pStyle w:val="yFootnoteheading"/>
      </w:pPr>
      <w:r>
        <w:tab/>
        <w:t>[Heading inserted: SL 2023/84 bl. 4.]</w:t>
      </w:r>
    </w:p>
    <w:p>
      <w:pPr>
        <w:pStyle w:val="yHeading5"/>
      </w:pPr>
      <w:bookmarkStart w:id="16" w:name="_Toc155077559"/>
      <w:r>
        <w:rPr>
          <w:rStyle w:val="CharSClsNo"/>
        </w:rPr>
        <w:t>1</w:t>
      </w:r>
      <w:r>
        <w:t>.</w:t>
      </w:r>
      <w:r>
        <w:tab/>
        <w:t>Tariff L2 (general supply — low/medium voltage tariff)</w:t>
      </w:r>
      <w:bookmarkEnd w:id="16"/>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$1.9720 per day; and</w:t>
      </w:r>
    </w:p>
    <w:p>
      <w:pPr>
        <w:pStyle w:val="yIndenta"/>
      </w:pPr>
      <w:r>
        <w:tab/>
        <w:t>(b)</w:t>
      </w:r>
      <w:r>
        <w:tab/>
        <w:t xml:space="preserve">a charge for metered consumption at the rate of — </w:t>
      </w:r>
    </w:p>
    <w:p>
      <w:pPr>
        <w:pStyle w:val="yIndenti0"/>
      </w:pPr>
      <w:r>
        <w:tab/>
        <w:t>(i)</w:t>
      </w:r>
      <w:r>
        <w:tab/>
        <w:t>30.6876 cents per unit for the first 1 650 units per day; and</w:t>
      </w:r>
    </w:p>
    <w:p>
      <w:pPr>
        <w:pStyle w:val="yIndenti0"/>
      </w:pPr>
      <w:r>
        <w:tab/>
        <w:t>(ii)</w:t>
      </w:r>
      <w:r>
        <w:tab/>
        <w:t>34.5992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SL 2023/84 bl. 4.]</w:t>
      </w:r>
    </w:p>
    <w:p>
      <w:pPr>
        <w:pStyle w:val="yHeading5"/>
      </w:pPr>
      <w:bookmarkStart w:id="17" w:name="_Toc155077560"/>
      <w:r>
        <w:rPr>
          <w:rStyle w:val="CharSClsNo"/>
        </w:rPr>
        <w:t>2</w:t>
      </w:r>
      <w:r>
        <w:t>.</w:t>
      </w:r>
      <w:r>
        <w:tab/>
        <w:t>Tariff L4 (general supply — low/medium voltage tariff)</w:t>
      </w:r>
      <w:bookmarkEnd w:id="17"/>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$1.7797 per day; and</w:t>
      </w:r>
    </w:p>
    <w:p>
      <w:pPr>
        <w:pStyle w:val="yIndenta"/>
      </w:pPr>
      <w:r>
        <w:tab/>
        <w:t>(b)</w:t>
      </w:r>
      <w:r>
        <w:tab/>
        <w:t xml:space="preserve">a charge for metered consumption at the rate of — </w:t>
      </w:r>
    </w:p>
    <w:p>
      <w:pPr>
        <w:pStyle w:val="yIndenti0"/>
      </w:pPr>
      <w:r>
        <w:tab/>
        <w:t>(i)</w:t>
      </w:r>
      <w:r>
        <w:tab/>
        <w:t>36.1484</w:t>
      </w:r>
      <w:r>
        <w:rPr>
          <w:szCs w:val="22"/>
        </w:rPr>
        <w:t xml:space="preserve"> </w:t>
      </w:r>
      <w:r>
        <w:t>cents per unit for the first 1 650 units per day; and</w:t>
      </w:r>
    </w:p>
    <w:p>
      <w:pPr>
        <w:pStyle w:val="yIndenti0"/>
      </w:pPr>
      <w:r>
        <w:tab/>
        <w:t>(ii)</w:t>
      </w:r>
      <w:r>
        <w:tab/>
        <w:t>30.6731</w:t>
      </w:r>
      <w:r>
        <w:rPr>
          <w:szCs w:val="22"/>
        </w:rPr>
        <w:t xml:space="preserve"> </w:t>
      </w:r>
      <w:r>
        <w:t>cents per unit for all units exceeding 1 650 units per day.</w:t>
      </w:r>
    </w:p>
    <w:p>
      <w:pPr>
        <w:pStyle w:val="ySubsection"/>
      </w:pPr>
      <w:r>
        <w:lastRenderedPageBreak/>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SL 2023/84 bl. 4.]</w:t>
      </w:r>
    </w:p>
    <w:p>
      <w:pPr>
        <w:pStyle w:val="yHeading5"/>
      </w:pPr>
      <w:bookmarkStart w:id="18" w:name="_Toc155077561"/>
      <w:r>
        <w:rPr>
          <w:rStyle w:val="CharSClsNo"/>
        </w:rPr>
        <w:t>3</w:t>
      </w:r>
      <w:r>
        <w:t>.</w:t>
      </w:r>
      <w:r>
        <w:tab/>
        <w:t>Tariff A2 (residential tariff)</w:t>
      </w:r>
      <w:bookmarkEnd w:id="18"/>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$1.1046 per day or, for multiple dwellings supplied through 1 metered supply point, a fixed charge at the rate of —</w:t>
      </w:r>
    </w:p>
    <w:p>
      <w:pPr>
        <w:pStyle w:val="yIndenti0"/>
      </w:pPr>
      <w:r>
        <w:tab/>
        <w:t>(i)</w:t>
      </w:r>
      <w:r>
        <w:tab/>
        <w:t>$1.1046 per day for the first dwelling; and</w:t>
      </w:r>
    </w:p>
    <w:p>
      <w:pPr>
        <w:pStyle w:val="yIndenti0"/>
      </w:pPr>
      <w:r>
        <w:tab/>
        <w:t>(ii)</w:t>
      </w:r>
      <w:r>
        <w:tab/>
        <w:t>43.9179 cents per day for each additional dwelling;</w:t>
      </w:r>
    </w:p>
    <w:p>
      <w:pPr>
        <w:pStyle w:val="yIndenta"/>
      </w:pPr>
      <w:r>
        <w:tab/>
      </w:r>
      <w:r>
        <w:tab/>
        <w:t>and</w:t>
      </w:r>
    </w:p>
    <w:p>
      <w:pPr>
        <w:pStyle w:val="yIndenta"/>
      </w:pPr>
      <w:r>
        <w:tab/>
        <w:t>(b)</w:t>
      </w:r>
      <w:r>
        <w:tab/>
        <w:t>a charge for metered consumption at the rate of 30.8120 cents per unit.</w:t>
      </w:r>
    </w:p>
    <w:p>
      <w:pPr>
        <w:pStyle w:val="yFootnotesection"/>
      </w:pPr>
      <w:r>
        <w:tab/>
        <w:t>[Clause 3 inserted: SL 2023/84 bl. 4.]</w:t>
      </w:r>
    </w:p>
    <w:p>
      <w:pPr>
        <w:pStyle w:val="yHeading5"/>
      </w:pPr>
      <w:bookmarkStart w:id="19" w:name="_Toc155077562"/>
      <w:r>
        <w:rPr>
          <w:rStyle w:val="CharSClsNo"/>
        </w:rPr>
        <w:t>4</w:t>
      </w:r>
      <w:r>
        <w:t>.</w:t>
      </w:r>
      <w:r>
        <w:tab/>
        <w:t>Tariff C2 (special community service tariff)</w:t>
      </w:r>
      <w:bookmarkEnd w:id="19"/>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$1.0660 per day; and</w:t>
      </w:r>
    </w:p>
    <w:p>
      <w:pPr>
        <w:pStyle w:val="yIndenta"/>
      </w:pPr>
      <w:r>
        <w:tab/>
        <w:t>(b)</w:t>
      </w:r>
      <w:r>
        <w:tab/>
        <w:t xml:space="preserve">a charge for metered consumption at the rate of — </w:t>
      </w:r>
    </w:p>
    <w:p>
      <w:pPr>
        <w:pStyle w:val="yIndenti0"/>
      </w:pPr>
      <w:r>
        <w:tab/>
        <w:t>(i)</w:t>
      </w:r>
      <w:r>
        <w:tab/>
        <w:t>24.9035 cents per unit for the first 20 units per day; and</w:t>
      </w:r>
    </w:p>
    <w:p>
      <w:pPr>
        <w:pStyle w:val="yIndenti0"/>
      </w:pPr>
      <w:r>
        <w:tab/>
        <w:t>(ii)</w:t>
      </w:r>
      <w:r>
        <w:tab/>
        <w:t>26.5704 cents per unit for the next 1 630 units per day; and</w:t>
      </w:r>
    </w:p>
    <w:p>
      <w:pPr>
        <w:pStyle w:val="yIndenti0"/>
      </w:pPr>
      <w:r>
        <w:tab/>
        <w:t>(iii)</w:t>
      </w:r>
      <w:r>
        <w:tab/>
        <w:t>25.3443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lastRenderedPageBreak/>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entity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4 inserted: SL 2023/84 bl. 4.]</w:t>
      </w:r>
    </w:p>
    <w:p>
      <w:pPr>
        <w:pStyle w:val="yHeading5"/>
      </w:pPr>
      <w:bookmarkStart w:id="20" w:name="_Toc155077563"/>
      <w:r>
        <w:rPr>
          <w:rStyle w:val="CharSClsNo"/>
        </w:rPr>
        <w:t>5</w:t>
      </w:r>
      <w:r>
        <w:t>.</w:t>
      </w:r>
      <w:r>
        <w:tab/>
        <w:t>Tariff D2 (special tariff for certain premises)</w:t>
      </w:r>
      <w:bookmarkEnd w:id="20"/>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$1.0513 per day; and</w:t>
      </w:r>
    </w:p>
    <w:p>
      <w:pPr>
        <w:pStyle w:val="yIndenta"/>
      </w:pPr>
      <w:r>
        <w:tab/>
        <w:t>(b)</w:t>
      </w:r>
      <w:r>
        <w:tab/>
        <w:t>if under subclause (3) there is taken to be more than 1 equivalent domestic residence in the premises — a charge of 38.9791 cents per day for each equivalent domestic residence except the first that is taken to be in the premises; and</w:t>
      </w:r>
    </w:p>
    <w:p>
      <w:pPr>
        <w:pStyle w:val="yIndenta"/>
      </w:pPr>
      <w:r>
        <w:tab/>
        <w:t>(c)</w:t>
      </w:r>
      <w:r>
        <w:tab/>
        <w:t>a charge for metered consumption at the rate of 26.7120 cents per unit.</w:t>
      </w:r>
    </w:p>
    <w:p>
      <w:pPr>
        <w:pStyle w:val="ySubsection"/>
        <w:keepNext/>
      </w:pPr>
      <w:r>
        <w:tab/>
        <w:t>(3)</w:t>
      </w:r>
      <w:r>
        <w:tab/>
        <w:t xml:space="preserve">The number of equivalent domestic residences taken to be in particular premises is ascertained by dividing the facility’s total bed </w:t>
      </w:r>
      <w:r>
        <w:lastRenderedPageBreak/>
        <w:t>capacity by 5 and, where the quotient is not a whole number, by increasing it to the next highest whole number.</w:t>
      </w:r>
    </w:p>
    <w:p>
      <w:pPr>
        <w:pStyle w:val="yFootnotesection"/>
      </w:pPr>
      <w:r>
        <w:tab/>
        <w:t>[Clause 5 inserted: SL 2023/84 bl. 4.]</w:t>
      </w:r>
    </w:p>
    <w:p>
      <w:pPr>
        <w:pStyle w:val="yHeading5"/>
      </w:pPr>
      <w:bookmarkStart w:id="21" w:name="_Toc155077564"/>
      <w:r>
        <w:rPr>
          <w:rStyle w:val="CharSClsNo"/>
        </w:rPr>
        <w:t>6</w:t>
      </w:r>
      <w:r>
        <w:t>.</w:t>
      </w:r>
      <w:r>
        <w:tab/>
        <w:t>Tariff K2 (general supply with residential tariff)</w:t>
      </w:r>
      <w:bookmarkEnd w:id="21"/>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$1.9492 per day; and</w:t>
      </w:r>
    </w:p>
    <w:p>
      <w:pPr>
        <w:pStyle w:val="yIndenta"/>
      </w:pPr>
      <w:r>
        <w:tab/>
        <w:t>(b)</w:t>
      </w:r>
      <w:r>
        <w:tab/>
        <w:t>a charge for metered consumption at the rate of —</w:t>
      </w:r>
    </w:p>
    <w:p>
      <w:pPr>
        <w:pStyle w:val="yIndenti0"/>
      </w:pPr>
      <w:r>
        <w:tab/>
        <w:t>(i)</w:t>
      </w:r>
      <w:r>
        <w:tab/>
        <w:t>32.1886 cents per unit for the first 20 units per day; and</w:t>
      </w:r>
    </w:p>
    <w:p>
      <w:pPr>
        <w:pStyle w:val="yIndenti0"/>
      </w:pPr>
      <w:r>
        <w:tab/>
        <w:t>(ii)</w:t>
      </w:r>
      <w:r>
        <w:tab/>
        <w:t>30.3335 cents per unit for the next 1 630 units per day; and</w:t>
      </w:r>
    </w:p>
    <w:p>
      <w:pPr>
        <w:pStyle w:val="yIndenti0"/>
      </w:pPr>
      <w:r>
        <w:tab/>
        <w:t>(iii)</w:t>
      </w:r>
      <w:r>
        <w:tab/>
        <w:t>34.1999 cents per unit for all units exceeding 1 650 units per day.</w:t>
      </w:r>
    </w:p>
    <w:p>
      <w:pPr>
        <w:pStyle w:val="yFootnotesection"/>
      </w:pPr>
      <w:r>
        <w:tab/>
        <w:t>[Clause 6 inserted: SL 2023/84 bl. 4.]</w:t>
      </w:r>
    </w:p>
    <w:p>
      <w:pPr>
        <w:pStyle w:val="yHeading3"/>
      </w:pPr>
      <w:bookmarkStart w:id="22" w:name="_Toc155077565"/>
      <w:r>
        <w:rPr>
          <w:rStyle w:val="CharSDivNo"/>
        </w:rPr>
        <w:t>Division 2</w:t>
      </w:r>
      <w:r>
        <w:t> — </w:t>
      </w:r>
      <w:r>
        <w:rPr>
          <w:rStyle w:val="CharSDivText"/>
        </w:rPr>
        <w:t>MyPower tariffs</w:t>
      </w:r>
      <w:bookmarkEnd w:id="22"/>
    </w:p>
    <w:p>
      <w:pPr>
        <w:pStyle w:val="yFootnoteheading"/>
      </w:pPr>
      <w:r>
        <w:tab/>
        <w:t>[Heading inserted: SL 2023/84 bl. 4.]</w:t>
      </w:r>
    </w:p>
    <w:p>
      <w:pPr>
        <w:pStyle w:val="yHeading5"/>
      </w:pPr>
      <w:bookmarkStart w:id="23" w:name="_Toc155077566"/>
      <w:r>
        <w:rPr>
          <w:rStyle w:val="CharSClsNo"/>
        </w:rPr>
        <w:t>7</w:t>
      </w:r>
      <w:r>
        <w:t>.</w:t>
      </w:r>
      <w:r>
        <w:tab/>
        <w:t>Terms used</w:t>
      </w:r>
      <w:bookmarkEnd w:id="23"/>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towns of Esperance, Norseman, Hopetoun, Sandstone and Menzies and surrounding areas;</w:t>
      </w:r>
    </w:p>
    <w:p>
      <w:pPr>
        <w:pStyle w:val="yDefstart"/>
      </w:pPr>
      <w:r>
        <w:tab/>
      </w:r>
      <w:r>
        <w:rPr>
          <w:rStyle w:val="CharDefText"/>
        </w:rPr>
        <w:t>MyPower tariff</w:t>
      </w:r>
      <w:r>
        <w:t xml:space="preserve"> means — </w:t>
      </w:r>
    </w:p>
    <w:p>
      <w:pPr>
        <w:pStyle w:val="yDefpara"/>
      </w:pPr>
      <w:r>
        <w:tab/>
        <w:t>(a)</w:t>
      </w:r>
      <w:r>
        <w:tab/>
        <w:t>a MyPower residential tariff as defined in clause 8(1); or</w:t>
      </w:r>
    </w:p>
    <w:p>
      <w:pPr>
        <w:pStyle w:val="yDefpara"/>
      </w:pPr>
      <w:r>
        <w:tab/>
        <w:t>(b)</w:t>
      </w:r>
      <w:r>
        <w:tab/>
        <w:t>a MyPower non</w:t>
      </w:r>
      <w:r>
        <w:noBreakHyphen/>
        <w:t>residential tariff as defined in clause 9(1);</w:t>
      </w:r>
    </w:p>
    <w:p>
      <w:pPr>
        <w:pStyle w:val="yDefstart"/>
      </w:pPr>
      <w:r>
        <w:tab/>
      </w:r>
      <w:r>
        <w:rPr>
          <w:rStyle w:val="CharDefText"/>
        </w:rPr>
        <w:t>peak day</w:t>
      </w:r>
      <w:r>
        <w:t xml:space="preserve"> means — </w:t>
      </w:r>
    </w:p>
    <w:p>
      <w:pPr>
        <w:pStyle w:val="yDefpara"/>
      </w:pPr>
      <w:r>
        <w:tab/>
        <w:t>(a)</w:t>
      </w:r>
      <w:r>
        <w:tab/>
        <w:t xml:space="preserve">in relation to a MyPower residential tariff as defined in clause 8(1) — a day that is in a peak period and is not a </w:t>
      </w:r>
      <w:r>
        <w:lastRenderedPageBreak/>
        <w:t>Saturday, a Sunday or a public holiday in the place in which the relevant premises to which electricity is supplied are situated; or</w:t>
      </w:r>
    </w:p>
    <w:p>
      <w:pPr>
        <w:pStyle w:val="yDefpara"/>
      </w:pPr>
      <w:r>
        <w:tab/>
        <w:t>(b)</w:t>
      </w:r>
      <w:r>
        <w:tab/>
        <w:t>in relation to a MyPower non</w:t>
      </w:r>
      <w:r>
        <w:noBreakHyphen/>
        <w:t>residential tariff as defined in clause 9(1) — a day that is in a peak period and is not a public holiday in the place in which the relevant premises to which electricity is supplied are situated;</w:t>
      </w:r>
    </w:p>
    <w:p>
      <w:pPr>
        <w:pStyle w:val="yDefstar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to whom electricity is supplied at premises at a MyPower tariff </w:t>
      </w:r>
      <w:r>
        <w:rPr>
          <w:rStyle w:val="CharDefText"/>
        </w:rPr>
        <w:t>exceeds the applicable peak allowance</w:t>
      </w:r>
      <w:r>
        <w:t xml:space="preserve"> in relation to the tariff if, on a peak day, the consumer consumes more electricity at those premises during 1 or more hours in a peak time than the applicable peak allowance for the tariff, unless — </w:t>
      </w:r>
    </w:p>
    <w:p>
      <w:pPr>
        <w:pStyle w:val="yIndenta"/>
      </w:pPr>
      <w:r>
        <w:tab/>
        <w:t>(a)</w:t>
      </w:r>
      <w:r>
        <w:tab/>
        <w:t>on the relevant day, electricity has been supplied to the consumer at the premises at a MyPower tariff for 14 or fewer continuous days; or</w:t>
      </w:r>
    </w:p>
    <w:p>
      <w:pPr>
        <w:pStyle w:val="yIndenta"/>
      </w:pPr>
      <w:r>
        <w:tab/>
        <w:t>(b)</w:t>
      </w:r>
      <w:r>
        <w:tab/>
        <w:t>the corporation considers that on the relevant day the consumer was affected by an emergency event (for example, a cyclone or bushfire).</w:t>
      </w:r>
    </w:p>
    <w:p>
      <w:pPr>
        <w:pStyle w:val="yFootnotesection"/>
      </w:pPr>
      <w:r>
        <w:tab/>
        <w:t>[Clause 7 inserted: SL 2023/84 bl. 4.]</w:t>
      </w:r>
    </w:p>
    <w:p>
      <w:pPr>
        <w:pStyle w:val="yHeading5"/>
      </w:pPr>
      <w:bookmarkStart w:id="24" w:name="_Toc155077567"/>
      <w:r>
        <w:rPr>
          <w:rStyle w:val="CharSClsNo"/>
        </w:rPr>
        <w:t>8</w:t>
      </w:r>
      <w:r>
        <w:t>.</w:t>
      </w:r>
      <w:r>
        <w:tab/>
        <w:t>MyPower residential tariffs</w:t>
      </w:r>
      <w:bookmarkEnd w:id="24"/>
    </w:p>
    <w:p>
      <w:pPr>
        <w:pStyle w:val="ySubsection"/>
      </w:pPr>
      <w:r>
        <w:tab/>
        <w:t>(1)</w:t>
      </w:r>
      <w:r>
        <w:tab/>
        <w:t xml:space="preserve">Each tariff determined under this clause (a </w:t>
      </w:r>
      <w:r>
        <w:rPr>
          <w:rStyle w:val="CharDefText"/>
        </w:rPr>
        <w:t>MyPower residential tariff</w:t>
      </w:r>
      <w:r>
        <w:t xml:space="preserve">) is available in relation to the supply of electricity to premises only — </w:t>
      </w:r>
    </w:p>
    <w:p>
      <w:pPr>
        <w:pStyle w:val="yIndenta"/>
      </w:pPr>
      <w:r>
        <w:tab/>
        <w:t>(a)</w:t>
      </w:r>
      <w:r>
        <w:tab/>
        <w:t>for residential use; and</w:t>
      </w:r>
    </w:p>
    <w:p>
      <w:pPr>
        <w:pStyle w:val="yIndenta"/>
      </w:pPr>
      <w:r>
        <w:lastRenderedPageBreak/>
        <w:tab/>
        <w:t>(b)</w:t>
      </w:r>
      <w:r>
        <w:tab/>
        <w:t>if, before 1 July 2022, the consumer elected to be supplied electricity at the premises at the MyPower residential tariff (subject to subclause (5)); and</w:t>
      </w:r>
    </w:p>
    <w:p>
      <w:pPr>
        <w:pStyle w:val="yIndenta"/>
      </w:pPr>
      <w:r>
        <w:tab/>
        <w:t>(c)</w:t>
      </w:r>
      <w:r>
        <w:tab/>
        <w:t>if, since the consumer made the election, electricity has not been supplied to the premises at a tariff other than a MyPower residential tariff.</w:t>
      </w:r>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 xml:space="preserve">Each MyPower residential tariff is available subject to the following conditions — </w:t>
      </w:r>
    </w:p>
    <w:p>
      <w:pPr>
        <w:pStyle w:val="yIndenta"/>
      </w:pPr>
      <w:r>
        <w:tab/>
        <w:t>(a)</w:t>
      </w:r>
      <w:r>
        <w:tab/>
        <w:t>the consumer must satisfy the eligibility criteria set out in clause 10;</w:t>
      </w:r>
    </w:p>
    <w:p>
      <w:pPr>
        <w:pStyle w:val="yIndenta"/>
      </w:pPr>
      <w:r>
        <w:tab/>
        <w:t>(b)</w:t>
      </w:r>
      <w:r>
        <w:tab/>
        <w:t>the consumer must not exceed the applicable peak allowance at the relevant premises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ind w:left="284"/>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noWrap/>
          </w:tcPr>
          <w:p>
            <w:pPr>
              <w:pStyle w:val="yTableNAm"/>
              <w:keepNext/>
              <w:rPr>
                <w:b/>
              </w:rPr>
            </w:pPr>
            <w:r>
              <w:rPr>
                <w:b/>
              </w:rPr>
              <w:t>Tariff name</w:t>
            </w:r>
          </w:p>
        </w:tc>
        <w:tc>
          <w:tcPr>
            <w:tcW w:w="1417" w:type="dxa"/>
            <w:noWrap/>
          </w:tcPr>
          <w:p>
            <w:pPr>
              <w:pStyle w:val="yTableNAm"/>
              <w:keepNext/>
              <w:rPr>
                <w:b/>
              </w:rPr>
            </w:pPr>
            <w:r>
              <w:rPr>
                <w:b/>
              </w:rPr>
              <w:t>Rate of fixed charge</w:t>
            </w:r>
          </w:p>
        </w:tc>
        <w:tc>
          <w:tcPr>
            <w:tcW w:w="1560" w:type="dxa"/>
            <w:noWrap/>
          </w:tcPr>
          <w:p>
            <w:pPr>
              <w:pStyle w:val="yTableNAm"/>
              <w:keepNext/>
              <w:rPr>
                <w:b/>
              </w:rPr>
            </w:pPr>
            <w:r>
              <w:rPr>
                <w:b/>
              </w:rPr>
              <w:t>Rate of metered consumption charge</w:t>
            </w:r>
          </w:p>
        </w:tc>
        <w:tc>
          <w:tcPr>
            <w:tcW w:w="1275" w:type="dxa"/>
            <w:noWrap/>
          </w:tcPr>
          <w:p>
            <w:pPr>
              <w:pStyle w:val="yTableNAm"/>
              <w:keepNext/>
              <w:rPr>
                <w:b/>
              </w:rPr>
            </w:pPr>
            <w:r>
              <w:rPr>
                <w:b/>
              </w:rPr>
              <w:t>Peak allowance</w:t>
            </w:r>
          </w:p>
        </w:tc>
      </w:tr>
      <w:tr>
        <w:trPr>
          <w:cantSplit/>
        </w:trPr>
        <w:tc>
          <w:tcPr>
            <w:tcW w:w="1276" w:type="dxa"/>
            <w:noWrap/>
          </w:tcPr>
          <w:p>
            <w:pPr>
              <w:pStyle w:val="yTableNAm"/>
            </w:pPr>
            <w:r>
              <w:t>MyPower residential 1.5 fixed plan price</w:t>
            </w:r>
          </w:p>
        </w:tc>
        <w:tc>
          <w:tcPr>
            <w:tcW w:w="1417" w:type="dxa"/>
            <w:noWrap/>
          </w:tcPr>
          <w:p>
            <w:pPr>
              <w:pStyle w:val="yTableNAm"/>
            </w:pPr>
            <w:r>
              <w:t>$1.208232 per day</w:t>
            </w:r>
          </w:p>
        </w:tc>
        <w:tc>
          <w:tcPr>
            <w:tcW w:w="1560" w:type="dxa"/>
            <w:noWrap/>
          </w:tcPr>
          <w:p>
            <w:pPr>
              <w:pStyle w:val="yTableNAm"/>
            </w:pPr>
            <w:r>
              <w:t>$0.100000</w:t>
            </w:r>
            <w:r>
              <w:br/>
              <w:t>per unit</w:t>
            </w:r>
          </w:p>
        </w:tc>
        <w:tc>
          <w:tcPr>
            <w:tcW w:w="1275" w:type="dxa"/>
            <w:noWrap/>
          </w:tcPr>
          <w:p>
            <w:pPr>
              <w:pStyle w:val="yTableNAm"/>
            </w:pPr>
            <w:r>
              <w:t>1.5 units per hour</w:t>
            </w:r>
          </w:p>
        </w:tc>
      </w:tr>
      <w:tr>
        <w:trPr>
          <w:cantSplit/>
        </w:trPr>
        <w:tc>
          <w:tcPr>
            <w:tcW w:w="1276" w:type="dxa"/>
            <w:noWrap/>
          </w:tcPr>
          <w:p>
            <w:pPr>
              <w:pStyle w:val="yTableNAm"/>
            </w:pPr>
            <w:r>
              <w:t>MyPower residential 3 fixed plan price</w:t>
            </w:r>
          </w:p>
        </w:tc>
        <w:tc>
          <w:tcPr>
            <w:tcW w:w="1417" w:type="dxa"/>
            <w:noWrap/>
          </w:tcPr>
          <w:p>
            <w:pPr>
              <w:pStyle w:val="yTableNAm"/>
            </w:pPr>
            <w:r>
              <w:t>$2.614571 per day</w:t>
            </w:r>
          </w:p>
        </w:tc>
        <w:tc>
          <w:tcPr>
            <w:tcW w:w="1560" w:type="dxa"/>
            <w:noWrap/>
          </w:tcPr>
          <w:p>
            <w:pPr>
              <w:pStyle w:val="yTableNAm"/>
            </w:pPr>
            <w:r>
              <w:t>$0.100000</w:t>
            </w:r>
            <w:r>
              <w:br/>
              <w:t>per unit</w:t>
            </w:r>
          </w:p>
        </w:tc>
        <w:tc>
          <w:tcPr>
            <w:tcW w:w="1275" w:type="dxa"/>
            <w:noWrap/>
          </w:tcPr>
          <w:p>
            <w:pPr>
              <w:pStyle w:val="yTableNAm"/>
            </w:pPr>
            <w:r>
              <w:t xml:space="preserve">3 units </w:t>
            </w:r>
            <w:r>
              <w:br/>
              <w:t>per hour</w:t>
            </w:r>
          </w:p>
        </w:tc>
      </w:tr>
      <w:tr>
        <w:trPr>
          <w:cantSplit/>
        </w:trPr>
        <w:tc>
          <w:tcPr>
            <w:tcW w:w="1276" w:type="dxa"/>
            <w:noWrap/>
          </w:tcPr>
          <w:p>
            <w:pPr>
              <w:pStyle w:val="yTableNAm"/>
            </w:pPr>
            <w:r>
              <w:lastRenderedPageBreak/>
              <w:t>MyPower residential 5 fixed plan price</w:t>
            </w:r>
          </w:p>
        </w:tc>
        <w:tc>
          <w:tcPr>
            <w:tcW w:w="1417" w:type="dxa"/>
            <w:noWrap/>
          </w:tcPr>
          <w:p>
            <w:pPr>
              <w:pStyle w:val="yTableNAm"/>
            </w:pPr>
            <w:r>
              <w:t>$5.290679 per day</w:t>
            </w:r>
          </w:p>
        </w:tc>
        <w:tc>
          <w:tcPr>
            <w:tcW w:w="1560" w:type="dxa"/>
            <w:noWrap/>
          </w:tcPr>
          <w:p>
            <w:pPr>
              <w:pStyle w:val="yTableNAm"/>
            </w:pPr>
            <w:r>
              <w:t>$0.100000</w:t>
            </w:r>
            <w:r>
              <w:br/>
              <w:t>per unit</w:t>
            </w:r>
          </w:p>
        </w:tc>
        <w:tc>
          <w:tcPr>
            <w:tcW w:w="1275" w:type="dxa"/>
            <w:noWrap/>
          </w:tcPr>
          <w:p>
            <w:pPr>
              <w:pStyle w:val="yTableNAm"/>
            </w:pPr>
            <w:r>
              <w:t xml:space="preserve">5 units </w:t>
            </w:r>
            <w:r>
              <w:br/>
              <w:t>per hour</w:t>
            </w:r>
          </w:p>
        </w:tc>
      </w:tr>
      <w:tr>
        <w:trPr>
          <w:cantSplit/>
        </w:trPr>
        <w:tc>
          <w:tcPr>
            <w:tcW w:w="1276" w:type="dxa"/>
            <w:noWrap/>
          </w:tcPr>
          <w:p>
            <w:pPr>
              <w:pStyle w:val="yTableNAm"/>
            </w:pPr>
            <w:r>
              <w:t>MyPower residential 7 fixed plan price</w:t>
            </w:r>
          </w:p>
        </w:tc>
        <w:tc>
          <w:tcPr>
            <w:tcW w:w="1417" w:type="dxa"/>
            <w:noWrap/>
          </w:tcPr>
          <w:p>
            <w:pPr>
              <w:pStyle w:val="yTableNAm"/>
            </w:pPr>
            <w:r>
              <w:t>$8.713957 per day</w:t>
            </w:r>
          </w:p>
        </w:tc>
        <w:tc>
          <w:tcPr>
            <w:tcW w:w="1560" w:type="dxa"/>
            <w:noWrap/>
          </w:tcPr>
          <w:p>
            <w:pPr>
              <w:pStyle w:val="yTableNAm"/>
            </w:pPr>
            <w:r>
              <w:t>$0.100000</w:t>
            </w:r>
            <w:r>
              <w:br/>
              <w:t>per unit</w:t>
            </w:r>
          </w:p>
        </w:tc>
        <w:tc>
          <w:tcPr>
            <w:tcW w:w="1275" w:type="dxa"/>
            <w:noWrap/>
          </w:tcPr>
          <w:p>
            <w:pPr>
              <w:pStyle w:val="yTableNAm"/>
            </w:pPr>
            <w:r>
              <w:t xml:space="preserve">7 units </w:t>
            </w:r>
            <w:r>
              <w:br/>
              <w:t>per hour</w:t>
            </w:r>
          </w:p>
        </w:tc>
      </w:tr>
      <w:tr>
        <w:trPr>
          <w:cantSplit/>
        </w:trPr>
        <w:tc>
          <w:tcPr>
            <w:tcW w:w="1276" w:type="dxa"/>
            <w:noWrap/>
          </w:tcPr>
          <w:p>
            <w:pPr>
              <w:pStyle w:val="yTableNAm"/>
            </w:pPr>
            <w:r>
              <w:t>MyPower residential 10 fixed plan price</w:t>
            </w:r>
          </w:p>
        </w:tc>
        <w:tc>
          <w:tcPr>
            <w:tcW w:w="1417" w:type="dxa"/>
            <w:noWrap/>
          </w:tcPr>
          <w:p>
            <w:pPr>
              <w:pStyle w:val="yTableNAm"/>
            </w:pPr>
            <w:r>
              <w:t>$13.154094 per day</w:t>
            </w:r>
          </w:p>
        </w:tc>
        <w:tc>
          <w:tcPr>
            <w:tcW w:w="1560" w:type="dxa"/>
            <w:noWrap/>
          </w:tcPr>
          <w:p>
            <w:pPr>
              <w:pStyle w:val="yTableNAm"/>
            </w:pPr>
            <w:r>
              <w:t>$0.100000</w:t>
            </w:r>
            <w:r>
              <w:br/>
              <w:t>per unit</w:t>
            </w:r>
          </w:p>
        </w:tc>
        <w:tc>
          <w:tcPr>
            <w:tcW w:w="1275" w:type="dxa"/>
            <w:noWrap/>
          </w:tcPr>
          <w:p>
            <w:pPr>
              <w:pStyle w:val="yTableNAm"/>
            </w:pPr>
            <w:r>
              <w:t>10 units</w:t>
            </w:r>
            <w:r>
              <w:br/>
              <w:t>per hour</w:t>
            </w:r>
          </w:p>
        </w:tc>
      </w:tr>
      <w:tr>
        <w:trPr>
          <w:cantSplit/>
        </w:trPr>
        <w:tc>
          <w:tcPr>
            <w:tcW w:w="1276" w:type="dxa"/>
            <w:noWrap/>
          </w:tcPr>
          <w:p>
            <w:pPr>
              <w:pStyle w:val="yTableNAm"/>
            </w:pPr>
            <w:r>
              <w:t>MyPower residential 15 fixed plan price</w:t>
            </w:r>
          </w:p>
        </w:tc>
        <w:tc>
          <w:tcPr>
            <w:tcW w:w="1417" w:type="dxa"/>
            <w:noWrap/>
          </w:tcPr>
          <w:p>
            <w:pPr>
              <w:pStyle w:val="yTableNAm"/>
            </w:pPr>
            <w:r>
              <w:t>$26.785995 per day</w:t>
            </w:r>
          </w:p>
        </w:tc>
        <w:tc>
          <w:tcPr>
            <w:tcW w:w="1560" w:type="dxa"/>
            <w:noWrap/>
          </w:tcPr>
          <w:p>
            <w:pPr>
              <w:pStyle w:val="yTableNAm"/>
            </w:pPr>
            <w:r>
              <w:t>$0.100000</w:t>
            </w:r>
            <w:r>
              <w:br/>
              <w:t>per unit</w:t>
            </w:r>
          </w:p>
        </w:tc>
        <w:tc>
          <w:tcPr>
            <w:tcW w:w="1275" w:type="dxa"/>
            <w:noWrap/>
          </w:tcPr>
          <w:p>
            <w:pPr>
              <w:pStyle w:val="yTableNAm"/>
            </w:pPr>
            <w:r>
              <w:t>15 units</w:t>
            </w:r>
            <w:r>
              <w:br/>
              <w:t>per hour</w:t>
            </w:r>
          </w:p>
        </w:tc>
      </w:tr>
    </w:tbl>
    <w:p>
      <w:pPr>
        <w:pStyle w:val="ySubsection"/>
      </w:pPr>
      <w:r>
        <w:tab/>
        <w:t>(5)</w:t>
      </w:r>
      <w:r>
        <w:tab/>
        <w:t xml:space="preserve">Without limiting subclause (3)(b), if a consumer to whom electricity is supplied at premises at a MyPower residential tariff (the </w:t>
      </w:r>
      <w:r>
        <w:rPr>
          <w:rStyle w:val="CharDefText"/>
        </w:rPr>
        <w:t>original tariff</w:t>
      </w:r>
      <w:r>
        <w:t>) has exceeded the applicable peak allowance for the original tariff at those premises on 4 or more peak days in a peak period, on and from the day after the 4</w:t>
      </w:r>
      <w:r>
        <w:rPr>
          <w:vertAlign w:val="superscript"/>
        </w:rPr>
        <w:t>th</w:t>
      </w:r>
      <w:r>
        <w:t xml:space="preserve"> of those days the corporation may instead supply electricity to the consumer at the premises at the MyPower residential tariff (if any) that is immediately below the original tariff in the Table to subclause (4) (and the applicable peak allowance is adjusted accordingly).</w:t>
      </w:r>
    </w:p>
    <w:p>
      <w:pPr>
        <w:pStyle w:val="yFootnotesection"/>
      </w:pPr>
      <w:r>
        <w:tab/>
        <w:t>[Clause 8 inserted: SL 2023/84 bl. 4.]</w:t>
      </w:r>
    </w:p>
    <w:p>
      <w:pPr>
        <w:pStyle w:val="yHeading5"/>
      </w:pPr>
      <w:bookmarkStart w:id="25" w:name="_Toc155077568"/>
      <w:r>
        <w:rPr>
          <w:rStyle w:val="CharSClsNo"/>
        </w:rPr>
        <w:lastRenderedPageBreak/>
        <w:t>9</w:t>
      </w:r>
      <w:r>
        <w:t>.</w:t>
      </w:r>
      <w:r>
        <w:tab/>
        <w:t>MyPower non</w:t>
      </w:r>
      <w:r>
        <w:noBreakHyphen/>
        <w:t>residential tariffs</w:t>
      </w:r>
      <w:bookmarkEnd w:id="25"/>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in relation to the supply of electricity to premises only — </w:t>
      </w:r>
    </w:p>
    <w:p>
      <w:pPr>
        <w:pStyle w:val="yIndenta"/>
      </w:pPr>
      <w:r>
        <w:tab/>
        <w:t>(a)</w:t>
      </w:r>
      <w:r>
        <w:tab/>
        <w:t>for non</w:t>
      </w:r>
      <w:r>
        <w:noBreakHyphen/>
        <w:t>residential use; and</w:t>
      </w:r>
    </w:p>
    <w:p>
      <w:pPr>
        <w:pStyle w:val="yIndenta"/>
      </w:pPr>
      <w:r>
        <w:tab/>
        <w:t>(b)</w:t>
      </w:r>
      <w:r>
        <w:tab/>
        <w:t>if, before 1 July 2022, the consumer elected to be supplied electricity at the premises at the MyPower non</w:t>
      </w:r>
      <w:r>
        <w:noBreakHyphen/>
        <w:t>residential tariff (subject to subclause (5)); and</w:t>
      </w:r>
    </w:p>
    <w:p>
      <w:pPr>
        <w:pStyle w:val="yIndenta"/>
      </w:pPr>
      <w:r>
        <w:tab/>
        <w:t>(c)</w:t>
      </w:r>
      <w:r>
        <w:tab/>
        <w:t>if, since the consumer made the election, electricity has not been supplied to the premises at a tariff other than a MyPower non</w:t>
      </w:r>
      <w:r>
        <w:noBreakHyphen/>
        <w:t>residential tariff.</w:t>
      </w:r>
    </w:p>
    <w:p>
      <w:pPr>
        <w:pStyle w:val="ySubsection"/>
      </w:pPr>
      <w:r>
        <w:tab/>
        <w:t>(2)</w:t>
      </w:r>
      <w:r>
        <w:tab/>
        <w:t>Each MyPower non</w:t>
      </w:r>
      <w:r>
        <w:noBreakHyphen/>
        <w:t xml:space="preserve">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Each MyPower non</w:t>
      </w:r>
      <w:r>
        <w:noBreakHyphen/>
        <w:t xml:space="preserve">residential tariff is available subject to the following conditions — </w:t>
      </w:r>
    </w:p>
    <w:p>
      <w:pPr>
        <w:pStyle w:val="yIndenta"/>
      </w:pPr>
      <w:r>
        <w:tab/>
        <w:t>(a)</w:t>
      </w:r>
      <w:r>
        <w:tab/>
        <w:t>the consumer must satisfy the eligibility criteria set out in clause 10;</w:t>
      </w:r>
    </w:p>
    <w:p>
      <w:pPr>
        <w:pStyle w:val="yIndenta"/>
      </w:pPr>
      <w:r>
        <w:tab/>
        <w:t>(b)</w:t>
      </w:r>
      <w:r>
        <w:tab/>
        <w:t>the consumer must not exceed the applicable peak allowance at the relevant premises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ind w:left="426"/>
      </w:pPr>
      <w:r>
        <w:lastRenderedPageBreak/>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62"/>
        <w:gridCol w:w="1560"/>
        <w:gridCol w:w="1531"/>
        <w:gridCol w:w="1275"/>
      </w:tblGrid>
      <w:tr>
        <w:trPr>
          <w:cantSplit/>
          <w:tblHeader/>
        </w:trPr>
        <w:tc>
          <w:tcPr>
            <w:tcW w:w="1162" w:type="dxa"/>
            <w:noWrap/>
          </w:tcPr>
          <w:p>
            <w:pPr>
              <w:pStyle w:val="yTableNAm"/>
              <w:rPr>
                <w:b/>
              </w:rPr>
            </w:pPr>
            <w:r>
              <w:rPr>
                <w:b/>
              </w:rPr>
              <w:t>Tariff name</w:t>
            </w:r>
          </w:p>
        </w:tc>
        <w:tc>
          <w:tcPr>
            <w:tcW w:w="1560" w:type="dxa"/>
            <w:noWrap/>
          </w:tcPr>
          <w:p>
            <w:pPr>
              <w:pStyle w:val="yTableNAm"/>
              <w:rPr>
                <w:b/>
              </w:rPr>
            </w:pPr>
            <w:r>
              <w:rPr>
                <w:b/>
              </w:rPr>
              <w:t>Rate of fixed charge</w:t>
            </w:r>
          </w:p>
        </w:tc>
        <w:tc>
          <w:tcPr>
            <w:tcW w:w="1531" w:type="dxa"/>
            <w:noWrap/>
          </w:tcPr>
          <w:p>
            <w:pPr>
              <w:pStyle w:val="yTableNAm"/>
              <w:rPr>
                <w:b/>
              </w:rPr>
            </w:pPr>
            <w:r>
              <w:rPr>
                <w:b/>
              </w:rPr>
              <w:t>Rate of metered consumption charge</w:t>
            </w:r>
          </w:p>
        </w:tc>
        <w:tc>
          <w:tcPr>
            <w:tcW w:w="1275" w:type="dxa"/>
            <w:noWrap/>
          </w:tcPr>
          <w:p>
            <w:pPr>
              <w:pStyle w:val="yTableNAm"/>
              <w:rPr>
                <w:b/>
              </w:rPr>
            </w:pPr>
            <w:r>
              <w:rPr>
                <w:b/>
              </w:rPr>
              <w:t>Peak allowance</w:t>
            </w:r>
          </w:p>
        </w:tc>
      </w:tr>
      <w:tr>
        <w:trPr>
          <w:cantSplit/>
        </w:trPr>
        <w:tc>
          <w:tcPr>
            <w:tcW w:w="1162" w:type="dxa"/>
            <w:noWrap/>
          </w:tcPr>
          <w:p>
            <w:pPr>
              <w:pStyle w:val="yTableNAm"/>
            </w:pPr>
            <w:r>
              <w:t>MyPower non</w:t>
            </w:r>
            <w:r>
              <w:noBreakHyphen/>
              <w:t>residential 3 fixed plan price</w:t>
            </w:r>
          </w:p>
        </w:tc>
        <w:tc>
          <w:tcPr>
            <w:tcW w:w="1560" w:type="dxa"/>
            <w:noWrap/>
          </w:tcPr>
          <w:p>
            <w:pPr>
              <w:pStyle w:val="yTableNAm"/>
            </w:pPr>
            <w:r>
              <w:t>$2.939720 per day</w:t>
            </w:r>
          </w:p>
        </w:tc>
        <w:tc>
          <w:tcPr>
            <w:tcW w:w="1531" w:type="dxa"/>
            <w:noWrap/>
          </w:tcPr>
          <w:p>
            <w:pPr>
              <w:pStyle w:val="yTableNAm"/>
            </w:pPr>
            <w:r>
              <w:t>$0.100000</w:t>
            </w:r>
            <w:r>
              <w:br/>
              <w:t>per unit</w:t>
            </w:r>
          </w:p>
        </w:tc>
        <w:tc>
          <w:tcPr>
            <w:tcW w:w="1275" w:type="dxa"/>
            <w:noWrap/>
          </w:tcPr>
          <w:p>
            <w:pPr>
              <w:pStyle w:val="yTableNAm"/>
            </w:pPr>
            <w:r>
              <w:t xml:space="preserve">3 units </w:t>
            </w:r>
            <w:r>
              <w:br/>
              <w:t>per hour</w:t>
            </w:r>
          </w:p>
        </w:tc>
      </w:tr>
      <w:tr>
        <w:trPr>
          <w:cantSplit/>
        </w:trPr>
        <w:tc>
          <w:tcPr>
            <w:tcW w:w="1162" w:type="dxa"/>
            <w:noWrap/>
          </w:tcPr>
          <w:p>
            <w:pPr>
              <w:pStyle w:val="yTableNAm"/>
            </w:pPr>
            <w:r>
              <w:t>MyPower non</w:t>
            </w:r>
            <w:r>
              <w:noBreakHyphen/>
              <w:t>residential 5 fixed plan price</w:t>
            </w:r>
          </w:p>
        </w:tc>
        <w:tc>
          <w:tcPr>
            <w:tcW w:w="1560" w:type="dxa"/>
            <w:noWrap/>
          </w:tcPr>
          <w:p>
            <w:pPr>
              <w:pStyle w:val="yTableNAm"/>
            </w:pPr>
            <w:r>
              <w:t>$6.911214 per day</w:t>
            </w:r>
          </w:p>
        </w:tc>
        <w:tc>
          <w:tcPr>
            <w:tcW w:w="1531" w:type="dxa"/>
            <w:noWrap/>
          </w:tcPr>
          <w:p>
            <w:pPr>
              <w:pStyle w:val="yTableNAm"/>
            </w:pPr>
            <w:r>
              <w:t>$0.100000</w:t>
            </w:r>
            <w:r>
              <w:br/>
              <w:t>per unit</w:t>
            </w:r>
          </w:p>
        </w:tc>
        <w:tc>
          <w:tcPr>
            <w:tcW w:w="1275" w:type="dxa"/>
            <w:noWrap/>
          </w:tcPr>
          <w:p>
            <w:pPr>
              <w:pStyle w:val="yTableNAm"/>
            </w:pPr>
            <w:r>
              <w:t xml:space="preserve">5 units </w:t>
            </w:r>
            <w:r>
              <w:br/>
              <w:t>per hour</w:t>
            </w:r>
          </w:p>
        </w:tc>
      </w:tr>
      <w:tr>
        <w:trPr>
          <w:cantSplit/>
        </w:trPr>
        <w:tc>
          <w:tcPr>
            <w:tcW w:w="1162" w:type="dxa"/>
            <w:noWrap/>
          </w:tcPr>
          <w:p>
            <w:pPr>
              <w:pStyle w:val="yTableNAm"/>
            </w:pPr>
            <w:r>
              <w:t>MyPower non</w:t>
            </w:r>
            <w:r>
              <w:noBreakHyphen/>
              <w:t>residential 7 fixed plan price</w:t>
            </w:r>
          </w:p>
        </w:tc>
        <w:tc>
          <w:tcPr>
            <w:tcW w:w="1560" w:type="dxa"/>
            <w:noWrap/>
          </w:tcPr>
          <w:p>
            <w:pPr>
              <w:pStyle w:val="yTableNAm"/>
            </w:pPr>
            <w:r>
              <w:t>$12.337059 per day</w:t>
            </w:r>
          </w:p>
        </w:tc>
        <w:tc>
          <w:tcPr>
            <w:tcW w:w="1531" w:type="dxa"/>
            <w:noWrap/>
          </w:tcPr>
          <w:p>
            <w:pPr>
              <w:pStyle w:val="yTableNAm"/>
            </w:pPr>
            <w:r>
              <w:t>$0.100000</w:t>
            </w:r>
            <w:r>
              <w:br/>
              <w:t>per unit</w:t>
            </w:r>
          </w:p>
        </w:tc>
        <w:tc>
          <w:tcPr>
            <w:tcW w:w="1275" w:type="dxa"/>
            <w:noWrap/>
          </w:tcPr>
          <w:p>
            <w:pPr>
              <w:pStyle w:val="yTableNAm"/>
            </w:pPr>
            <w:r>
              <w:t xml:space="preserve">7 units </w:t>
            </w:r>
            <w:r>
              <w:br/>
              <w:t>per hour</w:t>
            </w:r>
          </w:p>
        </w:tc>
      </w:tr>
      <w:tr>
        <w:trPr>
          <w:cantSplit/>
        </w:trPr>
        <w:tc>
          <w:tcPr>
            <w:tcW w:w="1162" w:type="dxa"/>
            <w:noWrap/>
          </w:tcPr>
          <w:p>
            <w:pPr>
              <w:pStyle w:val="yTableNAm"/>
            </w:pPr>
            <w:r>
              <w:t>MyPower non</w:t>
            </w:r>
            <w:r>
              <w:noBreakHyphen/>
              <w:t>residential 10 fixed plan price</w:t>
            </w:r>
          </w:p>
        </w:tc>
        <w:tc>
          <w:tcPr>
            <w:tcW w:w="1560" w:type="dxa"/>
            <w:noWrap/>
          </w:tcPr>
          <w:p>
            <w:pPr>
              <w:pStyle w:val="yTableNAm"/>
            </w:pPr>
            <w:r>
              <w:t>$18.319169 per day</w:t>
            </w:r>
          </w:p>
        </w:tc>
        <w:tc>
          <w:tcPr>
            <w:tcW w:w="1531" w:type="dxa"/>
            <w:noWrap/>
          </w:tcPr>
          <w:p>
            <w:pPr>
              <w:pStyle w:val="yTableNAm"/>
            </w:pPr>
            <w:r>
              <w:t>$0.100000</w:t>
            </w:r>
            <w:r>
              <w:br/>
              <w:t>per unit</w:t>
            </w:r>
          </w:p>
        </w:tc>
        <w:tc>
          <w:tcPr>
            <w:tcW w:w="1275" w:type="dxa"/>
            <w:noWrap/>
          </w:tcPr>
          <w:p>
            <w:pPr>
              <w:pStyle w:val="yTableNAm"/>
            </w:pPr>
            <w:r>
              <w:t>10 units</w:t>
            </w:r>
            <w:r>
              <w:br/>
              <w:t>per hour</w:t>
            </w:r>
          </w:p>
        </w:tc>
      </w:tr>
      <w:tr>
        <w:trPr>
          <w:cantSplit/>
        </w:trPr>
        <w:tc>
          <w:tcPr>
            <w:tcW w:w="1162" w:type="dxa"/>
            <w:noWrap/>
          </w:tcPr>
          <w:p>
            <w:pPr>
              <w:pStyle w:val="yTableNAm"/>
            </w:pPr>
            <w:r>
              <w:t>MyPower non</w:t>
            </w:r>
            <w:r>
              <w:noBreakHyphen/>
              <w:t>residential 15 fixed plan price</w:t>
            </w:r>
          </w:p>
        </w:tc>
        <w:tc>
          <w:tcPr>
            <w:tcW w:w="1560" w:type="dxa"/>
            <w:noWrap/>
          </w:tcPr>
          <w:p>
            <w:pPr>
              <w:pStyle w:val="yTableNAm"/>
            </w:pPr>
            <w:r>
              <w:t>$28.178562 per day</w:t>
            </w:r>
          </w:p>
        </w:tc>
        <w:tc>
          <w:tcPr>
            <w:tcW w:w="1531" w:type="dxa"/>
            <w:noWrap/>
          </w:tcPr>
          <w:p>
            <w:pPr>
              <w:pStyle w:val="yTableNAm"/>
            </w:pPr>
            <w:r>
              <w:t>$0.100000</w:t>
            </w:r>
            <w:r>
              <w:br/>
              <w:t>per unit</w:t>
            </w:r>
          </w:p>
        </w:tc>
        <w:tc>
          <w:tcPr>
            <w:tcW w:w="1275" w:type="dxa"/>
            <w:noWrap/>
          </w:tcPr>
          <w:p>
            <w:pPr>
              <w:pStyle w:val="yTableNAm"/>
            </w:pPr>
            <w:r>
              <w:t>15 units</w:t>
            </w:r>
            <w:r>
              <w:br/>
              <w:t>per hour</w:t>
            </w:r>
          </w:p>
        </w:tc>
      </w:tr>
      <w:tr>
        <w:trPr>
          <w:cantSplit/>
        </w:trPr>
        <w:tc>
          <w:tcPr>
            <w:tcW w:w="1162" w:type="dxa"/>
            <w:noWrap/>
          </w:tcPr>
          <w:p>
            <w:pPr>
              <w:pStyle w:val="yTableNAm"/>
            </w:pPr>
            <w:r>
              <w:lastRenderedPageBreak/>
              <w:t>MyPower non</w:t>
            </w:r>
            <w:r>
              <w:noBreakHyphen/>
              <w:t>residential 20 fixed plan price</w:t>
            </w:r>
          </w:p>
        </w:tc>
        <w:tc>
          <w:tcPr>
            <w:tcW w:w="1560" w:type="dxa"/>
            <w:noWrap/>
          </w:tcPr>
          <w:p>
            <w:pPr>
              <w:pStyle w:val="yTableNAm"/>
            </w:pPr>
            <w:r>
              <w:t>$42.392975 per day</w:t>
            </w:r>
          </w:p>
        </w:tc>
        <w:tc>
          <w:tcPr>
            <w:tcW w:w="1531" w:type="dxa"/>
            <w:noWrap/>
          </w:tcPr>
          <w:p>
            <w:pPr>
              <w:pStyle w:val="yTableNAm"/>
            </w:pPr>
            <w:r>
              <w:t>$0.100000</w:t>
            </w:r>
            <w:r>
              <w:br/>
              <w:t>per unit</w:t>
            </w:r>
          </w:p>
        </w:tc>
        <w:tc>
          <w:tcPr>
            <w:tcW w:w="1275" w:type="dxa"/>
            <w:noWrap/>
          </w:tcPr>
          <w:p>
            <w:pPr>
              <w:pStyle w:val="yTableNAm"/>
            </w:pPr>
            <w:r>
              <w:t>20 units</w:t>
            </w:r>
            <w:r>
              <w:br/>
              <w:t>per hour</w:t>
            </w:r>
          </w:p>
        </w:tc>
      </w:tr>
      <w:tr>
        <w:trPr>
          <w:cantSplit/>
        </w:trPr>
        <w:tc>
          <w:tcPr>
            <w:tcW w:w="1162" w:type="dxa"/>
            <w:noWrap/>
          </w:tcPr>
          <w:p>
            <w:pPr>
              <w:pStyle w:val="yTableNAm"/>
            </w:pPr>
            <w:r>
              <w:t>MyPower non</w:t>
            </w:r>
            <w:r>
              <w:noBreakHyphen/>
              <w:t>residential 25 fixed plan price</w:t>
            </w:r>
          </w:p>
        </w:tc>
        <w:tc>
          <w:tcPr>
            <w:tcW w:w="1560" w:type="dxa"/>
            <w:noWrap/>
          </w:tcPr>
          <w:p>
            <w:pPr>
              <w:pStyle w:val="yTableNAm"/>
            </w:pPr>
            <w:r>
              <w:t>$43.624580 per day</w:t>
            </w:r>
          </w:p>
        </w:tc>
        <w:tc>
          <w:tcPr>
            <w:tcW w:w="1531" w:type="dxa"/>
            <w:noWrap/>
          </w:tcPr>
          <w:p>
            <w:pPr>
              <w:pStyle w:val="yTableNAm"/>
            </w:pPr>
            <w:r>
              <w:t>$0.100000</w:t>
            </w:r>
            <w:r>
              <w:br/>
              <w:t>per unit</w:t>
            </w:r>
          </w:p>
        </w:tc>
        <w:tc>
          <w:tcPr>
            <w:tcW w:w="1275" w:type="dxa"/>
            <w:noWrap/>
          </w:tcPr>
          <w:p>
            <w:pPr>
              <w:pStyle w:val="yTableNAm"/>
            </w:pPr>
            <w:r>
              <w:t>25 units</w:t>
            </w:r>
            <w:r>
              <w:br/>
              <w:t>per hour</w:t>
            </w:r>
          </w:p>
        </w:tc>
      </w:tr>
      <w:tr>
        <w:trPr>
          <w:cantSplit/>
        </w:trPr>
        <w:tc>
          <w:tcPr>
            <w:tcW w:w="1162" w:type="dxa"/>
            <w:noWrap/>
          </w:tcPr>
          <w:p>
            <w:pPr>
              <w:pStyle w:val="yTableNAm"/>
            </w:pPr>
            <w:r>
              <w:t>MyPower non</w:t>
            </w:r>
            <w:r>
              <w:noBreakHyphen/>
              <w:t>residential 30 fixed plan price</w:t>
            </w:r>
          </w:p>
        </w:tc>
        <w:tc>
          <w:tcPr>
            <w:tcW w:w="1560" w:type="dxa"/>
            <w:noWrap/>
          </w:tcPr>
          <w:p>
            <w:pPr>
              <w:pStyle w:val="yTableNAm"/>
            </w:pPr>
            <w:r>
              <w:t>$60.051012 per day</w:t>
            </w:r>
          </w:p>
        </w:tc>
        <w:tc>
          <w:tcPr>
            <w:tcW w:w="1531" w:type="dxa"/>
            <w:noWrap/>
          </w:tcPr>
          <w:p>
            <w:pPr>
              <w:pStyle w:val="yTableNAm"/>
            </w:pPr>
            <w:r>
              <w:t>$0.100000</w:t>
            </w:r>
            <w:r>
              <w:br/>
              <w:t>per unit</w:t>
            </w:r>
          </w:p>
        </w:tc>
        <w:tc>
          <w:tcPr>
            <w:tcW w:w="1275" w:type="dxa"/>
            <w:noWrap/>
          </w:tcPr>
          <w:p>
            <w:pPr>
              <w:pStyle w:val="yTableNAm"/>
            </w:pPr>
            <w:r>
              <w:t>30 units</w:t>
            </w:r>
            <w:r>
              <w:br/>
              <w:t>per hour</w:t>
            </w:r>
          </w:p>
        </w:tc>
      </w:tr>
      <w:tr>
        <w:trPr>
          <w:cantSplit/>
        </w:trPr>
        <w:tc>
          <w:tcPr>
            <w:tcW w:w="1162" w:type="dxa"/>
            <w:noWrap/>
          </w:tcPr>
          <w:p>
            <w:pPr>
              <w:pStyle w:val="yTableNAm"/>
            </w:pPr>
            <w:r>
              <w:t>MyPower non</w:t>
            </w:r>
            <w:r>
              <w:noBreakHyphen/>
              <w:t>residential 35 fixed plan price</w:t>
            </w:r>
          </w:p>
        </w:tc>
        <w:tc>
          <w:tcPr>
            <w:tcW w:w="1560" w:type="dxa"/>
            <w:noWrap/>
          </w:tcPr>
          <w:p>
            <w:pPr>
              <w:pStyle w:val="yTableNAm"/>
            </w:pPr>
            <w:r>
              <w:t>$64.079763 per day</w:t>
            </w:r>
          </w:p>
        </w:tc>
        <w:tc>
          <w:tcPr>
            <w:tcW w:w="1531" w:type="dxa"/>
            <w:noWrap/>
          </w:tcPr>
          <w:p>
            <w:pPr>
              <w:pStyle w:val="yTableNAm"/>
            </w:pPr>
            <w:r>
              <w:t>$0.100000</w:t>
            </w:r>
            <w:r>
              <w:br/>
              <w:t>per unit</w:t>
            </w:r>
          </w:p>
        </w:tc>
        <w:tc>
          <w:tcPr>
            <w:tcW w:w="1275" w:type="dxa"/>
            <w:noWrap/>
          </w:tcPr>
          <w:p>
            <w:pPr>
              <w:pStyle w:val="yTableNAm"/>
            </w:pPr>
            <w:r>
              <w:t>35 units</w:t>
            </w:r>
            <w:r>
              <w:br/>
              <w:t>per hour</w:t>
            </w:r>
          </w:p>
        </w:tc>
      </w:tr>
      <w:tr>
        <w:trPr>
          <w:cantSplit/>
        </w:trPr>
        <w:tc>
          <w:tcPr>
            <w:tcW w:w="1162" w:type="dxa"/>
            <w:noWrap/>
          </w:tcPr>
          <w:p>
            <w:pPr>
              <w:pStyle w:val="yTableNAm"/>
            </w:pPr>
            <w:r>
              <w:t>MyPower non</w:t>
            </w:r>
            <w:r>
              <w:noBreakHyphen/>
              <w:t>residential 40 fixed plan price</w:t>
            </w:r>
          </w:p>
        </w:tc>
        <w:tc>
          <w:tcPr>
            <w:tcW w:w="1560" w:type="dxa"/>
            <w:noWrap/>
          </w:tcPr>
          <w:p>
            <w:pPr>
              <w:pStyle w:val="yTableNAm"/>
            </w:pPr>
            <w:r>
              <w:t>$87.529342 per day</w:t>
            </w:r>
          </w:p>
        </w:tc>
        <w:tc>
          <w:tcPr>
            <w:tcW w:w="1531" w:type="dxa"/>
            <w:noWrap/>
          </w:tcPr>
          <w:p>
            <w:pPr>
              <w:pStyle w:val="yTableNAm"/>
            </w:pPr>
            <w:r>
              <w:t>$0.100000</w:t>
            </w:r>
            <w:r>
              <w:br/>
              <w:t>per unit</w:t>
            </w:r>
          </w:p>
        </w:tc>
        <w:tc>
          <w:tcPr>
            <w:tcW w:w="1275" w:type="dxa"/>
            <w:noWrap/>
          </w:tcPr>
          <w:p>
            <w:pPr>
              <w:pStyle w:val="yTableNAm"/>
            </w:pPr>
            <w:r>
              <w:t>40 units</w:t>
            </w:r>
            <w:r>
              <w:br/>
              <w:t>per hour</w:t>
            </w:r>
          </w:p>
        </w:tc>
      </w:tr>
      <w:tr>
        <w:trPr>
          <w:cantSplit/>
        </w:trPr>
        <w:tc>
          <w:tcPr>
            <w:tcW w:w="1162" w:type="dxa"/>
            <w:noWrap/>
          </w:tcPr>
          <w:p>
            <w:pPr>
              <w:pStyle w:val="yTableNAm"/>
            </w:pPr>
            <w:r>
              <w:lastRenderedPageBreak/>
              <w:t>MyPower non</w:t>
            </w:r>
            <w:r>
              <w:noBreakHyphen/>
              <w:t>residential 50 fixed plan price</w:t>
            </w:r>
          </w:p>
        </w:tc>
        <w:tc>
          <w:tcPr>
            <w:tcW w:w="1560" w:type="dxa"/>
            <w:noWrap/>
          </w:tcPr>
          <w:p>
            <w:pPr>
              <w:pStyle w:val="yTableNAm"/>
            </w:pPr>
            <w:r>
              <w:t>$121.101439 per day</w:t>
            </w:r>
          </w:p>
        </w:tc>
        <w:tc>
          <w:tcPr>
            <w:tcW w:w="1531" w:type="dxa"/>
            <w:noWrap/>
          </w:tcPr>
          <w:p>
            <w:pPr>
              <w:pStyle w:val="yTableNAm"/>
            </w:pPr>
            <w:r>
              <w:t>$0.100000</w:t>
            </w:r>
            <w:r>
              <w:br/>
              <w:t>per unit</w:t>
            </w:r>
          </w:p>
        </w:tc>
        <w:tc>
          <w:tcPr>
            <w:tcW w:w="1275" w:type="dxa"/>
            <w:noWrap/>
          </w:tcPr>
          <w:p>
            <w:pPr>
              <w:pStyle w:val="yTableNAm"/>
            </w:pPr>
            <w:r>
              <w:t>50 units</w:t>
            </w:r>
            <w:r>
              <w:br/>
              <w:t>per hour</w:t>
            </w:r>
          </w:p>
        </w:tc>
      </w:tr>
    </w:tbl>
    <w:p>
      <w:pPr>
        <w:pStyle w:val="ySubsection"/>
      </w:pPr>
      <w:r>
        <w:tab/>
        <w:t>(5)</w:t>
      </w:r>
      <w:r>
        <w:tab/>
        <w:t>Without limiting subclause (3)(b), if a consumer to whom electricity is supplied at premises at a MyPower non</w:t>
      </w:r>
      <w:r>
        <w:noBreakHyphen/>
        <w:t xml:space="preserve">residential tariff (the </w:t>
      </w:r>
      <w:r>
        <w:rPr>
          <w:rStyle w:val="CharDefText"/>
        </w:rPr>
        <w:t>original tariff</w:t>
      </w:r>
      <w:r>
        <w:t>) has exceeded the applicable peak allowance for the original tariff at those premises on 4 or more peak days in a peak period, on and from the day after the 4</w:t>
      </w:r>
      <w:r>
        <w:rPr>
          <w:vertAlign w:val="superscript"/>
        </w:rPr>
        <w:t>th</w:t>
      </w:r>
      <w:r>
        <w:t xml:space="preserve"> of those days the corporation may instead supply electricity to the consumer at the premises at the MyPower non</w:t>
      </w:r>
      <w:r>
        <w:noBreakHyphen/>
        <w:t>residential tariff (if any) that is immediately below the original tariff in the Table to subclause (4) (and the applicable peak allowance is adjusted accordingly).</w:t>
      </w:r>
    </w:p>
    <w:p>
      <w:pPr>
        <w:pStyle w:val="yFootnotesection"/>
      </w:pPr>
      <w:r>
        <w:tab/>
        <w:t>[Clause 9 inserted: SL 2023/84 bl. 4.]</w:t>
      </w:r>
    </w:p>
    <w:p>
      <w:pPr>
        <w:pStyle w:val="yHeading5"/>
      </w:pPr>
      <w:bookmarkStart w:id="26" w:name="_Toc155077569"/>
      <w:r>
        <w:rPr>
          <w:rStyle w:val="CharSClsNo"/>
        </w:rPr>
        <w:t>10</w:t>
      </w:r>
      <w:r>
        <w:t>.</w:t>
      </w:r>
      <w:r>
        <w:tab/>
        <w:t>Eligibility criteria for MyPower tariffs</w:t>
      </w:r>
      <w:bookmarkEnd w:id="26"/>
    </w:p>
    <w:p>
      <w:pPr>
        <w:pStyle w:val="ySubsection"/>
      </w:pPr>
      <w:r>
        <w:tab/>
        <w:t>(1)</w:t>
      </w:r>
      <w:r>
        <w:tab/>
        <w:t>This clause sets out the eligibility criteria that apply to MyPower tariffs for the purposes of clauses 8(3)(a) and 9(3)(a).</w:t>
      </w:r>
    </w:p>
    <w:p>
      <w:pPr>
        <w:pStyle w:val="ySubsection"/>
      </w:pPr>
      <w:r>
        <w:tab/>
        <w:t>(2)</w:t>
      </w:r>
      <w:r>
        <w:tab/>
        <w:t xml:space="preserve">The consumer must — </w:t>
      </w:r>
    </w:p>
    <w:p>
      <w:pPr>
        <w:pStyle w:val="yIndenta"/>
      </w:pPr>
      <w:r>
        <w:tab/>
        <w:t>(a)</w:t>
      </w:r>
      <w:r>
        <w:tab/>
        <w:t>download and maintain the corporation’s mobile application (as provided by the corporation from time to time) on the consumer’s mobile phone or another device; or</w:t>
      </w:r>
    </w:p>
    <w:p>
      <w:pPr>
        <w:pStyle w:val="yIndenta"/>
      </w:pPr>
      <w:r>
        <w:tab/>
        <w:t>(b)</w:t>
      </w:r>
      <w:r>
        <w:tab/>
        <w:t>create and maintain an account on the corporation’s online consumer facility (as provided by the corporation from time to time).</w:t>
      </w:r>
    </w:p>
    <w:p>
      <w:pPr>
        <w:pStyle w:val="ySubsection"/>
      </w:pPr>
      <w:r>
        <w:tab/>
        <w:t>(3)</w:t>
      </w:r>
      <w:r>
        <w:tab/>
        <w:t xml:space="preserve">The consumer must agree to receive and remain capable of receiving — </w:t>
      </w:r>
    </w:p>
    <w:p>
      <w:pPr>
        <w:pStyle w:val="yIndenta"/>
      </w:pPr>
      <w:r>
        <w:tab/>
        <w:t>(a)</w:t>
      </w:r>
      <w:r>
        <w:tab/>
        <w:t>text message alerts from the corporation at a mobile phone number nominated by the consumer; and</w:t>
      </w:r>
    </w:p>
    <w:p>
      <w:pPr>
        <w:pStyle w:val="yIndenta"/>
      </w:pPr>
      <w:r>
        <w:lastRenderedPageBreak/>
        <w:tab/>
        <w:t>(b)</w:t>
      </w:r>
      <w:r>
        <w:tab/>
        <w:t>bills from the corporation at an email address nominated by the consumer.</w:t>
      </w:r>
    </w:p>
    <w:p>
      <w:pPr>
        <w:pStyle w:val="yFootnotesection"/>
      </w:pPr>
      <w:r>
        <w:tab/>
        <w:t>[Clause 10 inserted: SL 2023/84 bl. 4.]</w:t>
      </w:r>
    </w:p>
    <w:p>
      <w:pPr>
        <w:sectPr>
          <w:headerReference w:type="even" r:id="rId24"/>
          <w:headerReference w:type="default" r:id="rId25"/>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7" w:name="_Toc155077570"/>
      <w:r>
        <w:rPr>
          <w:rStyle w:val="CharSchNo"/>
        </w:rPr>
        <w:lastRenderedPageBreak/>
        <w:t>Schedule 2</w:t>
      </w:r>
      <w:r>
        <w:t> — </w:t>
      </w:r>
      <w:r>
        <w:rPr>
          <w:rStyle w:val="CharSchText"/>
        </w:rPr>
        <w:t>Unmetered supply</w:t>
      </w:r>
      <w:bookmarkEnd w:id="27"/>
    </w:p>
    <w:p>
      <w:pPr>
        <w:pStyle w:val="yShoulderClause"/>
      </w:pPr>
      <w:r>
        <w:t>[bl. 4(2) and (3)]</w:t>
      </w:r>
    </w:p>
    <w:p>
      <w:pPr>
        <w:pStyle w:val="yFootnoteheading"/>
      </w:pPr>
      <w:r>
        <w:tab/>
        <w:t>[Heading inserted: SL 2023/84 bl. 4.]</w:t>
      </w:r>
    </w:p>
    <w:p>
      <w:pPr>
        <w:pStyle w:val="yHeading3"/>
      </w:pPr>
      <w:bookmarkStart w:id="28" w:name="_Toc155077571"/>
      <w:r>
        <w:rPr>
          <w:rStyle w:val="CharSDivNo"/>
        </w:rPr>
        <w:t>Division 1</w:t>
      </w:r>
      <w:r>
        <w:t> — </w:t>
      </w:r>
      <w:r>
        <w:rPr>
          <w:rStyle w:val="CharSDivText"/>
        </w:rPr>
        <w:t>Street lighting</w:t>
      </w:r>
      <w:bookmarkEnd w:id="28"/>
    </w:p>
    <w:p>
      <w:pPr>
        <w:pStyle w:val="yFootnoteheading"/>
        <w:spacing w:after="60"/>
      </w:pPr>
      <w:r>
        <w:tab/>
        <w:t>[Heading inserted: SL 2023/84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81"/>
        <w:gridCol w:w="1275"/>
        <w:gridCol w:w="1299"/>
        <w:gridCol w:w="1512"/>
        <w:gridCol w:w="1370"/>
      </w:tblGrid>
      <w:tr>
        <w:trPr>
          <w:cantSplit/>
          <w:tblHeader/>
        </w:trPr>
        <w:tc>
          <w:tcPr>
            <w:tcW w:w="567" w:type="dxa"/>
            <w:tcBorders>
              <w:top w:val="single" w:sz="4" w:space="0" w:color="auto"/>
              <w:bottom w:val="single" w:sz="4" w:space="0" w:color="auto"/>
            </w:tcBorders>
            <w:noWrap/>
          </w:tcPr>
          <w:p>
            <w:pPr>
              <w:pStyle w:val="yTableNAm"/>
            </w:pPr>
            <w:r>
              <w:rPr>
                <w:b/>
                <w:bCs/>
                <w:sz w:val="16"/>
                <w:szCs w:val="16"/>
              </w:rPr>
              <w:t>Item</w:t>
            </w:r>
          </w:p>
        </w:tc>
        <w:tc>
          <w:tcPr>
            <w:tcW w:w="781" w:type="dxa"/>
            <w:tcBorders>
              <w:top w:val="single" w:sz="4" w:space="0" w:color="auto"/>
              <w:bottom w:val="single" w:sz="4" w:space="0" w:color="auto"/>
            </w:tcBorders>
            <w:noWrap/>
          </w:tcPr>
          <w:p>
            <w:pPr>
              <w:pStyle w:val="yTableNAm"/>
            </w:pPr>
            <w:r>
              <w:rPr>
                <w:b/>
                <w:bCs/>
                <w:sz w:val="16"/>
                <w:szCs w:val="16"/>
              </w:rPr>
              <w:t>Wattage</w:t>
            </w:r>
          </w:p>
        </w:tc>
        <w:tc>
          <w:tcPr>
            <w:tcW w:w="1275" w:type="dxa"/>
            <w:tcBorders>
              <w:top w:val="single" w:sz="4" w:space="0" w:color="auto"/>
              <w:bottom w:val="single" w:sz="4" w:space="0" w:color="auto"/>
            </w:tcBorders>
            <w:noWrap/>
          </w:tcPr>
          <w:p>
            <w:pPr>
              <w:pStyle w:val="yTableNAm"/>
            </w:pPr>
            <w:r>
              <w:rPr>
                <w:b/>
                <w:bCs/>
                <w:sz w:val="16"/>
                <w:szCs w:val="16"/>
              </w:rPr>
              <w:t>Type</w:t>
            </w:r>
          </w:p>
        </w:tc>
        <w:tc>
          <w:tcPr>
            <w:tcW w:w="1299" w:type="dxa"/>
            <w:tcBorders>
              <w:top w:val="single" w:sz="4" w:space="0" w:color="auto"/>
              <w:bottom w:val="single" w:sz="4" w:space="0" w:color="auto"/>
            </w:tcBorders>
            <w:noWrap/>
          </w:tcPr>
          <w:p>
            <w:pPr>
              <w:pStyle w:val="yTableNAm"/>
              <w:jc w:val="center"/>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noWrap/>
          </w:tcPr>
          <w:p>
            <w:pPr>
              <w:pStyle w:val="yTableNAm"/>
              <w:jc w:val="center"/>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noWrap/>
          </w:tcPr>
          <w:p>
            <w:pPr>
              <w:pStyle w:val="yTableNAm"/>
              <w:jc w:val="center"/>
            </w:pPr>
            <w:r>
              <w:rPr>
                <w:b/>
                <w:bCs/>
                <w:spacing w:val="-8"/>
                <w:sz w:val="16"/>
                <w:szCs w:val="16"/>
              </w:rPr>
              <w:t>Dawn Switch</w:t>
            </w:r>
            <w:r>
              <w:rPr>
                <w:b/>
                <w:bCs/>
                <w:spacing w:val="-8"/>
                <w:sz w:val="16"/>
                <w:szCs w:val="16"/>
              </w:rPr>
              <w:noBreakHyphen/>
              <w:t>off cents per day</w:t>
            </w:r>
          </w:p>
        </w:tc>
      </w:tr>
      <w:tr>
        <w:trPr>
          <w:cantSplit/>
        </w:trPr>
        <w:tc>
          <w:tcPr>
            <w:tcW w:w="6804" w:type="dxa"/>
            <w:gridSpan w:val="6"/>
            <w:noWrap/>
          </w:tcPr>
          <w:p>
            <w:pPr>
              <w:pStyle w:val="yTableNAm"/>
            </w:pPr>
            <w:r>
              <w:rPr>
                <w:b/>
                <w:i/>
                <w:iCs/>
                <w:sz w:val="16"/>
                <w:szCs w:val="16"/>
              </w:rPr>
              <w:t>Street lighting on current offer and for existing services</w:t>
            </w:r>
          </w:p>
        </w:tc>
      </w:tr>
      <w:tr>
        <w:trPr>
          <w:cantSplit/>
        </w:trPr>
        <w:tc>
          <w:tcPr>
            <w:tcW w:w="567" w:type="dxa"/>
            <w:noWrap/>
          </w:tcPr>
          <w:p>
            <w:pPr>
              <w:pStyle w:val="yTableNAm"/>
            </w:pPr>
            <w:r>
              <w:rPr>
                <w:sz w:val="16"/>
                <w:szCs w:val="16"/>
              </w:rPr>
              <w:t>Z.01</w:t>
            </w:r>
          </w:p>
        </w:tc>
        <w:tc>
          <w:tcPr>
            <w:tcW w:w="781" w:type="dxa"/>
            <w:noWrap/>
          </w:tcPr>
          <w:p>
            <w:pPr>
              <w:pStyle w:val="yTableNAm"/>
            </w:pPr>
            <w:r>
              <w:rPr>
                <w:sz w:val="16"/>
                <w:szCs w:val="16"/>
              </w:rPr>
              <w:t>50</w:t>
            </w:r>
          </w:p>
        </w:tc>
        <w:tc>
          <w:tcPr>
            <w:tcW w:w="1275" w:type="dxa"/>
            <w:noWrap/>
          </w:tcPr>
          <w:p>
            <w:pPr>
              <w:pStyle w:val="yTableNAm"/>
            </w:pPr>
            <w:r>
              <w:rPr>
                <w:sz w:val="16"/>
                <w:szCs w:val="16"/>
              </w:rPr>
              <w:t>Mercury vapour</w:t>
            </w:r>
          </w:p>
        </w:tc>
        <w:tc>
          <w:tcPr>
            <w:tcW w:w="1299" w:type="dxa"/>
            <w:noWrap/>
          </w:tcPr>
          <w:p>
            <w:pPr>
              <w:pStyle w:val="yTableNAm"/>
              <w:jc w:val="right"/>
              <w:rPr>
                <w:sz w:val="16"/>
                <w:szCs w:val="16"/>
              </w:rPr>
            </w:pPr>
            <w:r>
              <w:rPr>
                <w:sz w:val="16"/>
                <w:szCs w:val="16"/>
              </w:rPr>
              <w:t>58.6881</w:t>
            </w:r>
          </w:p>
        </w:tc>
        <w:tc>
          <w:tcPr>
            <w:tcW w:w="1512" w:type="dxa"/>
            <w:noWrap/>
          </w:tcPr>
          <w:p>
            <w:pPr>
              <w:pStyle w:val="yTableNAm"/>
              <w:jc w:val="right"/>
              <w:rPr>
                <w:sz w:val="16"/>
                <w:szCs w:val="16"/>
              </w:rPr>
            </w:pPr>
            <w:r>
              <w:rPr>
                <w:sz w:val="16"/>
                <w:szCs w:val="16"/>
              </w:rPr>
              <w:t>59.8393</w:t>
            </w:r>
          </w:p>
        </w:tc>
        <w:tc>
          <w:tcPr>
            <w:tcW w:w="1370" w:type="dxa"/>
            <w:noWrap/>
          </w:tcPr>
          <w:p>
            <w:pPr>
              <w:pStyle w:val="yTableNAm"/>
              <w:jc w:val="right"/>
              <w:rPr>
                <w:sz w:val="16"/>
                <w:szCs w:val="16"/>
              </w:rPr>
            </w:pPr>
            <w:r>
              <w:rPr>
                <w:sz w:val="16"/>
                <w:szCs w:val="16"/>
              </w:rPr>
              <w:t>64.1308</w:t>
            </w:r>
          </w:p>
        </w:tc>
      </w:tr>
      <w:tr>
        <w:trPr>
          <w:cantSplit/>
        </w:trPr>
        <w:tc>
          <w:tcPr>
            <w:tcW w:w="567" w:type="dxa"/>
            <w:noWrap/>
          </w:tcPr>
          <w:p>
            <w:pPr>
              <w:pStyle w:val="yTableNAm"/>
            </w:pPr>
            <w:r>
              <w:rPr>
                <w:sz w:val="16"/>
                <w:szCs w:val="16"/>
              </w:rPr>
              <w:t>Z.02</w:t>
            </w:r>
          </w:p>
        </w:tc>
        <w:tc>
          <w:tcPr>
            <w:tcW w:w="781" w:type="dxa"/>
            <w:noWrap/>
          </w:tcPr>
          <w:p>
            <w:pPr>
              <w:pStyle w:val="yTableNAm"/>
            </w:pPr>
            <w:r>
              <w:rPr>
                <w:sz w:val="16"/>
                <w:szCs w:val="16"/>
              </w:rPr>
              <w:t>80</w:t>
            </w:r>
          </w:p>
        </w:tc>
        <w:tc>
          <w:tcPr>
            <w:tcW w:w="1275" w:type="dxa"/>
            <w:noWrap/>
          </w:tcPr>
          <w:p>
            <w:pPr>
              <w:pStyle w:val="yTableNAm"/>
            </w:pPr>
            <w:r>
              <w:rPr>
                <w:sz w:val="16"/>
                <w:szCs w:val="16"/>
              </w:rPr>
              <w:t>Mercury vapour</w:t>
            </w:r>
          </w:p>
        </w:tc>
        <w:tc>
          <w:tcPr>
            <w:tcW w:w="1299" w:type="dxa"/>
            <w:noWrap/>
          </w:tcPr>
          <w:p>
            <w:pPr>
              <w:pStyle w:val="yTableNAm"/>
              <w:jc w:val="right"/>
              <w:rPr>
                <w:sz w:val="16"/>
                <w:szCs w:val="16"/>
              </w:rPr>
            </w:pPr>
            <w:r>
              <w:rPr>
                <w:sz w:val="16"/>
                <w:szCs w:val="16"/>
              </w:rPr>
              <w:t>64.4156</w:t>
            </w:r>
          </w:p>
        </w:tc>
        <w:tc>
          <w:tcPr>
            <w:tcW w:w="1512" w:type="dxa"/>
            <w:noWrap/>
          </w:tcPr>
          <w:p>
            <w:pPr>
              <w:pStyle w:val="yTableNAm"/>
              <w:jc w:val="right"/>
              <w:rPr>
                <w:sz w:val="16"/>
                <w:szCs w:val="16"/>
              </w:rPr>
            </w:pPr>
            <w:r>
              <w:rPr>
                <w:sz w:val="16"/>
                <w:szCs w:val="16"/>
              </w:rPr>
              <w:t>65.8049</w:t>
            </w:r>
          </w:p>
        </w:tc>
        <w:tc>
          <w:tcPr>
            <w:tcW w:w="1370" w:type="dxa"/>
            <w:noWrap/>
          </w:tcPr>
          <w:p>
            <w:pPr>
              <w:pStyle w:val="yTableNAm"/>
              <w:jc w:val="right"/>
              <w:rPr>
                <w:sz w:val="16"/>
                <w:szCs w:val="16"/>
              </w:rPr>
            </w:pPr>
            <w:r>
              <w:rPr>
                <w:sz w:val="16"/>
                <w:szCs w:val="16"/>
              </w:rPr>
              <w:t>71.4395</w:t>
            </w:r>
          </w:p>
        </w:tc>
      </w:tr>
      <w:tr>
        <w:trPr>
          <w:cantSplit/>
        </w:trPr>
        <w:tc>
          <w:tcPr>
            <w:tcW w:w="567" w:type="dxa"/>
            <w:noWrap/>
          </w:tcPr>
          <w:p>
            <w:pPr>
              <w:pStyle w:val="yTableNAm"/>
            </w:pPr>
            <w:r>
              <w:rPr>
                <w:sz w:val="16"/>
                <w:szCs w:val="16"/>
              </w:rPr>
              <w:t>Z.03</w:t>
            </w:r>
          </w:p>
        </w:tc>
        <w:tc>
          <w:tcPr>
            <w:tcW w:w="781" w:type="dxa"/>
            <w:noWrap/>
          </w:tcPr>
          <w:p>
            <w:pPr>
              <w:pStyle w:val="yTableNAm"/>
            </w:pPr>
            <w:r>
              <w:rPr>
                <w:sz w:val="16"/>
                <w:szCs w:val="16"/>
              </w:rPr>
              <w:t>125</w:t>
            </w:r>
          </w:p>
        </w:tc>
        <w:tc>
          <w:tcPr>
            <w:tcW w:w="1275" w:type="dxa"/>
            <w:noWrap/>
          </w:tcPr>
          <w:p>
            <w:pPr>
              <w:pStyle w:val="yTableNAm"/>
            </w:pPr>
            <w:r>
              <w:rPr>
                <w:sz w:val="16"/>
                <w:szCs w:val="16"/>
              </w:rPr>
              <w:t>Mercury vapour</w:t>
            </w:r>
          </w:p>
        </w:tc>
        <w:tc>
          <w:tcPr>
            <w:tcW w:w="1299" w:type="dxa"/>
            <w:noWrap/>
          </w:tcPr>
          <w:p>
            <w:pPr>
              <w:pStyle w:val="yTableNAm"/>
              <w:jc w:val="right"/>
              <w:rPr>
                <w:sz w:val="16"/>
                <w:szCs w:val="16"/>
              </w:rPr>
            </w:pPr>
            <w:r>
              <w:rPr>
                <w:sz w:val="16"/>
                <w:szCs w:val="16"/>
              </w:rPr>
              <w:t>72.9941</w:t>
            </w:r>
          </w:p>
        </w:tc>
        <w:tc>
          <w:tcPr>
            <w:tcW w:w="1512" w:type="dxa"/>
            <w:noWrap/>
          </w:tcPr>
          <w:p>
            <w:pPr>
              <w:pStyle w:val="yTableNAm"/>
              <w:jc w:val="right"/>
              <w:rPr>
                <w:sz w:val="16"/>
                <w:szCs w:val="16"/>
              </w:rPr>
            </w:pPr>
            <w:r>
              <w:rPr>
                <w:sz w:val="16"/>
                <w:szCs w:val="16"/>
              </w:rPr>
              <w:t>75.2517</w:t>
            </w:r>
          </w:p>
        </w:tc>
        <w:tc>
          <w:tcPr>
            <w:tcW w:w="1370" w:type="dxa"/>
            <w:noWrap/>
          </w:tcPr>
          <w:p>
            <w:pPr>
              <w:pStyle w:val="yTableNAm"/>
              <w:jc w:val="right"/>
              <w:rPr>
                <w:sz w:val="16"/>
                <w:szCs w:val="16"/>
              </w:rPr>
            </w:pPr>
            <w:r>
              <w:rPr>
                <w:sz w:val="16"/>
                <w:szCs w:val="16"/>
              </w:rPr>
              <w:t>83.6507</w:t>
            </w:r>
          </w:p>
        </w:tc>
      </w:tr>
      <w:tr>
        <w:trPr>
          <w:cantSplit/>
        </w:trPr>
        <w:tc>
          <w:tcPr>
            <w:tcW w:w="567" w:type="dxa"/>
            <w:noWrap/>
          </w:tcPr>
          <w:p>
            <w:pPr>
              <w:pStyle w:val="yTableNAm"/>
            </w:pPr>
            <w:r>
              <w:rPr>
                <w:sz w:val="16"/>
                <w:szCs w:val="16"/>
              </w:rPr>
              <w:t>Z.07</w:t>
            </w:r>
          </w:p>
        </w:tc>
        <w:tc>
          <w:tcPr>
            <w:tcW w:w="781" w:type="dxa"/>
            <w:noWrap/>
          </w:tcPr>
          <w:p>
            <w:pPr>
              <w:pStyle w:val="yTableNAm"/>
            </w:pPr>
            <w:r>
              <w:rPr>
                <w:sz w:val="16"/>
                <w:szCs w:val="16"/>
              </w:rPr>
              <w:t>250</w:t>
            </w:r>
          </w:p>
        </w:tc>
        <w:tc>
          <w:tcPr>
            <w:tcW w:w="1275" w:type="dxa"/>
            <w:noWrap/>
          </w:tcPr>
          <w:p>
            <w:pPr>
              <w:pStyle w:val="yTableNAm"/>
            </w:pPr>
            <w:r>
              <w:rPr>
                <w:sz w:val="16"/>
                <w:szCs w:val="16"/>
              </w:rPr>
              <w:t>Mercury vapour</w:t>
            </w:r>
          </w:p>
        </w:tc>
        <w:tc>
          <w:tcPr>
            <w:tcW w:w="1299" w:type="dxa"/>
            <w:noWrap/>
          </w:tcPr>
          <w:p>
            <w:pPr>
              <w:pStyle w:val="yTableNAm"/>
              <w:jc w:val="right"/>
              <w:rPr>
                <w:sz w:val="16"/>
                <w:szCs w:val="16"/>
              </w:rPr>
            </w:pPr>
            <w:r>
              <w:rPr>
                <w:sz w:val="16"/>
                <w:szCs w:val="16"/>
              </w:rPr>
              <w:t>86.5374</w:t>
            </w:r>
          </w:p>
        </w:tc>
        <w:tc>
          <w:tcPr>
            <w:tcW w:w="1512" w:type="dxa"/>
            <w:noWrap/>
          </w:tcPr>
          <w:p>
            <w:pPr>
              <w:pStyle w:val="yTableNAm"/>
              <w:jc w:val="right"/>
              <w:rPr>
                <w:sz w:val="16"/>
                <w:szCs w:val="16"/>
              </w:rPr>
            </w:pPr>
            <w:r>
              <w:rPr>
                <w:sz w:val="16"/>
                <w:szCs w:val="16"/>
              </w:rPr>
              <w:t>90.6815</w:t>
            </w:r>
          </w:p>
        </w:tc>
        <w:tc>
          <w:tcPr>
            <w:tcW w:w="1370" w:type="dxa"/>
            <w:noWrap/>
          </w:tcPr>
          <w:p>
            <w:pPr>
              <w:pStyle w:val="yTableNAm"/>
              <w:jc w:val="right"/>
              <w:rPr>
                <w:sz w:val="16"/>
                <w:szCs w:val="16"/>
              </w:rPr>
            </w:pPr>
            <w:r>
              <w:rPr>
                <w:sz w:val="16"/>
                <w:szCs w:val="16"/>
              </w:rPr>
              <w:t>106.2839</w:t>
            </w:r>
          </w:p>
        </w:tc>
      </w:tr>
      <w:tr>
        <w:trPr>
          <w:cantSplit/>
        </w:trPr>
        <w:tc>
          <w:tcPr>
            <w:tcW w:w="567" w:type="dxa"/>
            <w:noWrap/>
          </w:tcPr>
          <w:p>
            <w:pPr>
              <w:pStyle w:val="yTableNAm"/>
            </w:pPr>
            <w:r>
              <w:rPr>
                <w:sz w:val="16"/>
                <w:szCs w:val="16"/>
              </w:rPr>
              <w:t>Z.10</w:t>
            </w:r>
          </w:p>
        </w:tc>
        <w:tc>
          <w:tcPr>
            <w:tcW w:w="781" w:type="dxa"/>
            <w:noWrap/>
          </w:tcPr>
          <w:p>
            <w:pPr>
              <w:pStyle w:val="yTableNAm"/>
            </w:pPr>
            <w:r>
              <w:rPr>
                <w:sz w:val="16"/>
                <w:szCs w:val="16"/>
              </w:rPr>
              <w:t>400</w:t>
            </w:r>
          </w:p>
        </w:tc>
        <w:tc>
          <w:tcPr>
            <w:tcW w:w="1275" w:type="dxa"/>
            <w:noWrap/>
          </w:tcPr>
          <w:p>
            <w:pPr>
              <w:pStyle w:val="yTableNAm"/>
            </w:pPr>
            <w:r>
              <w:rPr>
                <w:sz w:val="16"/>
                <w:szCs w:val="16"/>
              </w:rPr>
              <w:t>Mercury vapour</w:t>
            </w:r>
          </w:p>
        </w:tc>
        <w:tc>
          <w:tcPr>
            <w:tcW w:w="1299" w:type="dxa"/>
            <w:noWrap/>
          </w:tcPr>
          <w:p>
            <w:pPr>
              <w:pStyle w:val="yTableNAm"/>
              <w:jc w:val="right"/>
              <w:rPr>
                <w:sz w:val="16"/>
                <w:szCs w:val="16"/>
              </w:rPr>
            </w:pPr>
            <w:r>
              <w:rPr>
                <w:sz w:val="16"/>
                <w:szCs w:val="16"/>
              </w:rPr>
              <w:t>99.3749</w:t>
            </w:r>
          </w:p>
        </w:tc>
        <w:tc>
          <w:tcPr>
            <w:tcW w:w="1512" w:type="dxa"/>
            <w:noWrap/>
          </w:tcPr>
          <w:p>
            <w:pPr>
              <w:pStyle w:val="yTableNAm"/>
              <w:jc w:val="right"/>
              <w:rPr>
                <w:sz w:val="16"/>
                <w:szCs w:val="16"/>
              </w:rPr>
            </w:pPr>
            <w:r>
              <w:rPr>
                <w:sz w:val="16"/>
                <w:szCs w:val="16"/>
              </w:rPr>
              <w:t>103.6722</w:t>
            </w:r>
          </w:p>
        </w:tc>
        <w:tc>
          <w:tcPr>
            <w:tcW w:w="1370" w:type="dxa"/>
            <w:noWrap/>
          </w:tcPr>
          <w:p>
            <w:pPr>
              <w:pStyle w:val="yTableNAm"/>
              <w:jc w:val="right"/>
              <w:rPr>
                <w:sz w:val="16"/>
                <w:szCs w:val="16"/>
              </w:rPr>
            </w:pPr>
            <w:r>
              <w:rPr>
                <w:sz w:val="16"/>
                <w:szCs w:val="16"/>
              </w:rPr>
              <w:t>135.7478</w:t>
            </w:r>
          </w:p>
        </w:tc>
      </w:tr>
      <w:tr>
        <w:trPr>
          <w:cantSplit/>
        </w:trPr>
        <w:tc>
          <w:tcPr>
            <w:tcW w:w="567" w:type="dxa"/>
            <w:noWrap/>
          </w:tcPr>
          <w:p>
            <w:pPr>
              <w:pStyle w:val="yTableNAm"/>
            </w:pPr>
            <w:r>
              <w:rPr>
                <w:sz w:val="16"/>
                <w:szCs w:val="16"/>
              </w:rPr>
              <w:t>Z.13</w:t>
            </w:r>
          </w:p>
        </w:tc>
        <w:tc>
          <w:tcPr>
            <w:tcW w:w="781" w:type="dxa"/>
            <w:noWrap/>
          </w:tcPr>
          <w:p>
            <w:pPr>
              <w:pStyle w:val="yTableNAm"/>
            </w:pPr>
            <w:r>
              <w:rPr>
                <w:sz w:val="16"/>
                <w:szCs w:val="16"/>
              </w:rPr>
              <w:t>150</w:t>
            </w:r>
          </w:p>
        </w:tc>
        <w:tc>
          <w:tcPr>
            <w:tcW w:w="1275" w:type="dxa"/>
            <w:noWrap/>
          </w:tcPr>
          <w:p>
            <w:pPr>
              <w:pStyle w:val="yTableNAm"/>
            </w:pPr>
            <w:r>
              <w:rPr>
                <w:sz w:val="16"/>
                <w:szCs w:val="16"/>
              </w:rPr>
              <w:t>High pressure sodium</w:t>
            </w:r>
          </w:p>
        </w:tc>
        <w:tc>
          <w:tcPr>
            <w:tcW w:w="1299" w:type="dxa"/>
            <w:noWrap/>
          </w:tcPr>
          <w:p>
            <w:pPr>
              <w:pStyle w:val="yTableNAm"/>
              <w:jc w:val="right"/>
              <w:rPr>
                <w:sz w:val="16"/>
                <w:szCs w:val="16"/>
              </w:rPr>
            </w:pPr>
            <w:r>
              <w:rPr>
                <w:sz w:val="16"/>
                <w:szCs w:val="16"/>
              </w:rPr>
              <w:t>72.8359</w:t>
            </w:r>
          </w:p>
        </w:tc>
        <w:tc>
          <w:tcPr>
            <w:tcW w:w="1512" w:type="dxa"/>
            <w:noWrap/>
          </w:tcPr>
          <w:p>
            <w:pPr>
              <w:pStyle w:val="yTableNAm"/>
              <w:jc w:val="right"/>
              <w:rPr>
                <w:sz w:val="16"/>
                <w:szCs w:val="16"/>
              </w:rPr>
            </w:pPr>
            <w:r>
              <w:rPr>
                <w:sz w:val="16"/>
                <w:szCs w:val="16"/>
              </w:rPr>
              <w:t>75.2635</w:t>
            </w:r>
          </w:p>
        </w:tc>
        <w:tc>
          <w:tcPr>
            <w:tcW w:w="1370" w:type="dxa"/>
            <w:noWrap/>
          </w:tcPr>
          <w:p>
            <w:pPr>
              <w:pStyle w:val="yTableNAm"/>
              <w:jc w:val="right"/>
              <w:rPr>
                <w:sz w:val="16"/>
                <w:szCs w:val="16"/>
              </w:rPr>
            </w:pPr>
            <w:r>
              <w:rPr>
                <w:sz w:val="16"/>
                <w:szCs w:val="16"/>
              </w:rPr>
              <w:t>86.0759</w:t>
            </w:r>
          </w:p>
        </w:tc>
      </w:tr>
      <w:tr>
        <w:trPr>
          <w:cantSplit/>
        </w:trPr>
        <w:tc>
          <w:tcPr>
            <w:tcW w:w="567" w:type="dxa"/>
            <w:noWrap/>
          </w:tcPr>
          <w:p>
            <w:pPr>
              <w:pStyle w:val="yTableNAm"/>
            </w:pPr>
            <w:r>
              <w:rPr>
                <w:sz w:val="16"/>
                <w:szCs w:val="16"/>
              </w:rPr>
              <w:t>Z.15</w:t>
            </w:r>
          </w:p>
        </w:tc>
        <w:tc>
          <w:tcPr>
            <w:tcW w:w="781" w:type="dxa"/>
            <w:noWrap/>
          </w:tcPr>
          <w:p>
            <w:pPr>
              <w:pStyle w:val="yTableNAm"/>
            </w:pPr>
            <w:r>
              <w:rPr>
                <w:sz w:val="16"/>
                <w:szCs w:val="16"/>
              </w:rPr>
              <w:t>250</w:t>
            </w:r>
          </w:p>
        </w:tc>
        <w:tc>
          <w:tcPr>
            <w:tcW w:w="1275" w:type="dxa"/>
            <w:noWrap/>
          </w:tcPr>
          <w:p>
            <w:pPr>
              <w:pStyle w:val="yTableNAm"/>
            </w:pPr>
            <w:r>
              <w:rPr>
                <w:sz w:val="16"/>
                <w:szCs w:val="16"/>
              </w:rPr>
              <w:t>High pressure sodium</w:t>
            </w:r>
          </w:p>
        </w:tc>
        <w:tc>
          <w:tcPr>
            <w:tcW w:w="1299" w:type="dxa"/>
            <w:noWrap/>
          </w:tcPr>
          <w:p>
            <w:pPr>
              <w:pStyle w:val="yTableNAm"/>
              <w:jc w:val="right"/>
              <w:rPr>
                <w:sz w:val="16"/>
                <w:szCs w:val="16"/>
              </w:rPr>
            </w:pPr>
            <w:r>
              <w:rPr>
                <w:sz w:val="16"/>
                <w:szCs w:val="16"/>
              </w:rPr>
              <w:t>89.0592</w:t>
            </w:r>
          </w:p>
        </w:tc>
        <w:tc>
          <w:tcPr>
            <w:tcW w:w="1512" w:type="dxa"/>
            <w:noWrap/>
          </w:tcPr>
          <w:p>
            <w:pPr>
              <w:pStyle w:val="yTableNAm"/>
              <w:jc w:val="right"/>
              <w:rPr>
                <w:sz w:val="16"/>
                <w:szCs w:val="16"/>
              </w:rPr>
            </w:pPr>
            <w:r>
              <w:rPr>
                <w:sz w:val="16"/>
                <w:szCs w:val="16"/>
              </w:rPr>
              <w:t>93.5399</w:t>
            </w:r>
          </w:p>
        </w:tc>
        <w:tc>
          <w:tcPr>
            <w:tcW w:w="1370" w:type="dxa"/>
            <w:noWrap/>
          </w:tcPr>
          <w:p>
            <w:pPr>
              <w:pStyle w:val="yTableNAm"/>
              <w:jc w:val="right"/>
              <w:rPr>
                <w:sz w:val="16"/>
                <w:szCs w:val="16"/>
              </w:rPr>
            </w:pPr>
            <w:r>
              <w:rPr>
                <w:sz w:val="16"/>
                <w:szCs w:val="16"/>
              </w:rPr>
              <w:t>110.6437</w:t>
            </w:r>
          </w:p>
        </w:tc>
      </w:tr>
      <w:tr>
        <w:trPr>
          <w:cantSplit/>
        </w:trPr>
        <w:tc>
          <w:tcPr>
            <w:tcW w:w="567" w:type="dxa"/>
            <w:noWrap/>
          </w:tcPr>
          <w:p>
            <w:pPr>
              <w:pStyle w:val="yTableNAm"/>
            </w:pPr>
            <w:r>
              <w:rPr>
                <w:sz w:val="16"/>
                <w:szCs w:val="16"/>
              </w:rPr>
              <w:t>Z.18</w:t>
            </w:r>
          </w:p>
        </w:tc>
        <w:tc>
          <w:tcPr>
            <w:tcW w:w="781" w:type="dxa"/>
            <w:noWrap/>
          </w:tcPr>
          <w:p>
            <w:pPr>
              <w:pStyle w:val="yTableNAm"/>
            </w:pPr>
            <w:r>
              <w:rPr>
                <w:sz w:val="16"/>
                <w:szCs w:val="16"/>
              </w:rPr>
              <w:t>per kW</w:t>
            </w:r>
          </w:p>
        </w:tc>
        <w:tc>
          <w:tcPr>
            <w:tcW w:w="1275" w:type="dxa"/>
            <w:noWrap/>
          </w:tcPr>
          <w:p>
            <w:pPr>
              <w:pStyle w:val="yTableNAm"/>
            </w:pPr>
            <w:r>
              <w:rPr>
                <w:sz w:val="16"/>
                <w:szCs w:val="16"/>
              </w:rPr>
              <w:t>Auxiliary lighting in public places</w:t>
            </w:r>
          </w:p>
        </w:tc>
        <w:tc>
          <w:tcPr>
            <w:tcW w:w="1299" w:type="dxa"/>
            <w:noWrap/>
          </w:tcPr>
          <w:p>
            <w:pPr>
              <w:pStyle w:val="yTableNAm"/>
              <w:jc w:val="right"/>
              <w:rPr>
                <w:sz w:val="16"/>
                <w:szCs w:val="16"/>
              </w:rPr>
            </w:pPr>
            <w:r>
              <w:rPr>
                <w:sz w:val="16"/>
                <w:szCs w:val="16"/>
              </w:rPr>
              <w:t>Not applicable</w:t>
            </w:r>
          </w:p>
        </w:tc>
        <w:tc>
          <w:tcPr>
            <w:tcW w:w="1512" w:type="dxa"/>
            <w:noWrap/>
          </w:tcPr>
          <w:p>
            <w:pPr>
              <w:pStyle w:val="yTableNAm"/>
              <w:jc w:val="right"/>
              <w:rPr>
                <w:sz w:val="16"/>
                <w:szCs w:val="16"/>
              </w:rPr>
            </w:pPr>
            <w:r>
              <w:rPr>
                <w:sz w:val="16"/>
                <w:szCs w:val="16"/>
              </w:rPr>
              <w:t>Not applicable</w:t>
            </w:r>
          </w:p>
        </w:tc>
        <w:tc>
          <w:tcPr>
            <w:tcW w:w="1370" w:type="dxa"/>
            <w:noWrap/>
          </w:tcPr>
          <w:p>
            <w:pPr>
              <w:pStyle w:val="yTableNAm"/>
              <w:jc w:val="right"/>
              <w:rPr>
                <w:sz w:val="16"/>
                <w:szCs w:val="16"/>
              </w:rPr>
            </w:pPr>
            <w:r>
              <w:rPr>
                <w:sz w:val="16"/>
                <w:szCs w:val="16"/>
              </w:rPr>
              <w:t>322.5459</w:t>
            </w:r>
          </w:p>
        </w:tc>
      </w:tr>
      <w:tr>
        <w:trPr>
          <w:cantSplit/>
        </w:trPr>
        <w:tc>
          <w:tcPr>
            <w:tcW w:w="567" w:type="dxa"/>
            <w:noWrap/>
          </w:tcPr>
          <w:p>
            <w:pPr>
              <w:pStyle w:val="yTableNAm"/>
              <w:rPr>
                <w:sz w:val="16"/>
                <w:szCs w:val="16"/>
              </w:rPr>
            </w:pPr>
            <w:r>
              <w:rPr>
                <w:sz w:val="16"/>
                <w:szCs w:val="16"/>
              </w:rPr>
              <w:t>Z.59</w:t>
            </w:r>
          </w:p>
        </w:tc>
        <w:tc>
          <w:tcPr>
            <w:tcW w:w="781" w:type="dxa"/>
            <w:noWrap/>
          </w:tcPr>
          <w:p>
            <w:pPr>
              <w:pStyle w:val="yTableNAm"/>
              <w:rPr>
                <w:sz w:val="16"/>
                <w:szCs w:val="16"/>
              </w:rPr>
            </w:pPr>
            <w:r>
              <w:rPr>
                <w:sz w:val="16"/>
                <w:szCs w:val="16"/>
              </w:rPr>
              <w:t>66</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r>
              <w:rPr>
                <w:sz w:val="16"/>
                <w:szCs w:val="16"/>
              </w:rPr>
              <w:t>59.9260</w:t>
            </w:r>
          </w:p>
        </w:tc>
        <w:tc>
          <w:tcPr>
            <w:tcW w:w="1512" w:type="dxa"/>
            <w:noWrap/>
            <w:vAlign w:val="bottom"/>
          </w:tcPr>
          <w:p>
            <w:pPr>
              <w:pStyle w:val="yTableNAm"/>
              <w:jc w:val="right"/>
              <w:rPr>
                <w:sz w:val="16"/>
                <w:szCs w:val="16"/>
              </w:rPr>
            </w:pPr>
            <w:r>
              <w:rPr>
                <w:sz w:val="16"/>
                <w:szCs w:val="16"/>
              </w:rPr>
              <w:t>61.1030</w:t>
            </w:r>
          </w:p>
        </w:tc>
        <w:tc>
          <w:tcPr>
            <w:tcW w:w="1370" w:type="dxa"/>
            <w:noWrap/>
          </w:tcPr>
          <w:p>
            <w:pPr>
              <w:pStyle w:val="yTableNAm"/>
              <w:jc w:val="right"/>
              <w:rPr>
                <w:sz w:val="16"/>
                <w:szCs w:val="16"/>
              </w:rPr>
            </w:pPr>
            <w:r>
              <w:rPr>
                <w:sz w:val="16"/>
                <w:szCs w:val="16"/>
              </w:rPr>
              <w:t>64.7935</w:t>
            </w:r>
          </w:p>
        </w:tc>
      </w:tr>
      <w:tr>
        <w:trPr>
          <w:cantSplit/>
        </w:trPr>
        <w:tc>
          <w:tcPr>
            <w:tcW w:w="567" w:type="dxa"/>
            <w:noWrap/>
          </w:tcPr>
          <w:p>
            <w:pPr>
              <w:pStyle w:val="yTableNAm"/>
              <w:rPr>
                <w:sz w:val="16"/>
                <w:szCs w:val="16"/>
              </w:rPr>
            </w:pPr>
            <w:r>
              <w:rPr>
                <w:sz w:val="16"/>
                <w:szCs w:val="16"/>
              </w:rPr>
              <w:t>Z.60</w:t>
            </w:r>
          </w:p>
        </w:tc>
        <w:tc>
          <w:tcPr>
            <w:tcW w:w="781" w:type="dxa"/>
            <w:noWrap/>
          </w:tcPr>
          <w:p>
            <w:pPr>
              <w:pStyle w:val="yTableNAm"/>
              <w:rPr>
                <w:sz w:val="16"/>
                <w:szCs w:val="16"/>
              </w:rPr>
            </w:pPr>
            <w:r>
              <w:rPr>
                <w:sz w:val="16"/>
                <w:szCs w:val="16"/>
              </w:rPr>
              <w:t>132</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r>
              <w:rPr>
                <w:sz w:val="16"/>
                <w:szCs w:val="16"/>
              </w:rPr>
              <w:t>73.0455</w:t>
            </w:r>
          </w:p>
        </w:tc>
        <w:tc>
          <w:tcPr>
            <w:tcW w:w="1512" w:type="dxa"/>
            <w:noWrap/>
            <w:vAlign w:val="bottom"/>
          </w:tcPr>
          <w:p>
            <w:pPr>
              <w:pStyle w:val="yTableNAm"/>
              <w:jc w:val="right"/>
              <w:rPr>
                <w:sz w:val="16"/>
                <w:szCs w:val="16"/>
              </w:rPr>
            </w:pPr>
            <w:r>
              <w:rPr>
                <w:sz w:val="16"/>
                <w:szCs w:val="16"/>
              </w:rPr>
              <w:t>76.0219</w:t>
            </w:r>
          </w:p>
        </w:tc>
        <w:tc>
          <w:tcPr>
            <w:tcW w:w="1370" w:type="dxa"/>
            <w:noWrap/>
          </w:tcPr>
          <w:p>
            <w:pPr>
              <w:pStyle w:val="yTableNAm"/>
              <w:jc w:val="right"/>
              <w:rPr>
                <w:sz w:val="16"/>
                <w:szCs w:val="16"/>
              </w:rPr>
            </w:pPr>
            <w:r>
              <w:rPr>
                <w:sz w:val="16"/>
                <w:szCs w:val="16"/>
              </w:rPr>
              <w:t>88.8773</w:t>
            </w:r>
          </w:p>
        </w:tc>
      </w:tr>
      <w:tr>
        <w:trPr>
          <w:cantSplit/>
        </w:trPr>
        <w:tc>
          <w:tcPr>
            <w:tcW w:w="567" w:type="dxa"/>
            <w:noWrap/>
          </w:tcPr>
          <w:p>
            <w:pPr>
              <w:pStyle w:val="yTableNAm"/>
              <w:rPr>
                <w:sz w:val="16"/>
                <w:szCs w:val="16"/>
              </w:rPr>
            </w:pPr>
            <w:r>
              <w:rPr>
                <w:sz w:val="16"/>
                <w:szCs w:val="16"/>
              </w:rPr>
              <w:t>Z.61</w:t>
            </w:r>
          </w:p>
        </w:tc>
        <w:tc>
          <w:tcPr>
            <w:tcW w:w="781" w:type="dxa"/>
            <w:noWrap/>
          </w:tcPr>
          <w:p>
            <w:pPr>
              <w:pStyle w:val="yTableNAm"/>
              <w:rPr>
                <w:sz w:val="16"/>
                <w:szCs w:val="16"/>
              </w:rPr>
            </w:pPr>
            <w:r>
              <w:rPr>
                <w:sz w:val="16"/>
                <w:szCs w:val="16"/>
              </w:rPr>
              <w:t>198</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r>
              <w:rPr>
                <w:sz w:val="16"/>
                <w:szCs w:val="16"/>
              </w:rPr>
              <w:t>75.4287</w:t>
            </w:r>
          </w:p>
        </w:tc>
        <w:tc>
          <w:tcPr>
            <w:tcW w:w="1512" w:type="dxa"/>
            <w:noWrap/>
          </w:tcPr>
          <w:p>
            <w:pPr>
              <w:pStyle w:val="yTableNAm"/>
              <w:jc w:val="right"/>
              <w:rPr>
                <w:sz w:val="16"/>
                <w:szCs w:val="16"/>
              </w:rPr>
            </w:pPr>
            <w:r>
              <w:rPr>
                <w:sz w:val="16"/>
                <w:szCs w:val="16"/>
              </w:rPr>
              <w:t>79.2986</w:t>
            </w:r>
          </w:p>
        </w:tc>
        <w:tc>
          <w:tcPr>
            <w:tcW w:w="1370" w:type="dxa"/>
            <w:noWrap/>
          </w:tcPr>
          <w:p>
            <w:pPr>
              <w:pStyle w:val="yTableNAm"/>
              <w:jc w:val="right"/>
              <w:rPr>
                <w:sz w:val="16"/>
                <w:szCs w:val="16"/>
              </w:rPr>
            </w:pPr>
            <w:r>
              <w:rPr>
                <w:sz w:val="16"/>
                <w:szCs w:val="16"/>
              </w:rPr>
              <w:t>96.0257</w:t>
            </w:r>
          </w:p>
        </w:tc>
      </w:tr>
      <w:tr>
        <w:trPr>
          <w:cantSplit/>
        </w:trPr>
        <w:tc>
          <w:tcPr>
            <w:tcW w:w="567" w:type="dxa"/>
            <w:noWrap/>
          </w:tcPr>
          <w:p>
            <w:pPr>
              <w:pStyle w:val="yTableNAm"/>
              <w:rPr>
                <w:sz w:val="16"/>
                <w:szCs w:val="16"/>
              </w:rPr>
            </w:pPr>
            <w:r>
              <w:rPr>
                <w:sz w:val="16"/>
                <w:szCs w:val="16"/>
              </w:rPr>
              <w:t>Z.62</w:t>
            </w:r>
          </w:p>
        </w:tc>
        <w:tc>
          <w:tcPr>
            <w:tcW w:w="781" w:type="dxa"/>
            <w:noWrap/>
          </w:tcPr>
          <w:p>
            <w:pPr>
              <w:pStyle w:val="yTableNAm"/>
              <w:rPr>
                <w:sz w:val="16"/>
                <w:szCs w:val="16"/>
              </w:rPr>
            </w:pPr>
            <w:r>
              <w:rPr>
                <w:sz w:val="16"/>
                <w:szCs w:val="16"/>
              </w:rPr>
              <w:t>25</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r>
              <w:rPr>
                <w:sz w:val="16"/>
                <w:szCs w:val="16"/>
              </w:rPr>
              <w:t>57.1655</w:t>
            </w:r>
          </w:p>
        </w:tc>
        <w:tc>
          <w:tcPr>
            <w:tcW w:w="1512" w:type="dxa"/>
            <w:noWrap/>
          </w:tcPr>
          <w:p>
            <w:pPr>
              <w:pStyle w:val="yTableNAm"/>
              <w:jc w:val="right"/>
              <w:rPr>
                <w:sz w:val="16"/>
                <w:szCs w:val="16"/>
              </w:rPr>
            </w:pPr>
            <w:r>
              <w:rPr>
                <w:sz w:val="16"/>
                <w:szCs w:val="16"/>
              </w:rPr>
              <w:t>57.6782</w:t>
            </w:r>
          </w:p>
        </w:tc>
        <w:tc>
          <w:tcPr>
            <w:tcW w:w="1370" w:type="dxa"/>
            <w:noWrap/>
          </w:tcPr>
          <w:p>
            <w:pPr>
              <w:pStyle w:val="yTableNAm"/>
              <w:jc w:val="right"/>
              <w:rPr>
                <w:sz w:val="16"/>
                <w:szCs w:val="16"/>
              </w:rPr>
            </w:pPr>
            <w:r>
              <w:rPr>
                <w:sz w:val="16"/>
                <w:szCs w:val="16"/>
              </w:rPr>
              <w:t>58.8497</w:t>
            </w:r>
          </w:p>
        </w:tc>
      </w:tr>
      <w:tr>
        <w:trPr>
          <w:cantSplit/>
        </w:trPr>
        <w:tc>
          <w:tcPr>
            <w:tcW w:w="567" w:type="dxa"/>
            <w:noWrap/>
          </w:tcPr>
          <w:p>
            <w:pPr>
              <w:pStyle w:val="yTableNAm"/>
              <w:rPr>
                <w:sz w:val="16"/>
                <w:szCs w:val="16"/>
              </w:rPr>
            </w:pPr>
            <w:r>
              <w:rPr>
                <w:sz w:val="16"/>
                <w:szCs w:val="16"/>
              </w:rPr>
              <w:t>Z.63</w:t>
            </w:r>
          </w:p>
        </w:tc>
        <w:tc>
          <w:tcPr>
            <w:tcW w:w="781" w:type="dxa"/>
            <w:noWrap/>
          </w:tcPr>
          <w:p>
            <w:pPr>
              <w:pStyle w:val="yTableNAm"/>
              <w:rPr>
                <w:sz w:val="16"/>
                <w:szCs w:val="16"/>
              </w:rPr>
            </w:pPr>
            <w:r>
              <w:rPr>
                <w:sz w:val="16"/>
                <w:szCs w:val="16"/>
              </w:rPr>
              <w:t>120</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r>
              <w:rPr>
                <w:sz w:val="16"/>
                <w:szCs w:val="16"/>
              </w:rPr>
              <w:t>68.1228</w:t>
            </w:r>
          </w:p>
        </w:tc>
        <w:tc>
          <w:tcPr>
            <w:tcW w:w="1512" w:type="dxa"/>
            <w:noWrap/>
          </w:tcPr>
          <w:p>
            <w:pPr>
              <w:pStyle w:val="yTableNAm"/>
              <w:jc w:val="right"/>
              <w:rPr>
                <w:sz w:val="16"/>
                <w:szCs w:val="16"/>
              </w:rPr>
            </w:pPr>
            <w:r>
              <w:rPr>
                <w:sz w:val="16"/>
                <w:szCs w:val="16"/>
              </w:rPr>
              <w:t>69.9471</w:t>
            </w:r>
          </w:p>
        </w:tc>
        <w:tc>
          <w:tcPr>
            <w:tcW w:w="1370" w:type="dxa"/>
            <w:noWrap/>
          </w:tcPr>
          <w:p>
            <w:pPr>
              <w:pStyle w:val="yTableNAm"/>
              <w:jc w:val="right"/>
              <w:rPr>
                <w:sz w:val="16"/>
                <w:szCs w:val="16"/>
              </w:rPr>
            </w:pPr>
            <w:r>
              <w:rPr>
                <w:sz w:val="16"/>
                <w:szCs w:val="16"/>
              </w:rPr>
              <w:t>78.1496</w:t>
            </w:r>
          </w:p>
        </w:tc>
      </w:tr>
      <w:tr>
        <w:trPr>
          <w:cantSplit/>
        </w:trPr>
        <w:tc>
          <w:tcPr>
            <w:tcW w:w="567" w:type="dxa"/>
            <w:noWrap/>
          </w:tcPr>
          <w:p>
            <w:pPr>
              <w:pStyle w:val="yTableNAm"/>
              <w:rPr>
                <w:sz w:val="16"/>
                <w:szCs w:val="16"/>
              </w:rPr>
            </w:pPr>
            <w:r>
              <w:rPr>
                <w:sz w:val="16"/>
                <w:szCs w:val="16"/>
              </w:rPr>
              <w:t>Z.64</w:t>
            </w:r>
          </w:p>
        </w:tc>
        <w:tc>
          <w:tcPr>
            <w:tcW w:w="781" w:type="dxa"/>
            <w:noWrap/>
          </w:tcPr>
          <w:p>
            <w:pPr>
              <w:pStyle w:val="yTableNAm"/>
              <w:rPr>
                <w:sz w:val="16"/>
                <w:szCs w:val="16"/>
              </w:rPr>
            </w:pPr>
            <w:r>
              <w:rPr>
                <w:sz w:val="16"/>
                <w:szCs w:val="16"/>
              </w:rPr>
              <w:t>180</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r>
              <w:rPr>
                <w:sz w:val="16"/>
                <w:szCs w:val="16"/>
              </w:rPr>
              <w:t>75.2792</w:t>
            </w:r>
          </w:p>
        </w:tc>
        <w:tc>
          <w:tcPr>
            <w:tcW w:w="1512" w:type="dxa"/>
            <w:noWrap/>
          </w:tcPr>
          <w:p>
            <w:pPr>
              <w:pStyle w:val="yTableNAm"/>
              <w:jc w:val="right"/>
              <w:rPr>
                <w:sz w:val="16"/>
                <w:szCs w:val="16"/>
              </w:rPr>
            </w:pPr>
            <w:r>
              <w:rPr>
                <w:sz w:val="16"/>
                <w:szCs w:val="16"/>
              </w:rPr>
              <w:t>79.1114</w:t>
            </w:r>
          </w:p>
        </w:tc>
        <w:tc>
          <w:tcPr>
            <w:tcW w:w="1370" w:type="dxa"/>
            <w:noWrap/>
          </w:tcPr>
          <w:p>
            <w:pPr>
              <w:pStyle w:val="yTableNAm"/>
              <w:jc w:val="right"/>
              <w:rPr>
                <w:sz w:val="16"/>
                <w:szCs w:val="16"/>
              </w:rPr>
            </w:pPr>
            <w:r>
              <w:rPr>
                <w:sz w:val="16"/>
                <w:szCs w:val="16"/>
              </w:rPr>
              <w:t>95.6778</w:t>
            </w:r>
          </w:p>
        </w:tc>
      </w:tr>
      <w:tr>
        <w:trPr>
          <w:cantSplit/>
        </w:trPr>
        <w:tc>
          <w:tcPr>
            <w:tcW w:w="567" w:type="dxa"/>
            <w:noWrap/>
          </w:tcPr>
          <w:p>
            <w:pPr>
              <w:pStyle w:val="yTableNAm"/>
              <w:rPr>
                <w:sz w:val="16"/>
                <w:szCs w:val="16"/>
              </w:rPr>
            </w:pPr>
            <w:r>
              <w:rPr>
                <w:sz w:val="16"/>
                <w:szCs w:val="16"/>
              </w:rPr>
              <w:t>Z.65</w:t>
            </w:r>
          </w:p>
        </w:tc>
        <w:tc>
          <w:tcPr>
            <w:tcW w:w="781" w:type="dxa"/>
            <w:noWrap/>
          </w:tcPr>
          <w:p>
            <w:pPr>
              <w:pStyle w:val="yTableNAm"/>
              <w:rPr>
                <w:sz w:val="16"/>
                <w:szCs w:val="16"/>
              </w:rPr>
            </w:pPr>
            <w:r>
              <w:rPr>
                <w:sz w:val="16"/>
                <w:szCs w:val="16"/>
              </w:rPr>
              <w:t>18</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r>
              <w:rPr>
                <w:sz w:val="16"/>
                <w:szCs w:val="16"/>
              </w:rPr>
              <w:t>56.1222</w:t>
            </w:r>
          </w:p>
        </w:tc>
        <w:tc>
          <w:tcPr>
            <w:tcW w:w="1512" w:type="dxa"/>
            <w:noWrap/>
          </w:tcPr>
          <w:p>
            <w:pPr>
              <w:pStyle w:val="yTableNAm"/>
              <w:jc w:val="right"/>
              <w:rPr>
                <w:sz w:val="16"/>
                <w:szCs w:val="16"/>
              </w:rPr>
            </w:pPr>
            <w:r>
              <w:rPr>
                <w:sz w:val="16"/>
                <w:szCs w:val="16"/>
              </w:rPr>
              <w:t>56.3979</w:t>
            </w:r>
          </w:p>
        </w:tc>
        <w:tc>
          <w:tcPr>
            <w:tcW w:w="1370" w:type="dxa"/>
            <w:noWrap/>
          </w:tcPr>
          <w:p>
            <w:pPr>
              <w:pStyle w:val="yTableNAm"/>
              <w:jc w:val="right"/>
              <w:rPr>
                <w:sz w:val="16"/>
                <w:szCs w:val="16"/>
              </w:rPr>
            </w:pPr>
            <w:r>
              <w:rPr>
                <w:sz w:val="16"/>
                <w:szCs w:val="16"/>
              </w:rPr>
              <w:t>56.6945</w:t>
            </w:r>
          </w:p>
        </w:tc>
      </w:tr>
      <w:tr>
        <w:trPr>
          <w:cantSplit/>
        </w:trPr>
        <w:tc>
          <w:tcPr>
            <w:tcW w:w="567" w:type="dxa"/>
            <w:noWrap/>
          </w:tcPr>
          <w:p>
            <w:pPr>
              <w:pStyle w:val="yTableNAm"/>
              <w:rPr>
                <w:sz w:val="16"/>
                <w:szCs w:val="16"/>
              </w:rPr>
            </w:pPr>
            <w:r>
              <w:rPr>
                <w:sz w:val="16"/>
                <w:szCs w:val="16"/>
              </w:rPr>
              <w:t>Z.66</w:t>
            </w:r>
          </w:p>
        </w:tc>
        <w:tc>
          <w:tcPr>
            <w:tcW w:w="781" w:type="dxa"/>
            <w:noWrap/>
          </w:tcPr>
          <w:p>
            <w:pPr>
              <w:pStyle w:val="yTableNAm"/>
              <w:rPr>
                <w:sz w:val="16"/>
                <w:szCs w:val="16"/>
              </w:rPr>
            </w:pPr>
            <w:r>
              <w:rPr>
                <w:sz w:val="16"/>
                <w:szCs w:val="16"/>
              </w:rPr>
              <w:t>20</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r>
              <w:rPr>
                <w:sz w:val="16"/>
                <w:szCs w:val="16"/>
              </w:rPr>
              <w:t>56.2936</w:t>
            </w:r>
          </w:p>
        </w:tc>
        <w:tc>
          <w:tcPr>
            <w:tcW w:w="1512" w:type="dxa"/>
            <w:noWrap/>
          </w:tcPr>
          <w:p>
            <w:pPr>
              <w:pStyle w:val="yTableNAm"/>
              <w:jc w:val="right"/>
              <w:rPr>
                <w:sz w:val="16"/>
                <w:szCs w:val="16"/>
              </w:rPr>
            </w:pPr>
            <w:r>
              <w:rPr>
                <w:sz w:val="16"/>
                <w:szCs w:val="16"/>
              </w:rPr>
              <w:t>56.6084</w:t>
            </w:r>
          </w:p>
        </w:tc>
        <w:tc>
          <w:tcPr>
            <w:tcW w:w="1370" w:type="dxa"/>
            <w:noWrap/>
          </w:tcPr>
          <w:p>
            <w:pPr>
              <w:pStyle w:val="yTableNAm"/>
              <w:jc w:val="right"/>
              <w:rPr>
                <w:sz w:val="16"/>
                <w:szCs w:val="16"/>
              </w:rPr>
            </w:pPr>
            <w:r>
              <w:rPr>
                <w:sz w:val="16"/>
                <w:szCs w:val="16"/>
              </w:rPr>
              <w:t>57.0487</w:t>
            </w:r>
          </w:p>
        </w:tc>
      </w:tr>
      <w:tr>
        <w:trPr>
          <w:cantSplit/>
        </w:trPr>
        <w:tc>
          <w:tcPr>
            <w:tcW w:w="567" w:type="dxa"/>
            <w:noWrap/>
          </w:tcPr>
          <w:p>
            <w:pPr>
              <w:pStyle w:val="yTableNAm"/>
              <w:rPr>
                <w:sz w:val="16"/>
                <w:szCs w:val="16"/>
              </w:rPr>
            </w:pPr>
            <w:r>
              <w:rPr>
                <w:sz w:val="16"/>
                <w:szCs w:val="16"/>
              </w:rPr>
              <w:t>Z.67</w:t>
            </w:r>
          </w:p>
        </w:tc>
        <w:tc>
          <w:tcPr>
            <w:tcW w:w="781" w:type="dxa"/>
            <w:noWrap/>
          </w:tcPr>
          <w:p>
            <w:pPr>
              <w:pStyle w:val="yTableNAm"/>
              <w:rPr>
                <w:sz w:val="16"/>
                <w:szCs w:val="16"/>
              </w:rPr>
            </w:pPr>
            <w:r>
              <w:rPr>
                <w:sz w:val="16"/>
                <w:szCs w:val="16"/>
              </w:rPr>
              <w:t>53</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r>
              <w:rPr>
                <w:sz w:val="16"/>
                <w:szCs w:val="16"/>
              </w:rPr>
              <w:t>59.3816</w:t>
            </w:r>
          </w:p>
        </w:tc>
        <w:tc>
          <w:tcPr>
            <w:tcW w:w="1512" w:type="dxa"/>
            <w:noWrap/>
          </w:tcPr>
          <w:p>
            <w:pPr>
              <w:pStyle w:val="yTableNAm"/>
              <w:jc w:val="right"/>
              <w:rPr>
                <w:sz w:val="16"/>
                <w:szCs w:val="16"/>
              </w:rPr>
            </w:pPr>
            <w:r>
              <w:rPr>
                <w:sz w:val="16"/>
                <w:szCs w:val="16"/>
              </w:rPr>
              <w:t>60.4304</w:t>
            </w:r>
          </w:p>
        </w:tc>
        <w:tc>
          <w:tcPr>
            <w:tcW w:w="1370" w:type="dxa"/>
            <w:noWrap/>
          </w:tcPr>
          <w:p>
            <w:pPr>
              <w:pStyle w:val="yTableNAm"/>
              <w:jc w:val="right"/>
              <w:rPr>
                <w:sz w:val="16"/>
                <w:szCs w:val="16"/>
              </w:rPr>
            </w:pPr>
            <w:r>
              <w:rPr>
                <w:sz w:val="16"/>
                <w:szCs w:val="16"/>
              </w:rPr>
              <w:t>63.6331</w:t>
            </w:r>
          </w:p>
        </w:tc>
      </w:tr>
      <w:tr>
        <w:trPr>
          <w:cantSplit/>
        </w:trPr>
        <w:tc>
          <w:tcPr>
            <w:tcW w:w="567" w:type="dxa"/>
            <w:noWrap/>
          </w:tcPr>
          <w:p>
            <w:pPr>
              <w:pStyle w:val="yTableNAm"/>
              <w:rPr>
                <w:sz w:val="16"/>
                <w:szCs w:val="16"/>
              </w:rPr>
            </w:pPr>
            <w:r>
              <w:rPr>
                <w:sz w:val="16"/>
                <w:szCs w:val="16"/>
              </w:rPr>
              <w:t>Z.68</w:t>
            </w:r>
          </w:p>
        </w:tc>
        <w:tc>
          <w:tcPr>
            <w:tcW w:w="781" w:type="dxa"/>
            <w:noWrap/>
          </w:tcPr>
          <w:p>
            <w:pPr>
              <w:pStyle w:val="yTableNAm"/>
              <w:rPr>
                <w:sz w:val="16"/>
                <w:szCs w:val="16"/>
              </w:rPr>
            </w:pPr>
            <w:r>
              <w:rPr>
                <w:sz w:val="16"/>
                <w:szCs w:val="16"/>
              </w:rPr>
              <w:t>80</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r>
              <w:rPr>
                <w:sz w:val="16"/>
                <w:szCs w:val="16"/>
              </w:rPr>
              <w:t>60.5733</w:t>
            </w:r>
          </w:p>
        </w:tc>
        <w:tc>
          <w:tcPr>
            <w:tcW w:w="1512" w:type="dxa"/>
            <w:noWrap/>
          </w:tcPr>
          <w:p>
            <w:pPr>
              <w:pStyle w:val="yTableNAm"/>
              <w:jc w:val="right"/>
              <w:rPr>
                <w:sz w:val="16"/>
                <w:szCs w:val="16"/>
              </w:rPr>
            </w:pPr>
            <w:r>
              <w:rPr>
                <w:sz w:val="16"/>
                <w:szCs w:val="16"/>
              </w:rPr>
              <w:t>61.9027</w:t>
            </w:r>
          </w:p>
        </w:tc>
        <w:tc>
          <w:tcPr>
            <w:tcW w:w="1370" w:type="dxa"/>
            <w:noWrap/>
          </w:tcPr>
          <w:p>
            <w:pPr>
              <w:pStyle w:val="yTableNAm"/>
              <w:jc w:val="right"/>
              <w:rPr>
                <w:sz w:val="16"/>
                <w:szCs w:val="16"/>
              </w:rPr>
            </w:pPr>
            <w:r>
              <w:rPr>
                <w:sz w:val="16"/>
                <w:szCs w:val="16"/>
              </w:rPr>
              <w:t>66.1734</w:t>
            </w:r>
          </w:p>
        </w:tc>
      </w:tr>
      <w:tr>
        <w:trPr>
          <w:cantSplit/>
        </w:trPr>
        <w:tc>
          <w:tcPr>
            <w:tcW w:w="567" w:type="dxa"/>
            <w:noWrap/>
          </w:tcPr>
          <w:p>
            <w:pPr>
              <w:pStyle w:val="yTableNAm"/>
              <w:rPr>
                <w:sz w:val="16"/>
                <w:szCs w:val="16"/>
              </w:rPr>
            </w:pPr>
            <w:r>
              <w:rPr>
                <w:sz w:val="16"/>
                <w:szCs w:val="16"/>
              </w:rPr>
              <w:t>Z.69</w:t>
            </w:r>
          </w:p>
        </w:tc>
        <w:tc>
          <w:tcPr>
            <w:tcW w:w="781" w:type="dxa"/>
            <w:noWrap/>
          </w:tcPr>
          <w:p>
            <w:pPr>
              <w:pStyle w:val="yTableNAm"/>
              <w:rPr>
                <w:sz w:val="16"/>
                <w:szCs w:val="16"/>
              </w:rPr>
            </w:pPr>
            <w:r>
              <w:rPr>
                <w:sz w:val="16"/>
                <w:szCs w:val="16"/>
              </w:rPr>
              <w:t>160</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r>
              <w:rPr>
                <w:sz w:val="16"/>
                <w:szCs w:val="16"/>
              </w:rPr>
              <w:t>70.0478</w:t>
            </w:r>
          </w:p>
        </w:tc>
        <w:tc>
          <w:tcPr>
            <w:tcW w:w="1512" w:type="dxa"/>
            <w:noWrap/>
          </w:tcPr>
          <w:p>
            <w:pPr>
              <w:pStyle w:val="yTableNAm"/>
              <w:jc w:val="right"/>
              <w:rPr>
                <w:sz w:val="16"/>
                <w:szCs w:val="16"/>
              </w:rPr>
            </w:pPr>
            <w:r>
              <w:rPr>
                <w:sz w:val="16"/>
                <w:szCs w:val="16"/>
              </w:rPr>
              <w:t>72.3227</w:t>
            </w:r>
          </w:p>
        </w:tc>
        <w:tc>
          <w:tcPr>
            <w:tcW w:w="1370" w:type="dxa"/>
            <w:noWrap/>
          </w:tcPr>
          <w:p>
            <w:pPr>
              <w:pStyle w:val="yTableNAm"/>
              <w:jc w:val="right"/>
              <w:rPr>
                <w:sz w:val="16"/>
                <w:szCs w:val="16"/>
              </w:rPr>
            </w:pPr>
            <w:r>
              <w:rPr>
                <w:sz w:val="16"/>
                <w:szCs w:val="16"/>
              </w:rPr>
              <w:t>82.3447</w:t>
            </w:r>
          </w:p>
        </w:tc>
      </w:tr>
      <w:tr>
        <w:trPr>
          <w:cantSplit/>
        </w:trPr>
        <w:tc>
          <w:tcPr>
            <w:tcW w:w="6804" w:type="dxa"/>
            <w:gridSpan w:val="6"/>
            <w:noWrap/>
          </w:tcPr>
          <w:p>
            <w:pPr>
              <w:pStyle w:val="yTableNAm"/>
              <w:keepNext/>
            </w:pPr>
            <w:r>
              <w:rPr>
                <w:b/>
                <w:i/>
                <w:iCs/>
                <w:sz w:val="16"/>
                <w:szCs w:val="16"/>
              </w:rPr>
              <w:lastRenderedPageBreak/>
              <w:t>Street lighting for existing services only</w:t>
            </w:r>
          </w:p>
        </w:tc>
      </w:tr>
      <w:tr>
        <w:trPr>
          <w:cantSplit/>
        </w:trPr>
        <w:tc>
          <w:tcPr>
            <w:tcW w:w="567" w:type="dxa"/>
            <w:noWrap/>
          </w:tcPr>
          <w:p>
            <w:pPr>
              <w:pStyle w:val="yTableNAm"/>
            </w:pPr>
            <w:r>
              <w:rPr>
                <w:sz w:val="16"/>
                <w:szCs w:val="16"/>
              </w:rPr>
              <w:t>Z.52</w:t>
            </w:r>
          </w:p>
        </w:tc>
        <w:tc>
          <w:tcPr>
            <w:tcW w:w="781" w:type="dxa"/>
            <w:noWrap/>
          </w:tcPr>
          <w:p>
            <w:pPr>
              <w:pStyle w:val="yTableNAm"/>
            </w:pPr>
            <w:r>
              <w:rPr>
                <w:sz w:val="16"/>
                <w:szCs w:val="16"/>
              </w:rPr>
              <w:t>100</w:t>
            </w:r>
          </w:p>
        </w:tc>
        <w:tc>
          <w:tcPr>
            <w:tcW w:w="1275" w:type="dxa"/>
            <w:noWrap/>
          </w:tcPr>
          <w:p>
            <w:pPr>
              <w:pStyle w:val="yTableNAm"/>
            </w:pPr>
            <w:r>
              <w:rPr>
                <w:sz w:val="16"/>
                <w:szCs w:val="16"/>
              </w:rPr>
              <w:t>Incandescent</w:t>
            </w:r>
          </w:p>
        </w:tc>
        <w:tc>
          <w:tcPr>
            <w:tcW w:w="1299" w:type="dxa"/>
            <w:noWrap/>
          </w:tcPr>
          <w:p>
            <w:pPr>
              <w:pStyle w:val="yTableNAm"/>
              <w:jc w:val="right"/>
              <w:rPr>
                <w:sz w:val="16"/>
                <w:szCs w:val="16"/>
              </w:rPr>
            </w:pPr>
            <w:r>
              <w:rPr>
                <w:sz w:val="16"/>
                <w:szCs w:val="16"/>
              </w:rPr>
              <w:t>43.5685</w:t>
            </w:r>
          </w:p>
        </w:tc>
        <w:tc>
          <w:tcPr>
            <w:tcW w:w="1512" w:type="dxa"/>
            <w:noWrap/>
          </w:tcPr>
          <w:p>
            <w:pPr>
              <w:pStyle w:val="yTableNAm"/>
              <w:jc w:val="right"/>
              <w:rPr>
                <w:sz w:val="16"/>
                <w:szCs w:val="16"/>
              </w:rPr>
            </w:pPr>
            <w:r>
              <w:rPr>
                <w:sz w:val="16"/>
                <w:szCs w:val="16"/>
              </w:rPr>
              <w:t>45.2017</w:t>
            </w:r>
          </w:p>
        </w:tc>
        <w:tc>
          <w:tcPr>
            <w:tcW w:w="1370" w:type="dxa"/>
            <w:noWrap/>
          </w:tcPr>
          <w:p>
            <w:pPr>
              <w:pStyle w:val="yTableNAm"/>
              <w:jc w:val="right"/>
              <w:rPr>
                <w:sz w:val="16"/>
                <w:szCs w:val="16"/>
              </w:rPr>
            </w:pPr>
            <w:r>
              <w:rPr>
                <w:sz w:val="16"/>
                <w:szCs w:val="16"/>
              </w:rPr>
              <w:t>49.7633</w:t>
            </w:r>
          </w:p>
        </w:tc>
      </w:tr>
      <w:tr>
        <w:trPr>
          <w:cantSplit/>
        </w:trPr>
        <w:tc>
          <w:tcPr>
            <w:tcW w:w="567" w:type="dxa"/>
            <w:tcBorders>
              <w:bottom w:val="single" w:sz="4" w:space="0" w:color="auto"/>
            </w:tcBorders>
            <w:noWrap/>
          </w:tcPr>
          <w:p>
            <w:pPr>
              <w:pStyle w:val="yTableNAm"/>
            </w:pPr>
            <w:r>
              <w:rPr>
                <w:sz w:val="16"/>
                <w:szCs w:val="16"/>
              </w:rPr>
              <w:t>Z.56</w:t>
            </w:r>
          </w:p>
        </w:tc>
        <w:tc>
          <w:tcPr>
            <w:tcW w:w="781" w:type="dxa"/>
            <w:tcBorders>
              <w:bottom w:val="single" w:sz="4" w:space="0" w:color="auto"/>
            </w:tcBorders>
            <w:noWrap/>
          </w:tcPr>
          <w:p>
            <w:pPr>
              <w:pStyle w:val="yTableNAm"/>
            </w:pPr>
            <w:r>
              <w:rPr>
                <w:sz w:val="16"/>
                <w:szCs w:val="16"/>
              </w:rPr>
              <w:t>40</w:t>
            </w:r>
          </w:p>
        </w:tc>
        <w:tc>
          <w:tcPr>
            <w:tcW w:w="1275" w:type="dxa"/>
            <w:tcBorders>
              <w:bottom w:val="single" w:sz="4" w:space="0" w:color="auto"/>
            </w:tcBorders>
            <w:noWrap/>
          </w:tcPr>
          <w:p>
            <w:pPr>
              <w:pStyle w:val="yTableNAm"/>
            </w:pPr>
            <w:r>
              <w:rPr>
                <w:sz w:val="16"/>
                <w:szCs w:val="16"/>
              </w:rPr>
              <w:t>Fluorescent</w:t>
            </w:r>
          </w:p>
        </w:tc>
        <w:tc>
          <w:tcPr>
            <w:tcW w:w="1299" w:type="dxa"/>
            <w:tcBorders>
              <w:bottom w:val="single" w:sz="4" w:space="0" w:color="auto"/>
            </w:tcBorders>
            <w:noWrap/>
          </w:tcPr>
          <w:p>
            <w:pPr>
              <w:pStyle w:val="yTableNAm"/>
              <w:jc w:val="right"/>
              <w:rPr>
                <w:sz w:val="16"/>
                <w:szCs w:val="16"/>
              </w:rPr>
            </w:pPr>
            <w:r>
              <w:rPr>
                <w:sz w:val="16"/>
                <w:szCs w:val="16"/>
              </w:rPr>
              <w:t>57.0620</w:t>
            </w:r>
          </w:p>
        </w:tc>
        <w:tc>
          <w:tcPr>
            <w:tcW w:w="1512" w:type="dxa"/>
            <w:tcBorders>
              <w:bottom w:val="single" w:sz="4" w:space="0" w:color="auto"/>
            </w:tcBorders>
            <w:noWrap/>
          </w:tcPr>
          <w:p>
            <w:pPr>
              <w:pStyle w:val="yTableNAm"/>
              <w:jc w:val="right"/>
              <w:rPr>
                <w:sz w:val="16"/>
                <w:szCs w:val="16"/>
              </w:rPr>
            </w:pPr>
            <w:r>
              <w:rPr>
                <w:sz w:val="16"/>
                <w:szCs w:val="16"/>
              </w:rPr>
              <w:t>57.8454</w:t>
            </w:r>
          </w:p>
        </w:tc>
        <w:tc>
          <w:tcPr>
            <w:tcW w:w="1370" w:type="dxa"/>
            <w:tcBorders>
              <w:bottom w:val="single" w:sz="4" w:space="0" w:color="auto"/>
            </w:tcBorders>
            <w:noWrap/>
          </w:tcPr>
          <w:p>
            <w:pPr>
              <w:pStyle w:val="yTableNAm"/>
              <w:jc w:val="right"/>
              <w:rPr>
                <w:sz w:val="16"/>
                <w:szCs w:val="16"/>
              </w:rPr>
            </w:pPr>
            <w:r>
              <w:rPr>
                <w:sz w:val="16"/>
                <w:szCs w:val="16"/>
              </w:rPr>
              <w:t>60.7466</w:t>
            </w:r>
          </w:p>
        </w:tc>
      </w:tr>
    </w:tbl>
    <w:p>
      <w:pPr>
        <w:pStyle w:val="yFootnotesection"/>
      </w:pPr>
      <w:r>
        <w:tab/>
        <w:t>[Division 1 inserted: SL 2023/84 bl. 4.]</w:t>
      </w:r>
    </w:p>
    <w:p>
      <w:pPr>
        <w:pStyle w:val="yHeading3"/>
      </w:pPr>
      <w:bookmarkStart w:id="29" w:name="_Toc155077572"/>
      <w:r>
        <w:rPr>
          <w:rStyle w:val="CharSDivNo"/>
        </w:rPr>
        <w:t>Division 2</w:t>
      </w:r>
      <w:r>
        <w:t> — </w:t>
      </w:r>
      <w:r>
        <w:rPr>
          <w:rStyle w:val="CharSDivText"/>
        </w:rPr>
        <w:t>Miscellaneous</w:t>
      </w:r>
      <w:bookmarkEnd w:id="29"/>
    </w:p>
    <w:p>
      <w:pPr>
        <w:pStyle w:val="yFootnoteheading"/>
      </w:pPr>
      <w:r>
        <w:tab/>
        <w:t>[Heading inserted: SL 2023/84 bl. 4.]</w:t>
      </w:r>
    </w:p>
    <w:p>
      <w:pPr>
        <w:pStyle w:val="yHeading5"/>
      </w:pPr>
      <w:bookmarkStart w:id="30" w:name="_Toc155077573"/>
      <w:r>
        <w:rPr>
          <w:rStyle w:val="CharSClsNo"/>
        </w:rPr>
        <w:t>1</w:t>
      </w:r>
      <w:r>
        <w:t>.</w:t>
      </w:r>
      <w:r>
        <w:tab/>
        <w:t>Traffic light installation</w:t>
      </w:r>
      <w:bookmarkEnd w:id="30"/>
    </w:p>
    <w:p>
      <w:pPr>
        <w:pStyle w:val="ySubsection"/>
      </w:pPr>
      <w:r>
        <w:tab/>
      </w:r>
      <w:r>
        <w:tab/>
        <w:t xml:space="preserve">Supply of electricity to traffic light installations comprises a charge of </w:t>
      </w:r>
      <w:r>
        <w:rPr>
          <w:szCs w:val="22"/>
        </w:rPr>
        <w:t xml:space="preserve">$8.4605 </w:t>
      </w:r>
      <w:r>
        <w:t>per day per kW of installed wattage.</w:t>
      </w:r>
    </w:p>
    <w:p>
      <w:pPr>
        <w:pStyle w:val="yFootnotesection"/>
      </w:pPr>
      <w:r>
        <w:tab/>
        <w:t>[Clause 1 inserted: SL 2023/84 bl. 4.]</w:t>
      </w:r>
    </w:p>
    <w:p>
      <w:pPr>
        <w:pStyle w:val="yHeading5"/>
      </w:pPr>
      <w:bookmarkStart w:id="31" w:name="_Toc155077574"/>
      <w:r>
        <w:rPr>
          <w:rStyle w:val="CharSClsNo"/>
        </w:rPr>
        <w:t>2</w:t>
      </w:r>
      <w:r>
        <w:t>.</w:t>
      </w:r>
      <w:r>
        <w:tab/>
        <w:t>Public telephone facility</w:t>
      </w:r>
      <w:bookmarkEnd w:id="31"/>
    </w:p>
    <w:p>
      <w:pPr>
        <w:pStyle w:val="ySubsection"/>
      </w:pPr>
      <w:r>
        <w:tab/>
      </w:r>
      <w:r>
        <w:tab/>
        <w:t>Supply of electricity to a standard public telephone facility where supply is not independently metered comprises a charge of 72.0146 cents per day.</w:t>
      </w:r>
    </w:p>
    <w:p>
      <w:pPr>
        <w:pStyle w:val="yFootnotesection"/>
      </w:pPr>
      <w:r>
        <w:tab/>
        <w:t>[Clause 2 inserted: SL 2023/84 bl. 4.]</w:t>
      </w:r>
    </w:p>
    <w:p>
      <w:pPr>
        <w:pStyle w:val="yHeading5"/>
      </w:pPr>
      <w:bookmarkStart w:id="32" w:name="_Toc155077575"/>
      <w:r>
        <w:rPr>
          <w:rStyle w:val="CharSClsNo"/>
        </w:rPr>
        <w:t>3</w:t>
      </w:r>
      <w:r>
        <w:t>.</w:t>
      </w:r>
      <w:r>
        <w:tab/>
        <w:t>Railway crossing</w:t>
      </w:r>
      <w:bookmarkEnd w:id="32"/>
    </w:p>
    <w:p>
      <w:pPr>
        <w:pStyle w:val="ySubsection"/>
      </w:pPr>
      <w:r>
        <w:tab/>
      </w:r>
      <w:r>
        <w:tab/>
        <w:t>Supply of electricity to standard railway crossing lights comprises a charge of 92.0299</w:t>
      </w:r>
      <w:r>
        <w:rPr>
          <w:szCs w:val="22"/>
        </w:rPr>
        <w:t xml:space="preserve"> </w:t>
      </w:r>
      <w:r>
        <w:t>cents per day.</w:t>
      </w:r>
    </w:p>
    <w:p>
      <w:pPr>
        <w:pStyle w:val="yFootnotesection"/>
      </w:pPr>
      <w:r>
        <w:tab/>
        <w:t>[Clause 3 inserted: SL 2023/84 bl. 4.]</w:t>
      </w:r>
    </w:p>
    <w:p>
      <w:pPr>
        <w:sectPr>
          <w:headerReference w:type="even" r:id="rId26"/>
          <w:headerReference w:type="default" r:id="rId27"/>
          <w:headerReference w:type="first" r:id="rId28"/>
          <w:endnotePr>
            <w:numFmt w:val="decimal"/>
          </w:endnotePr>
          <w:pgSz w:w="11907" w:h="16840" w:code="9"/>
          <w:pgMar w:top="2376" w:right="2404" w:bottom="3544" w:left="2404" w:header="709" w:footer="3544" w:gutter="0"/>
          <w:cols w:space="720"/>
          <w:noEndnote/>
          <w:titlePg/>
          <w:docGrid w:linePitch="326"/>
        </w:sectPr>
      </w:pPr>
    </w:p>
    <w:p>
      <w:pPr>
        <w:pStyle w:val="yScheduleHeading"/>
      </w:pPr>
      <w:bookmarkStart w:id="33" w:name="_Toc155077576"/>
      <w:r>
        <w:rPr>
          <w:rStyle w:val="CharSchNo"/>
        </w:rPr>
        <w:lastRenderedPageBreak/>
        <w:t>Schedule 3</w:t>
      </w:r>
      <w:r>
        <w:rPr>
          <w:rStyle w:val="CharSDivNo"/>
        </w:rPr>
        <w:t> </w:t>
      </w:r>
      <w:r>
        <w:t>—</w:t>
      </w:r>
      <w:r>
        <w:rPr>
          <w:rStyle w:val="CharSDivText"/>
        </w:rPr>
        <w:t> </w:t>
      </w:r>
      <w:r>
        <w:rPr>
          <w:rStyle w:val="CharSchText"/>
        </w:rPr>
        <w:t>Meter rentals</w:t>
      </w:r>
      <w:bookmarkEnd w:id="33"/>
    </w:p>
    <w:p>
      <w:pPr>
        <w:pStyle w:val="yShoulderClause"/>
      </w:pPr>
      <w:r>
        <w:t>[bl. 6(1)]</w:t>
      </w:r>
    </w:p>
    <w:p>
      <w:pPr>
        <w:pStyle w:val="yFootnoteheading"/>
      </w:pPr>
      <w:r>
        <w:tab/>
        <w:t>[Heading inserted: SL 2020/78 bl. 4.]</w:t>
      </w:r>
    </w:p>
    <w:p>
      <w:pPr>
        <w:pStyle w:val="ySubsection"/>
      </w:pPr>
      <w:r>
        <w:tab/>
      </w:r>
      <w:r>
        <w:tab/>
        <w:t>The rental payable in respect of a subsidiary meter is 17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Footnotesection"/>
      </w:pPr>
      <w:r>
        <w:tab/>
        <w:t>[Schedule 3 inserted: SL 2020/78 bl. 4; amended: SL 2022/71 bl. 7; SL 2023/84 bl. 5.]</w:t>
      </w:r>
    </w:p>
    <w:p>
      <w:pPr>
        <w:pStyle w:val="yScheduleHeading"/>
      </w:pPr>
      <w:bookmarkStart w:id="34" w:name="_Toc155077577"/>
      <w:r>
        <w:rPr>
          <w:rStyle w:val="CharSchNo"/>
        </w:rPr>
        <w:lastRenderedPageBreak/>
        <w:t>Schedule 4</w:t>
      </w:r>
      <w:r>
        <w:t> — </w:t>
      </w:r>
      <w:r>
        <w:rPr>
          <w:rStyle w:val="CharSchText"/>
        </w:rPr>
        <w:t>Fees</w:t>
      </w:r>
      <w:bookmarkEnd w:id="34"/>
    </w:p>
    <w:p>
      <w:pPr>
        <w:pStyle w:val="yShoulderClause"/>
      </w:pPr>
      <w:r>
        <w:t>[bl. 7]</w:t>
      </w:r>
    </w:p>
    <w:p>
      <w:pPr>
        <w:pStyle w:val="yFootnoteheading"/>
        <w:spacing w:after="60"/>
      </w:pPr>
      <w:r>
        <w:tab/>
        <w:t>[Heading inserted: SL 2023/84 bl. 6.]</w:t>
      </w:r>
    </w:p>
    <w:tbl>
      <w:tblPr>
        <w:tblW w:w="7003" w:type="dxa"/>
        <w:tblInd w:w="85" w:type="dxa"/>
        <w:tblLayout w:type="fixed"/>
        <w:tblCellMar>
          <w:left w:w="85" w:type="dxa"/>
          <w:right w:w="85" w:type="dxa"/>
        </w:tblCellMar>
        <w:tblLook w:val="0000" w:firstRow="0" w:lastRow="0" w:firstColumn="0" w:lastColumn="0" w:noHBand="0" w:noVBand="0"/>
      </w:tblPr>
      <w:tblGrid>
        <w:gridCol w:w="567"/>
        <w:gridCol w:w="5245"/>
        <w:gridCol w:w="1191"/>
      </w:tblGrid>
      <w:tr>
        <w:trPr>
          <w:cantSplit/>
          <w:tblHeader/>
        </w:trPr>
        <w:tc>
          <w:tcPr>
            <w:tcW w:w="567" w:type="dxa"/>
            <w:tcBorders>
              <w:top w:val="single" w:sz="4" w:space="0" w:color="auto"/>
              <w:bottom w:val="single" w:sz="4" w:space="0" w:color="auto"/>
            </w:tcBorders>
            <w:noWrap/>
          </w:tcPr>
          <w:p>
            <w:pPr>
              <w:pStyle w:val="yTableNAm"/>
              <w:spacing w:after="80"/>
            </w:pPr>
          </w:p>
        </w:tc>
        <w:tc>
          <w:tcPr>
            <w:tcW w:w="5245" w:type="dxa"/>
            <w:tcBorders>
              <w:top w:val="single" w:sz="4" w:space="0" w:color="auto"/>
              <w:bottom w:val="single" w:sz="4" w:space="0" w:color="auto"/>
            </w:tcBorders>
            <w:noWrap/>
          </w:tcPr>
          <w:p>
            <w:pPr>
              <w:pStyle w:val="yTableNAm"/>
              <w:ind w:right="135"/>
            </w:pPr>
            <w:r>
              <w:rPr>
                <w:b/>
                <w:iCs/>
              </w:rPr>
              <w:t>Description of fee</w:t>
            </w:r>
          </w:p>
        </w:tc>
        <w:tc>
          <w:tcPr>
            <w:tcW w:w="1191" w:type="dxa"/>
            <w:tcBorders>
              <w:top w:val="single" w:sz="4" w:space="0" w:color="auto"/>
              <w:bottom w:val="single" w:sz="4" w:space="0" w:color="auto"/>
            </w:tcBorders>
            <w:noWrap/>
          </w:tcPr>
          <w:p>
            <w:pPr>
              <w:pStyle w:val="yTableNAm"/>
            </w:pPr>
            <w:r>
              <w:rPr>
                <w:b/>
                <w:iCs/>
              </w:rPr>
              <w:t>Amount</w:t>
            </w:r>
          </w:p>
        </w:tc>
      </w:tr>
      <w:tr>
        <w:trPr>
          <w:cantSplit/>
        </w:trPr>
        <w:tc>
          <w:tcPr>
            <w:tcW w:w="567" w:type="dxa"/>
            <w:tcBorders>
              <w:top w:val="single" w:sz="4" w:space="0" w:color="auto"/>
            </w:tcBorders>
            <w:noWrap/>
          </w:tcPr>
          <w:p>
            <w:pPr>
              <w:pStyle w:val="yTableNAm"/>
            </w:pPr>
            <w:r>
              <w:t>1.</w:t>
            </w:r>
          </w:p>
        </w:tc>
        <w:tc>
          <w:tcPr>
            <w:tcW w:w="5245" w:type="dxa"/>
            <w:tcBorders>
              <w:top w:val="single" w:sz="4" w:space="0" w:color="auto"/>
            </w:tcBorders>
            <w:noWrap/>
          </w:tcPr>
          <w:p>
            <w:pPr>
              <w:pStyle w:val="yTableNAm"/>
              <w:tabs>
                <w:tab w:val="clear" w:pos="567"/>
                <w:tab w:val="right" w:leader="dot" w:pos="5160"/>
              </w:tabs>
              <w:ind w:right="135"/>
            </w:pPr>
            <w:r>
              <w:t>Non</w:t>
            </w:r>
            <w:r>
              <w:noBreakHyphen/>
              <w:t xml:space="preserve">refundable account establishment fee payable on the establishment or transfer of an account </w:t>
            </w:r>
            <w:r>
              <w:tab/>
            </w:r>
          </w:p>
        </w:tc>
        <w:tc>
          <w:tcPr>
            <w:tcW w:w="1191" w:type="dxa"/>
            <w:tcBorders>
              <w:top w:val="single" w:sz="4" w:space="0" w:color="auto"/>
            </w:tcBorders>
            <w:noWrap/>
            <w:vAlign w:val="bottom"/>
          </w:tcPr>
          <w:p>
            <w:pPr>
              <w:pStyle w:val="yTableNAm"/>
              <w:jc w:val="right"/>
            </w:pPr>
            <w:r>
              <w:rPr>
                <w:bCs/>
                <w:iCs/>
              </w:rPr>
              <w:t>$25.21</w:t>
            </w:r>
          </w:p>
        </w:tc>
      </w:tr>
      <w:tr>
        <w:trPr>
          <w:cantSplit/>
        </w:trPr>
        <w:tc>
          <w:tcPr>
            <w:tcW w:w="567" w:type="dxa"/>
            <w:noWrap/>
          </w:tcPr>
          <w:p>
            <w:pPr>
              <w:pStyle w:val="yTableNAm"/>
            </w:pPr>
            <w:r>
              <w:t>2.</w:t>
            </w:r>
          </w:p>
        </w:tc>
        <w:tc>
          <w:tcPr>
            <w:tcW w:w="5245" w:type="dxa"/>
            <w:noWrap/>
          </w:tcPr>
          <w:p>
            <w:pPr>
              <w:pStyle w:val="yTableNAm"/>
              <w:tabs>
                <w:tab w:val="clear" w:pos="567"/>
                <w:tab w:val="right" w:leader="dot" w:pos="5160"/>
              </w:tabs>
              <w:ind w:right="135"/>
              <w:rPr>
                <w:b/>
                <w:iCs/>
              </w:rPr>
            </w:pPr>
            <w:r>
              <w:t xml:space="preserve">Three phase residential installation — new installation of three phase meter or replacement of single phase meter with three phase meter </w:t>
            </w:r>
            <w:r>
              <w:tab/>
            </w:r>
          </w:p>
        </w:tc>
        <w:tc>
          <w:tcPr>
            <w:tcW w:w="1191" w:type="dxa"/>
            <w:noWrap/>
            <w:vAlign w:val="bottom"/>
          </w:tcPr>
          <w:p>
            <w:pPr>
              <w:pStyle w:val="yTableNAm"/>
              <w:jc w:val="right"/>
            </w:pPr>
            <w:r>
              <w:t>$960.00</w:t>
            </w:r>
          </w:p>
        </w:tc>
      </w:tr>
      <w:tr>
        <w:trPr>
          <w:cantSplit/>
        </w:trPr>
        <w:tc>
          <w:tcPr>
            <w:tcW w:w="567" w:type="dxa"/>
            <w:noWrap/>
          </w:tcPr>
          <w:p>
            <w:pPr>
              <w:pStyle w:val="yTableNAm"/>
            </w:pPr>
            <w:r>
              <w:t>3.</w:t>
            </w:r>
          </w:p>
        </w:tc>
        <w:tc>
          <w:tcPr>
            <w:tcW w:w="5245" w:type="dxa"/>
            <w:noWrap/>
          </w:tcPr>
          <w:p>
            <w:pPr>
              <w:pStyle w:val="yTableNAm"/>
              <w:ind w:right="135"/>
            </w:pPr>
            <w:r>
              <w:t>Temporary supply connection — </w:t>
            </w:r>
          </w:p>
          <w:p>
            <w:pPr>
              <w:pStyle w:val="yTableNAm"/>
              <w:tabs>
                <w:tab w:val="clear" w:pos="567"/>
                <w:tab w:val="left" w:pos="199"/>
                <w:tab w:val="left" w:pos="624"/>
                <w:tab w:val="right" w:leader="dot" w:pos="5160"/>
              </w:tabs>
              <w:ind w:left="624" w:right="135" w:hanging="624"/>
            </w:pPr>
            <w:r>
              <w:tab/>
              <w:t>(a)</w:t>
            </w:r>
            <w:r>
              <w:tab/>
              <w:t xml:space="preserve">single phase (overhead) </w:t>
            </w:r>
            <w:r>
              <w:tab/>
            </w:r>
          </w:p>
          <w:p>
            <w:pPr>
              <w:pStyle w:val="yTableNAm"/>
              <w:tabs>
                <w:tab w:val="clear" w:pos="567"/>
                <w:tab w:val="left" w:pos="199"/>
                <w:tab w:val="left" w:pos="624"/>
                <w:tab w:val="right" w:leader="dot" w:pos="5160"/>
              </w:tabs>
              <w:ind w:left="624" w:right="135" w:hanging="624"/>
              <w:rPr>
                <w:b/>
                <w:iCs/>
              </w:rPr>
            </w:pPr>
            <w:r>
              <w:tab/>
              <w:t>(b)</w:t>
            </w:r>
            <w:r>
              <w:tab/>
              <w:t xml:space="preserve">three phase (overhead) </w:t>
            </w:r>
            <w:r>
              <w:tab/>
            </w:r>
          </w:p>
        </w:tc>
        <w:tc>
          <w:tcPr>
            <w:tcW w:w="1191" w:type="dxa"/>
            <w:noWrap/>
          </w:tcPr>
          <w:p>
            <w:pPr>
              <w:pStyle w:val="yTableNAm"/>
              <w:jc w:val="right"/>
            </w:pPr>
          </w:p>
          <w:p>
            <w:pPr>
              <w:pStyle w:val="yTableNAm"/>
              <w:jc w:val="right"/>
            </w:pPr>
            <w:r>
              <w:t>$960.00</w:t>
            </w:r>
          </w:p>
          <w:p>
            <w:pPr>
              <w:pStyle w:val="yTableNAm"/>
              <w:jc w:val="right"/>
            </w:pPr>
            <w:r>
              <w:t>$960.00</w:t>
            </w:r>
          </w:p>
        </w:tc>
      </w:tr>
      <w:tr>
        <w:trPr>
          <w:cantSplit/>
        </w:trPr>
        <w:tc>
          <w:tcPr>
            <w:tcW w:w="567" w:type="dxa"/>
            <w:noWrap/>
          </w:tcPr>
          <w:p>
            <w:pPr>
              <w:pStyle w:val="yTableNAm"/>
            </w:pPr>
            <w:r>
              <w:t>4.</w:t>
            </w:r>
          </w:p>
        </w:tc>
        <w:tc>
          <w:tcPr>
            <w:tcW w:w="5245" w:type="dxa"/>
            <w:noWrap/>
          </w:tcPr>
          <w:p>
            <w:pPr>
              <w:pStyle w:val="yTableNAm"/>
              <w:ind w:right="135"/>
            </w:pPr>
            <w:r>
              <w:t>Meter testing — </w:t>
            </w:r>
          </w:p>
          <w:p>
            <w:pPr>
              <w:pStyle w:val="yTableNAm"/>
              <w:tabs>
                <w:tab w:val="clear" w:pos="567"/>
                <w:tab w:val="left" w:pos="199"/>
                <w:tab w:val="left" w:pos="624"/>
                <w:tab w:val="right" w:leader="dot" w:pos="5160"/>
              </w:tabs>
              <w:ind w:left="624" w:right="135" w:hanging="624"/>
            </w:pPr>
            <w:r>
              <w:tab/>
              <w:t>(a)</w:t>
            </w:r>
            <w:r>
              <w:tab/>
              <w:t xml:space="preserve">standard meter testing fee </w:t>
            </w:r>
            <w:r>
              <w:tab/>
            </w:r>
          </w:p>
          <w:p>
            <w:pPr>
              <w:pStyle w:val="yTableNAm"/>
              <w:tabs>
                <w:tab w:val="clear" w:pos="567"/>
                <w:tab w:val="left" w:pos="199"/>
                <w:tab w:val="left" w:pos="624"/>
                <w:tab w:val="right" w:leader="dot" w:pos="5160"/>
              </w:tabs>
              <w:ind w:left="624" w:right="135" w:hanging="624"/>
            </w:pPr>
            <w:r>
              <w:tab/>
              <w:t>(b)</w:t>
            </w:r>
            <w:r>
              <w:tab/>
              <w:t xml:space="preserve">reduced meter testing fee </w:t>
            </w:r>
            <w:r>
              <w:tab/>
            </w:r>
          </w:p>
        </w:tc>
        <w:tc>
          <w:tcPr>
            <w:tcW w:w="1191" w:type="dxa"/>
            <w:noWrap/>
          </w:tcPr>
          <w:p>
            <w:pPr>
              <w:pStyle w:val="yTableNAm"/>
              <w:jc w:val="right"/>
            </w:pPr>
          </w:p>
          <w:p>
            <w:pPr>
              <w:pStyle w:val="yTableNAm"/>
              <w:jc w:val="right"/>
            </w:pPr>
            <w:r>
              <w:t>$259.70</w:t>
            </w:r>
          </w:p>
          <w:p>
            <w:pPr>
              <w:pStyle w:val="yTableNAm"/>
              <w:jc w:val="right"/>
            </w:pPr>
            <w:r>
              <w:t>$162.20</w:t>
            </w:r>
          </w:p>
        </w:tc>
      </w:tr>
      <w:tr>
        <w:trPr>
          <w:cantSplit/>
        </w:trPr>
        <w:tc>
          <w:tcPr>
            <w:tcW w:w="567" w:type="dxa"/>
            <w:noWrap/>
          </w:tcPr>
          <w:p>
            <w:pPr>
              <w:pStyle w:val="yTableNAm"/>
            </w:pPr>
            <w:r>
              <w:t>5.</w:t>
            </w:r>
          </w:p>
        </w:tc>
        <w:tc>
          <w:tcPr>
            <w:tcW w:w="5245" w:type="dxa"/>
            <w:noWrap/>
          </w:tcPr>
          <w:p>
            <w:pPr>
              <w:pStyle w:val="yTableNAm"/>
              <w:tabs>
                <w:tab w:val="clear" w:pos="567"/>
                <w:tab w:val="right" w:leader="dot" w:pos="5160"/>
              </w:tabs>
              <w:ind w:right="135"/>
            </w:pPr>
            <w:r>
              <w:t xml:space="preserve">Disconnection of overhead service leads following unauthorised reconnection </w:t>
            </w:r>
            <w:r>
              <w:tab/>
            </w:r>
          </w:p>
        </w:tc>
        <w:tc>
          <w:tcPr>
            <w:tcW w:w="1191" w:type="dxa"/>
            <w:noWrap/>
            <w:vAlign w:val="bottom"/>
          </w:tcPr>
          <w:p>
            <w:pPr>
              <w:pStyle w:val="yTableNAm"/>
              <w:jc w:val="right"/>
            </w:pPr>
            <w:r>
              <w:t>$642.11</w:t>
            </w:r>
          </w:p>
        </w:tc>
      </w:tr>
      <w:tr>
        <w:trPr>
          <w:cantSplit/>
        </w:trPr>
        <w:tc>
          <w:tcPr>
            <w:tcW w:w="567" w:type="dxa"/>
            <w:noWrap/>
          </w:tcPr>
          <w:p>
            <w:pPr>
              <w:pStyle w:val="yTableNAm"/>
            </w:pPr>
            <w:r>
              <w:t>6.</w:t>
            </w:r>
          </w:p>
        </w:tc>
        <w:tc>
          <w:tcPr>
            <w:tcW w:w="5245" w:type="dxa"/>
            <w:noWrap/>
          </w:tcPr>
          <w:p>
            <w:pPr>
              <w:pStyle w:val="yTableNAm"/>
              <w:tabs>
                <w:tab w:val="clear" w:pos="567"/>
                <w:tab w:val="right" w:leader="dot" w:pos="5160"/>
              </w:tabs>
              <w:ind w:right="135"/>
            </w:pPr>
            <w:r>
              <w:t xml:space="preserve">Overdue account notices </w:t>
            </w:r>
            <w:r>
              <w:tab/>
            </w:r>
          </w:p>
        </w:tc>
        <w:tc>
          <w:tcPr>
            <w:tcW w:w="1191" w:type="dxa"/>
            <w:noWrap/>
          </w:tcPr>
          <w:p>
            <w:pPr>
              <w:pStyle w:val="yTableNAm"/>
              <w:jc w:val="right"/>
            </w:pPr>
            <w:r>
              <w:rPr>
                <w:szCs w:val="22"/>
              </w:rPr>
              <w:t>$6.09</w:t>
            </w:r>
          </w:p>
        </w:tc>
      </w:tr>
      <w:tr>
        <w:trPr>
          <w:cantSplit/>
        </w:trPr>
        <w:tc>
          <w:tcPr>
            <w:tcW w:w="567" w:type="dxa"/>
            <w:noWrap/>
          </w:tcPr>
          <w:p>
            <w:pPr>
              <w:pStyle w:val="yTableNAm"/>
            </w:pPr>
            <w:r>
              <w:t>7.</w:t>
            </w:r>
          </w:p>
        </w:tc>
        <w:tc>
          <w:tcPr>
            <w:tcW w:w="5245" w:type="dxa"/>
            <w:noWrap/>
          </w:tcPr>
          <w:p>
            <w:pPr>
              <w:pStyle w:val="yTableNAm"/>
              <w:tabs>
                <w:tab w:val="clear" w:pos="567"/>
                <w:tab w:val="right" w:leader="dot" w:pos="5160"/>
              </w:tabs>
              <w:ind w:right="135"/>
            </w:pPr>
            <w:r>
              <w:t xml:space="preserve">Rejected account payment (where payment made through Australia Post) </w:t>
            </w:r>
            <w:r>
              <w:tab/>
            </w:r>
          </w:p>
        </w:tc>
        <w:tc>
          <w:tcPr>
            <w:tcW w:w="1191" w:type="dxa"/>
            <w:noWrap/>
            <w:vAlign w:val="bottom"/>
          </w:tcPr>
          <w:p>
            <w:pPr>
              <w:pStyle w:val="yTableNAm"/>
              <w:jc w:val="right"/>
            </w:pPr>
            <w:r>
              <w:t>$28.89</w:t>
            </w:r>
          </w:p>
        </w:tc>
      </w:tr>
      <w:tr>
        <w:trPr>
          <w:cantSplit/>
        </w:trPr>
        <w:tc>
          <w:tcPr>
            <w:tcW w:w="567" w:type="dxa"/>
            <w:noWrap/>
          </w:tcPr>
          <w:p>
            <w:pPr>
              <w:pStyle w:val="yTableNAm"/>
              <w:keepNext/>
            </w:pPr>
            <w:r>
              <w:t>8.</w:t>
            </w:r>
          </w:p>
        </w:tc>
        <w:tc>
          <w:tcPr>
            <w:tcW w:w="5245" w:type="dxa"/>
            <w:noWrap/>
          </w:tcPr>
          <w:p>
            <w:pPr>
              <w:pStyle w:val="yTableNAm"/>
              <w:keepNext/>
              <w:ind w:right="135"/>
            </w:pPr>
            <w:r>
              <w:t>A transaction fee where a consumer makes a payment to the corporation by means of a credit card or debit card</w:t>
            </w:r>
          </w:p>
        </w:tc>
        <w:tc>
          <w:tcPr>
            <w:tcW w:w="1191" w:type="dxa"/>
            <w:noWrap/>
          </w:tcPr>
          <w:p>
            <w:pPr>
              <w:pStyle w:val="yTableNAm"/>
              <w:keepNext/>
              <w:jc w:val="right"/>
            </w:pPr>
            <w:r>
              <w:t>The permitted surcharge for the payment</w:t>
            </w:r>
          </w:p>
        </w:tc>
      </w:tr>
      <w:tr>
        <w:trPr>
          <w:cantSplit/>
        </w:trPr>
        <w:tc>
          <w:tcPr>
            <w:tcW w:w="567" w:type="dxa"/>
            <w:noWrap/>
          </w:tcPr>
          <w:p>
            <w:pPr>
              <w:pStyle w:val="yTableNAm"/>
            </w:pPr>
            <w:r>
              <w:t>9.</w:t>
            </w:r>
          </w:p>
        </w:tc>
        <w:tc>
          <w:tcPr>
            <w:tcW w:w="5245" w:type="dxa"/>
            <w:noWrap/>
          </w:tcPr>
          <w:p>
            <w:pPr>
              <w:pStyle w:val="yTableNAm"/>
              <w:tabs>
                <w:tab w:val="clear" w:pos="567"/>
                <w:tab w:val="right" w:leader="dot" w:pos="5160"/>
              </w:tabs>
              <w:ind w:right="135"/>
            </w:pPr>
            <w:r>
              <w:t xml:space="preserve">Remote configurations </w:t>
            </w:r>
            <w:r>
              <w:tab/>
            </w:r>
          </w:p>
        </w:tc>
        <w:tc>
          <w:tcPr>
            <w:tcW w:w="1191" w:type="dxa"/>
            <w:noWrap/>
          </w:tcPr>
          <w:p>
            <w:pPr>
              <w:pStyle w:val="yTableNAm"/>
              <w:jc w:val="right"/>
            </w:pPr>
            <w:r>
              <w:t>$27.63</w:t>
            </w:r>
          </w:p>
        </w:tc>
      </w:tr>
      <w:tr>
        <w:trPr>
          <w:cantSplit/>
        </w:trPr>
        <w:tc>
          <w:tcPr>
            <w:tcW w:w="567" w:type="dxa"/>
            <w:noWrap/>
          </w:tcPr>
          <w:p>
            <w:pPr>
              <w:pStyle w:val="yTableNAm"/>
            </w:pPr>
            <w:r>
              <w:t>10.</w:t>
            </w:r>
          </w:p>
        </w:tc>
        <w:tc>
          <w:tcPr>
            <w:tcW w:w="5245" w:type="dxa"/>
            <w:noWrap/>
          </w:tcPr>
          <w:p>
            <w:pPr>
              <w:pStyle w:val="yTableNAm"/>
              <w:tabs>
                <w:tab w:val="clear" w:pos="567"/>
                <w:tab w:val="right" w:leader="dot" w:pos="5160"/>
              </w:tabs>
              <w:ind w:right="135"/>
            </w:pPr>
            <w:r>
              <w:t xml:space="preserve">Meter damage fee </w:t>
            </w:r>
            <w:r>
              <w:tab/>
            </w:r>
          </w:p>
        </w:tc>
        <w:tc>
          <w:tcPr>
            <w:tcW w:w="1191" w:type="dxa"/>
            <w:noWrap/>
          </w:tcPr>
          <w:p>
            <w:pPr>
              <w:pStyle w:val="yTableNAm"/>
              <w:jc w:val="right"/>
            </w:pPr>
            <w:r>
              <w:t>$894.00</w:t>
            </w:r>
          </w:p>
        </w:tc>
      </w:tr>
      <w:tr>
        <w:trPr>
          <w:cantSplit/>
        </w:trPr>
        <w:tc>
          <w:tcPr>
            <w:tcW w:w="567" w:type="dxa"/>
            <w:noWrap/>
          </w:tcPr>
          <w:p>
            <w:pPr>
              <w:pStyle w:val="yTableNAm"/>
            </w:pPr>
            <w:r>
              <w:t>11.</w:t>
            </w:r>
          </w:p>
        </w:tc>
        <w:tc>
          <w:tcPr>
            <w:tcW w:w="5245" w:type="dxa"/>
            <w:noWrap/>
          </w:tcPr>
          <w:p>
            <w:pPr>
              <w:pStyle w:val="yTableNAm"/>
              <w:tabs>
                <w:tab w:val="clear" w:pos="567"/>
                <w:tab w:val="right" w:leader="dot" w:pos="5160"/>
              </w:tabs>
              <w:ind w:right="135"/>
            </w:pPr>
            <w:r>
              <w:t xml:space="preserve">Remote connection or disconnection </w:t>
            </w:r>
            <w:r>
              <w:tab/>
            </w:r>
          </w:p>
        </w:tc>
        <w:tc>
          <w:tcPr>
            <w:tcW w:w="1191" w:type="dxa"/>
            <w:noWrap/>
          </w:tcPr>
          <w:p>
            <w:pPr>
              <w:pStyle w:val="yTableNAm"/>
              <w:jc w:val="right"/>
            </w:pPr>
            <w:r>
              <w:t>$6.52</w:t>
            </w:r>
          </w:p>
        </w:tc>
      </w:tr>
      <w:tr>
        <w:trPr>
          <w:cantSplit/>
        </w:trPr>
        <w:tc>
          <w:tcPr>
            <w:tcW w:w="567" w:type="dxa"/>
            <w:noWrap/>
          </w:tcPr>
          <w:p>
            <w:pPr>
              <w:pStyle w:val="yTableNAm"/>
            </w:pPr>
            <w:r>
              <w:t>12.</w:t>
            </w:r>
          </w:p>
        </w:tc>
        <w:tc>
          <w:tcPr>
            <w:tcW w:w="5245" w:type="dxa"/>
            <w:noWrap/>
          </w:tcPr>
          <w:p>
            <w:pPr>
              <w:pStyle w:val="yTableNAm"/>
              <w:tabs>
                <w:tab w:val="clear" w:pos="567"/>
                <w:tab w:val="right" w:leader="dot" w:pos="5160"/>
              </w:tabs>
              <w:ind w:right="135"/>
            </w:pPr>
            <w:r>
              <w:t xml:space="preserve">Paper bill fee </w:t>
            </w:r>
            <w:r>
              <w:tab/>
            </w:r>
          </w:p>
        </w:tc>
        <w:tc>
          <w:tcPr>
            <w:tcW w:w="1191" w:type="dxa"/>
            <w:noWrap/>
          </w:tcPr>
          <w:p>
            <w:pPr>
              <w:pStyle w:val="yTableNAm"/>
              <w:jc w:val="right"/>
            </w:pPr>
            <w:r>
              <w:t>$1.26</w:t>
            </w:r>
          </w:p>
        </w:tc>
      </w:tr>
      <w:tr>
        <w:trPr>
          <w:cantSplit/>
        </w:trPr>
        <w:tc>
          <w:tcPr>
            <w:tcW w:w="567" w:type="dxa"/>
            <w:tcBorders>
              <w:bottom w:val="single" w:sz="4" w:space="0" w:color="auto"/>
            </w:tcBorders>
            <w:noWrap/>
          </w:tcPr>
          <w:p>
            <w:pPr>
              <w:pStyle w:val="yTableNAm"/>
              <w:keepNext/>
            </w:pPr>
            <w:r>
              <w:lastRenderedPageBreak/>
              <w:t>13.</w:t>
            </w:r>
          </w:p>
        </w:tc>
        <w:tc>
          <w:tcPr>
            <w:tcW w:w="5245" w:type="dxa"/>
            <w:tcBorders>
              <w:bottom w:val="single" w:sz="4" w:space="0" w:color="auto"/>
            </w:tcBorders>
            <w:noWrap/>
          </w:tcPr>
          <w:p>
            <w:pPr>
              <w:pStyle w:val="yTableNAm"/>
              <w:keepNext/>
              <w:tabs>
                <w:tab w:val="clear" w:pos="567"/>
                <w:tab w:val="right" w:leader="dot" w:pos="5160"/>
              </w:tabs>
              <w:ind w:right="135"/>
            </w:pPr>
            <w:r>
              <w:t>Over</w:t>
            </w:r>
            <w:r>
              <w:noBreakHyphen/>
              <w:t>the</w:t>
            </w:r>
            <w:r>
              <w:noBreakHyphen/>
              <w:t xml:space="preserve">counter payment fee </w:t>
            </w:r>
            <w:r>
              <w:tab/>
            </w:r>
          </w:p>
        </w:tc>
        <w:tc>
          <w:tcPr>
            <w:tcW w:w="1191" w:type="dxa"/>
            <w:tcBorders>
              <w:bottom w:val="single" w:sz="4" w:space="0" w:color="auto"/>
            </w:tcBorders>
            <w:noWrap/>
          </w:tcPr>
          <w:p>
            <w:pPr>
              <w:pStyle w:val="yTableNAm"/>
              <w:keepNext/>
              <w:jc w:val="right"/>
            </w:pPr>
            <w:r>
              <w:t>$2.67</w:t>
            </w:r>
          </w:p>
        </w:tc>
      </w:tr>
    </w:tbl>
    <w:p>
      <w:pPr>
        <w:pStyle w:val="yFootnotesection"/>
      </w:pPr>
      <w:r>
        <w:tab/>
        <w:t>[Schedule 4 inserted: SL 2023/84 bl.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544" w:gutter="0"/>
          <w:cols w:space="720"/>
          <w:noEndnote/>
          <w:docGrid w:linePitch="326"/>
        </w:sectPr>
      </w:pPr>
    </w:p>
    <w:p>
      <w:pPr>
        <w:pStyle w:val="nHeading2"/>
      </w:pPr>
      <w:bookmarkStart w:id="35" w:name="_Toc155077578"/>
      <w:r>
        <w:lastRenderedPageBreak/>
        <w:t>Notes</w:t>
      </w:r>
      <w:bookmarkEnd w:id="35"/>
    </w:p>
    <w:p>
      <w:pPr>
        <w:pStyle w:val="nStatement"/>
      </w:pPr>
      <w:r>
        <w:t xml:space="preserve">This is a compilation of the </w:t>
      </w:r>
      <w:r>
        <w:rPr>
          <w:i/>
          <w:noProof/>
        </w:rPr>
        <w:t>Energy Operators (Regional Power Corporation) (Charges) By-laws 2006</w:t>
      </w:r>
      <w:r>
        <w:t xml:space="preserve"> and includes amendments made by other written laws. For provisions that have come into operation, and for information about any reprints, see the compilation table.</w:t>
      </w:r>
    </w:p>
    <w:p>
      <w:pPr>
        <w:pStyle w:val="nHeading3"/>
      </w:pPr>
      <w:bookmarkStart w:id="36" w:name="_Toc155077579"/>
      <w:r>
        <w:t>Compilation table</w:t>
      </w:r>
      <w:bookmarkEnd w:id="3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keepNext/>
              <w:keepLines/>
              <w:spacing w:after="40"/>
            </w:pPr>
            <w:r>
              <w:t>31 Mar 2006 p. 1279</w:t>
            </w:r>
            <w:r>
              <w:noBreakHyphen/>
              <w:t>97</w:t>
            </w:r>
          </w:p>
        </w:tc>
        <w:tc>
          <w:tcPr>
            <w:tcW w:w="2693" w:type="dxa"/>
          </w:tcPr>
          <w:p>
            <w:pPr>
              <w:pStyle w:val="nTable"/>
              <w:keepNext/>
              <w:keepLines/>
              <w:spacing w:after="40"/>
            </w:pPr>
            <w:r>
              <w:t>1 Apr 2006 (see bl.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keepLines/>
              <w:spacing w:after="40"/>
            </w:pPr>
            <w:r>
              <w:t>29 Jun 2007 p. 3192</w:t>
            </w:r>
            <w:r>
              <w:noBreakHyphen/>
              <w:t>3</w:t>
            </w:r>
          </w:p>
        </w:tc>
        <w:tc>
          <w:tcPr>
            <w:tcW w:w="2693" w:type="dxa"/>
          </w:tcPr>
          <w:p>
            <w:pPr>
              <w:pStyle w:val="nTable"/>
              <w:keepLines/>
              <w:spacing w:after="40"/>
            </w:pPr>
            <w:r>
              <w:t>bl. 1 and 2: 29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keepLines/>
              <w:spacing w:after="40"/>
            </w:pPr>
            <w:r>
              <w:t>30 </w:t>
            </w:r>
            <w:r>
              <w:rPr>
                <w:noProof/>
                <w:snapToGrid w:val="0"/>
              </w:rPr>
              <w:t>Mar</w:t>
            </w:r>
            <w:r>
              <w:t> 2009 p. 997</w:t>
            </w:r>
            <w:r>
              <w:noBreakHyphen/>
              <w:t>1017</w:t>
            </w:r>
          </w:p>
        </w:tc>
        <w:tc>
          <w:tcPr>
            <w:tcW w:w="2693" w:type="dxa"/>
          </w:tcPr>
          <w:p>
            <w:pPr>
              <w:pStyle w:val="nTable"/>
              <w:keepLines/>
              <w:spacing w:after="40"/>
            </w:pPr>
            <w:r>
              <w:rPr>
                <w:iCs/>
                <w:noProof/>
                <w:snapToGrid w:val="0"/>
              </w:rPr>
              <w:t>bl. </w:t>
            </w:r>
            <w:r>
              <w:t>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keepLines/>
              <w:spacing w:after="40"/>
            </w:pPr>
            <w:r>
              <w:t>26 Mar 2010 p. 1171-89</w:t>
            </w:r>
          </w:p>
        </w:tc>
        <w:tc>
          <w:tcPr>
            <w:tcW w:w="2693" w:type="dxa"/>
          </w:tcPr>
          <w:p>
            <w:pPr>
              <w:pStyle w:val="nTable"/>
              <w:keepLines/>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keepLines/>
              <w:spacing w:after="40"/>
            </w:pPr>
            <w:r>
              <w:t>24 Jun 2011 p. 2495</w:t>
            </w:r>
            <w:r>
              <w:noBreakHyphen/>
              <w:t>8</w:t>
            </w:r>
          </w:p>
        </w:tc>
        <w:tc>
          <w:tcPr>
            <w:tcW w:w="2693" w:type="dxa"/>
          </w:tcPr>
          <w:p>
            <w:pPr>
              <w:pStyle w:val="nTable"/>
              <w:keepLines/>
              <w:spacing w:after="40"/>
            </w:pPr>
            <w:r>
              <w:t>bl. 1 and 2: 24 Jun 2011 (see bl. 2(a));</w:t>
            </w:r>
            <w:r>
              <w:br/>
              <w:t>By</w:t>
            </w:r>
            <w:r>
              <w:noBreakHyphen/>
              <w:t>laws other than bl. 1 and 2: 1 Jul 2011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2012</w:t>
            </w:r>
          </w:p>
        </w:tc>
        <w:tc>
          <w:tcPr>
            <w:tcW w:w="1276" w:type="dxa"/>
          </w:tcPr>
          <w:p>
            <w:pPr>
              <w:pStyle w:val="nTable"/>
              <w:keepLines/>
              <w:spacing w:after="40"/>
            </w:pPr>
            <w:r>
              <w:t>29 Jun 2012 p. 2899-911</w:t>
            </w:r>
          </w:p>
        </w:tc>
        <w:tc>
          <w:tcPr>
            <w:tcW w:w="2693" w:type="dxa"/>
          </w:tcPr>
          <w:p>
            <w:pPr>
              <w:pStyle w:val="nTable"/>
              <w:keepLines/>
              <w:spacing w:after="40"/>
            </w:pPr>
            <w:r>
              <w:t>bl. 1 and 2: 29 Jun 2012 (see bl. 2(a));</w:t>
            </w:r>
            <w:r>
              <w:br/>
              <w:t>By</w:t>
            </w:r>
            <w:r>
              <w:noBreakHyphen/>
              <w:t>laws other than bl. 1 and 2: 1 Jul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(No. 2) 2012</w:t>
            </w:r>
          </w:p>
        </w:tc>
        <w:tc>
          <w:tcPr>
            <w:tcW w:w="1276" w:type="dxa"/>
          </w:tcPr>
          <w:p>
            <w:pPr>
              <w:pStyle w:val="nTable"/>
              <w:keepLines/>
              <w:spacing w:after="40"/>
            </w:pPr>
            <w:r>
              <w:t>21 Sep 2012 p. 4423</w:t>
            </w:r>
          </w:p>
        </w:tc>
        <w:tc>
          <w:tcPr>
            <w:tcW w:w="2693" w:type="dxa"/>
          </w:tcPr>
          <w:p>
            <w:pPr>
              <w:pStyle w:val="nTable"/>
              <w:keepLines/>
              <w:spacing w:after="40"/>
            </w:pPr>
            <w:r>
              <w:t>bl. 1 and 2: 21 Sep 2012 (see bl. 2(a));</w:t>
            </w:r>
            <w:r>
              <w:br/>
              <w:t>By</w:t>
            </w:r>
            <w:r>
              <w:noBreakHyphen/>
              <w:t>laws other than bl. 1 and 2: 1 Oct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By-laws 2013</w:t>
            </w:r>
          </w:p>
        </w:tc>
        <w:tc>
          <w:tcPr>
            <w:tcW w:w="1276" w:type="dxa"/>
          </w:tcPr>
          <w:p>
            <w:pPr>
              <w:pStyle w:val="nTable"/>
              <w:keepLines/>
              <w:spacing w:after="40"/>
            </w:pPr>
            <w:r>
              <w:t>14 Jun 2013 p. 2223-7</w:t>
            </w:r>
          </w:p>
        </w:tc>
        <w:tc>
          <w:tcPr>
            <w:tcW w:w="2693" w:type="dxa"/>
          </w:tcPr>
          <w:p>
            <w:pPr>
              <w:pStyle w:val="nTable"/>
              <w:keepLines/>
              <w:spacing w:after="40"/>
            </w:pPr>
            <w:r>
              <w:t>bl. 1 and 2: 14 Jun 2013 (see bl. 2(a));</w:t>
            </w:r>
            <w:r>
              <w:br/>
              <w:t>By</w:t>
            </w:r>
            <w:r>
              <w:noBreakHyphen/>
              <w:t>laws other than bl. 1 and 2: 1 Jul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lastRenderedPageBreak/>
              <w:t>Energy Operators (Regional Power Corporation) (Charges) Amendment By</w:t>
            </w:r>
            <w:r>
              <w:rPr>
                <w:i/>
                <w:noProof/>
                <w:snapToGrid w:val="0"/>
              </w:rPr>
              <w:noBreakHyphen/>
              <w:t>laws (No. 2) 2013</w:t>
            </w:r>
          </w:p>
        </w:tc>
        <w:tc>
          <w:tcPr>
            <w:tcW w:w="1276" w:type="dxa"/>
            <w:shd w:val="clear" w:color="auto" w:fill="auto"/>
          </w:tcPr>
          <w:p>
            <w:pPr>
              <w:pStyle w:val="nTable"/>
              <w:keepLines/>
              <w:spacing w:after="40"/>
            </w:pPr>
            <w:r>
              <w:t>30 Aug 2013 p. 4093-6</w:t>
            </w:r>
          </w:p>
        </w:tc>
        <w:tc>
          <w:tcPr>
            <w:tcW w:w="2693" w:type="dxa"/>
            <w:shd w:val="clear" w:color="auto" w:fill="auto"/>
          </w:tcPr>
          <w:p>
            <w:pPr>
              <w:pStyle w:val="nTable"/>
              <w:keepLines/>
              <w:spacing w:after="40"/>
            </w:pPr>
            <w:r>
              <w:t>bl. 1 and 2: 30 Aug 2013 (see bl. 2(a));</w:t>
            </w:r>
            <w:r>
              <w:br/>
              <w:t>By</w:t>
            </w:r>
            <w:r>
              <w:noBreakHyphen/>
              <w:t>laws other than bl. 1 and 2: 1 Sep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Lines/>
              <w:spacing w:after="40"/>
            </w:pPr>
            <w:r>
              <w:t>27 Jun 2014 p. 2319-26</w:t>
            </w:r>
          </w:p>
        </w:tc>
        <w:tc>
          <w:tcPr>
            <w:tcW w:w="2693" w:type="dxa"/>
            <w:shd w:val="clear" w:color="auto" w:fill="auto"/>
          </w:tcPr>
          <w:p>
            <w:pPr>
              <w:pStyle w:val="nTable"/>
              <w:keepLines/>
              <w:spacing w:after="40"/>
            </w:pPr>
            <w:r>
              <w:t>bl. 1 and 2: 27 Jun 2014 (see bl. 2(a));</w:t>
            </w:r>
            <w:r>
              <w:br/>
              <w:t>By</w:t>
            </w:r>
            <w:r>
              <w:noBreakHyphen/>
              <w:t>laws other than bl. 1 and 2: 1 Jul 2014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Lines/>
              <w:spacing w:after="40"/>
            </w:pPr>
            <w:r>
              <w:t>22 Aug 2014 p. 3017</w:t>
            </w:r>
            <w:r>
              <w:noBreakHyphen/>
              <w:t>23</w:t>
            </w:r>
          </w:p>
        </w:tc>
        <w:tc>
          <w:tcPr>
            <w:tcW w:w="2693" w:type="dxa"/>
            <w:shd w:val="clear" w:color="auto" w:fill="auto"/>
          </w:tcPr>
          <w:p>
            <w:pPr>
              <w:pStyle w:val="nTable"/>
              <w:keepLines/>
              <w:spacing w:after="40"/>
            </w:pPr>
            <w:r>
              <w:t>bl. 1 and 2: 22 Aug 2014 (see bl. 2(a));</w:t>
            </w:r>
            <w:r>
              <w:br/>
              <w:t>By</w:t>
            </w:r>
            <w:r>
              <w:noBreakHyphen/>
              <w:t>laws other than bl. 1 and 2: 1 Sep 2014 (see bl.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Lines/>
              <w:spacing w:after="40"/>
              <w:rPr>
                <w:b/>
                <w:bCs/>
                <w:iCs/>
                <w:noProof/>
                <w:snapToGrid w:val="0"/>
              </w:rPr>
            </w:pPr>
            <w:r>
              <w:t>26 Jun 2015 p. 2247</w:t>
            </w:r>
            <w:r>
              <w:noBreakHyphen/>
              <w:t>52</w:t>
            </w:r>
          </w:p>
        </w:tc>
        <w:tc>
          <w:tcPr>
            <w:tcW w:w="2693" w:type="dxa"/>
            <w:shd w:val="clear" w:color="auto" w:fill="auto"/>
          </w:tcPr>
          <w:p>
            <w:pPr>
              <w:pStyle w:val="nTable"/>
              <w:keepLines/>
              <w:spacing w:after="40"/>
              <w:rPr>
                <w:b/>
                <w:bCs/>
                <w:iCs/>
                <w:noProof/>
                <w:snapToGrid w:val="0"/>
              </w:rPr>
            </w:pPr>
            <w:r>
              <w:t>bl. 1 and 2: 26 Jun 2015 (see bl. 2(a));</w:t>
            </w:r>
            <w:r>
              <w:br/>
              <w:t>By</w:t>
            </w:r>
            <w:r>
              <w:noBreakHyphen/>
              <w:t>laws other than bl. 1 and 2: 1 Jul 2015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Lines/>
              <w:spacing w:after="40"/>
            </w:pPr>
            <w:r>
              <w:t>28 Jun 2016 p. 2626</w:t>
            </w:r>
            <w:r>
              <w:noBreakHyphen/>
              <w:t>8</w:t>
            </w:r>
          </w:p>
        </w:tc>
        <w:tc>
          <w:tcPr>
            <w:tcW w:w="2693" w:type="dxa"/>
            <w:shd w:val="clear" w:color="auto" w:fill="auto"/>
          </w:tcPr>
          <w:p>
            <w:pPr>
              <w:pStyle w:val="nTable"/>
              <w:keepLines/>
              <w:spacing w:after="40"/>
            </w:pPr>
            <w:r>
              <w:t>bl. 1 and 2: 28 Jun 2016 (see bl. 2(a));</w:t>
            </w:r>
            <w:r>
              <w:br/>
              <w:t>By</w:t>
            </w:r>
            <w:r>
              <w:noBreakHyphen/>
              <w:t>laws other than bl. 1 and 2: 1 Jul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Lines/>
              <w:spacing w:after="40"/>
            </w:pPr>
            <w:r>
              <w:t>31 Aug 2016 p. 3707</w:t>
            </w:r>
            <w:r>
              <w:noBreakHyphen/>
              <w:t>10</w:t>
            </w:r>
          </w:p>
        </w:tc>
        <w:tc>
          <w:tcPr>
            <w:tcW w:w="2693" w:type="dxa"/>
            <w:shd w:val="clear" w:color="auto" w:fill="auto"/>
          </w:tcPr>
          <w:p>
            <w:pPr>
              <w:pStyle w:val="nTable"/>
              <w:keepLines/>
              <w:spacing w:after="40"/>
            </w:pPr>
            <w:r>
              <w:t>bl. 1 and 2: 31 Aug 2016 (see bl. 2(a));</w:t>
            </w:r>
            <w:r>
              <w:br/>
              <w:t>By</w:t>
            </w:r>
            <w:r>
              <w:noBreakHyphen/>
              <w:t>laws other than bl. 1 and 2: 1 Sep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Lines/>
              <w:spacing w:after="40"/>
            </w:pPr>
            <w:r>
              <w:t>27 Jun 2017 p. 3419</w:t>
            </w:r>
            <w:r>
              <w:noBreakHyphen/>
              <w:t>24</w:t>
            </w:r>
          </w:p>
        </w:tc>
        <w:tc>
          <w:tcPr>
            <w:tcW w:w="2693" w:type="dxa"/>
            <w:shd w:val="clear" w:color="auto" w:fill="auto"/>
          </w:tcPr>
          <w:p>
            <w:pPr>
              <w:pStyle w:val="nTable"/>
              <w:keepLines/>
              <w:spacing w:after="40"/>
            </w:pPr>
            <w:r>
              <w:t>bl. 1 and 2: 27 Jun 2017 (see bl. 2(a));</w:t>
            </w:r>
            <w:r>
              <w:br/>
              <w:t>By-laws other than bl. 1 and 2: 1 Jul 2017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2) 2017</w:t>
            </w:r>
          </w:p>
        </w:tc>
        <w:tc>
          <w:tcPr>
            <w:tcW w:w="1276" w:type="dxa"/>
            <w:shd w:val="clear" w:color="auto" w:fill="auto"/>
          </w:tcPr>
          <w:p>
            <w:pPr>
              <w:pStyle w:val="nTable"/>
              <w:keepLines/>
              <w:spacing w:after="40"/>
            </w:pPr>
            <w:r>
              <w:t>30 Jun 2017 p. 3562</w:t>
            </w:r>
            <w:r>
              <w:noBreakHyphen/>
              <w:t>4</w:t>
            </w:r>
          </w:p>
        </w:tc>
        <w:tc>
          <w:tcPr>
            <w:tcW w:w="2693" w:type="dxa"/>
            <w:shd w:val="clear" w:color="auto" w:fill="auto"/>
          </w:tcPr>
          <w:p>
            <w:pPr>
              <w:pStyle w:val="nTable"/>
              <w:keepLines/>
              <w:spacing w:after="40"/>
            </w:pPr>
            <w:r>
              <w:t>bl. 1 and 2: 30 Jun 2017 (see bl. 2(a));</w:t>
            </w:r>
            <w:r>
              <w:br/>
              <w:t>By-laws other than bl. 1 and 2: 1 Jul 2017 (see bl.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3) 2017</w:t>
            </w:r>
          </w:p>
        </w:tc>
        <w:tc>
          <w:tcPr>
            <w:tcW w:w="1276" w:type="dxa"/>
            <w:shd w:val="clear" w:color="auto" w:fill="auto"/>
          </w:tcPr>
          <w:p>
            <w:pPr>
              <w:pStyle w:val="nTable"/>
              <w:keepLines/>
              <w:spacing w:after="40"/>
            </w:pPr>
            <w:r>
              <w:t>22 Dec 2017 p. 5978</w:t>
            </w:r>
            <w:r>
              <w:noBreakHyphen/>
              <w:t>83</w:t>
            </w:r>
          </w:p>
        </w:tc>
        <w:tc>
          <w:tcPr>
            <w:tcW w:w="2693" w:type="dxa"/>
            <w:shd w:val="clear" w:color="auto" w:fill="auto"/>
          </w:tcPr>
          <w:p>
            <w:pPr>
              <w:pStyle w:val="nTable"/>
              <w:keepLines/>
              <w:spacing w:after="40"/>
            </w:pPr>
            <w:r>
              <w:t>bl. 1 and 2: 22 Dec 2017 (see bl. 2(a));</w:t>
            </w:r>
            <w:r>
              <w:br/>
              <w:t>By-laws other than bl. 1 and 2: 1 Jan 2018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lastRenderedPageBreak/>
              <w:t>Energy Operators (Regional Power Corporation) (Charges) Amendment By</w:t>
            </w:r>
            <w:r>
              <w:rPr>
                <w:i/>
              </w:rPr>
              <w:noBreakHyphen/>
              <w:t>laws 2018</w:t>
            </w:r>
          </w:p>
        </w:tc>
        <w:tc>
          <w:tcPr>
            <w:tcW w:w="1276" w:type="dxa"/>
            <w:shd w:val="clear" w:color="auto" w:fill="auto"/>
          </w:tcPr>
          <w:p>
            <w:pPr>
              <w:pStyle w:val="nTable"/>
              <w:keepLines/>
              <w:spacing w:after="40"/>
            </w:pPr>
            <w:r>
              <w:t>26 Jun 2018 p. 2361</w:t>
            </w:r>
            <w:r>
              <w:noBreakHyphen/>
              <w:t>71</w:t>
            </w:r>
          </w:p>
        </w:tc>
        <w:tc>
          <w:tcPr>
            <w:tcW w:w="2693" w:type="dxa"/>
            <w:shd w:val="clear" w:color="auto" w:fill="auto"/>
          </w:tcPr>
          <w:p>
            <w:pPr>
              <w:pStyle w:val="nTable"/>
              <w:keepLines/>
              <w:spacing w:after="40"/>
            </w:pPr>
            <w:r>
              <w:t>bl. 1 and 2: 26 Jun 2018 (see bl. 2(a));</w:t>
            </w:r>
            <w:r>
              <w:br/>
              <w:t>By-laws other than bl. 1 and 2: 1 Jul 2018 (see bl. 2(b))</w:t>
            </w:r>
          </w:p>
        </w:tc>
      </w:tr>
      <w:tr>
        <w:trPr>
          <w:cantSplit/>
        </w:trPr>
        <w:tc>
          <w:tcPr>
            <w:tcW w:w="3119" w:type="dxa"/>
            <w:tcBorders>
              <w:bottom w:val="nil"/>
            </w:tcBorders>
            <w:shd w:val="clear" w:color="auto" w:fill="auto"/>
          </w:tcPr>
          <w:p>
            <w:pPr>
              <w:pStyle w:val="nTable"/>
              <w:keepLines/>
              <w:spacing w:after="40"/>
              <w:rPr>
                <w:i/>
              </w:rPr>
            </w:pPr>
            <w:r>
              <w:rPr>
                <w:i/>
              </w:rPr>
              <w:t>Energy Operators (Regional Power Corporation) (Charges) Amendment By</w:t>
            </w:r>
            <w:r>
              <w:rPr>
                <w:i/>
              </w:rPr>
              <w:noBreakHyphen/>
              <w:t>laws 2019</w:t>
            </w:r>
          </w:p>
        </w:tc>
        <w:tc>
          <w:tcPr>
            <w:tcW w:w="1276" w:type="dxa"/>
            <w:tcBorders>
              <w:bottom w:val="nil"/>
            </w:tcBorders>
            <w:shd w:val="clear" w:color="auto" w:fill="auto"/>
          </w:tcPr>
          <w:p>
            <w:pPr>
              <w:pStyle w:val="nTable"/>
              <w:keepLines/>
              <w:spacing w:after="40"/>
            </w:pPr>
            <w:r>
              <w:t>21 Jun 2019 p. 2127</w:t>
            </w:r>
            <w:r>
              <w:noBreakHyphen/>
              <w:t>36</w:t>
            </w:r>
          </w:p>
        </w:tc>
        <w:tc>
          <w:tcPr>
            <w:tcW w:w="2693" w:type="dxa"/>
            <w:tcBorders>
              <w:bottom w:val="nil"/>
            </w:tcBorders>
            <w:shd w:val="clear" w:color="auto" w:fill="auto"/>
          </w:tcPr>
          <w:p>
            <w:pPr>
              <w:pStyle w:val="nTable"/>
              <w:keepLines/>
              <w:spacing w:after="40"/>
            </w:pPr>
            <w:r>
              <w:t>bl. 1 and 2: 21 Jun 2019 (see bl. 2(a));</w:t>
            </w:r>
            <w:r>
              <w:br/>
              <w:t>By-laws other than bl. 1 and 2: 1 Jul 2019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By-laws 2020</w:t>
            </w:r>
          </w:p>
        </w:tc>
        <w:tc>
          <w:tcPr>
            <w:tcW w:w="1276" w:type="dxa"/>
            <w:shd w:val="clear" w:color="auto" w:fill="auto"/>
          </w:tcPr>
          <w:p>
            <w:pPr>
              <w:pStyle w:val="nTable"/>
              <w:keepLines/>
              <w:spacing w:after="40"/>
            </w:pPr>
            <w:r>
              <w:t>SL 2020/78 9 Jun 2020</w:t>
            </w:r>
          </w:p>
        </w:tc>
        <w:tc>
          <w:tcPr>
            <w:tcW w:w="2693" w:type="dxa"/>
            <w:shd w:val="clear" w:color="auto" w:fill="auto"/>
          </w:tcPr>
          <w:p>
            <w:pPr>
              <w:pStyle w:val="nTable"/>
              <w:keepLines/>
              <w:spacing w:after="40"/>
            </w:pPr>
            <w:r>
              <w:t>bl. 1 and 2: 9 Jun 2020 (see bl. 2(a));</w:t>
            </w:r>
            <w:r>
              <w:br/>
              <w:t>By-laws other than bl. 1 and 2: 1 Jul 2020 (see bl. 2(b))</w:t>
            </w:r>
          </w:p>
        </w:tc>
      </w:tr>
      <w:tr>
        <w:trPr>
          <w:cantSplit/>
        </w:trPr>
        <w:tc>
          <w:tcPr>
            <w:tcW w:w="3119" w:type="dxa"/>
            <w:tcBorders>
              <w:top w:val="nil"/>
              <w:bottom w:val="nil"/>
            </w:tcBorders>
            <w:shd w:val="clear" w:color="auto" w:fill="auto"/>
          </w:tcPr>
          <w:p>
            <w:pPr>
              <w:pStyle w:val="nTable"/>
              <w:keepLines/>
              <w:spacing w:after="40"/>
              <w:rPr>
                <w:i/>
              </w:rPr>
            </w:pPr>
            <w:r>
              <w:rPr>
                <w:i/>
              </w:rPr>
              <w:t>Energy Operators (Regional Power Corporation) (Charges) Amendment By-laws 2021</w:t>
            </w:r>
          </w:p>
        </w:tc>
        <w:tc>
          <w:tcPr>
            <w:tcW w:w="1276" w:type="dxa"/>
            <w:tcBorders>
              <w:top w:val="nil"/>
              <w:bottom w:val="nil"/>
            </w:tcBorders>
            <w:shd w:val="clear" w:color="auto" w:fill="auto"/>
          </w:tcPr>
          <w:p>
            <w:pPr>
              <w:pStyle w:val="nTable"/>
              <w:keepLines/>
              <w:spacing w:after="40"/>
            </w:pPr>
            <w:r>
              <w:t>SL 2021/110 29 Jun 2021</w:t>
            </w:r>
          </w:p>
        </w:tc>
        <w:tc>
          <w:tcPr>
            <w:tcW w:w="2693" w:type="dxa"/>
            <w:tcBorders>
              <w:top w:val="nil"/>
              <w:bottom w:val="nil"/>
            </w:tcBorders>
            <w:shd w:val="clear" w:color="auto" w:fill="auto"/>
          </w:tcPr>
          <w:p>
            <w:pPr>
              <w:pStyle w:val="nTable"/>
              <w:keepLines/>
              <w:spacing w:after="40"/>
            </w:pPr>
            <w:r>
              <w:t>bl. 1 and 2: 29 Jun 2021 (see bl. 2(a));</w:t>
            </w:r>
            <w:r>
              <w:br/>
              <w:t>By-laws other than bl. 1 and 2: 1 Jul 2021 (see bl. 2(b))</w:t>
            </w:r>
          </w:p>
        </w:tc>
      </w:tr>
      <w:tr>
        <w:trPr>
          <w:cantSplit/>
        </w:trPr>
        <w:tc>
          <w:tcPr>
            <w:tcW w:w="3119" w:type="dxa"/>
            <w:tcBorders>
              <w:top w:val="nil"/>
              <w:bottom w:val="nil"/>
            </w:tcBorders>
            <w:shd w:val="clear" w:color="auto" w:fill="auto"/>
          </w:tcPr>
          <w:p>
            <w:pPr>
              <w:pStyle w:val="nTable"/>
              <w:keepLines/>
              <w:spacing w:after="40"/>
              <w:rPr>
                <w:i/>
              </w:rPr>
            </w:pPr>
            <w:r>
              <w:rPr>
                <w:i/>
              </w:rPr>
              <w:t>Energy Operators (Regional Power Corporation) (Charges) Amendment By</w:t>
            </w:r>
            <w:r>
              <w:rPr>
                <w:i/>
              </w:rPr>
              <w:noBreakHyphen/>
              <w:t>laws 2022</w:t>
            </w:r>
          </w:p>
        </w:tc>
        <w:tc>
          <w:tcPr>
            <w:tcW w:w="1276" w:type="dxa"/>
            <w:tcBorders>
              <w:top w:val="nil"/>
              <w:bottom w:val="nil"/>
            </w:tcBorders>
            <w:shd w:val="clear" w:color="auto" w:fill="auto"/>
          </w:tcPr>
          <w:p>
            <w:pPr>
              <w:pStyle w:val="nTable"/>
              <w:keepLines/>
              <w:spacing w:after="40"/>
            </w:pPr>
            <w:r>
              <w:t>SL 2022/71 3 Jun 2022</w:t>
            </w:r>
          </w:p>
        </w:tc>
        <w:tc>
          <w:tcPr>
            <w:tcW w:w="2693" w:type="dxa"/>
            <w:tcBorders>
              <w:top w:val="nil"/>
              <w:bottom w:val="nil"/>
            </w:tcBorders>
            <w:shd w:val="clear" w:color="auto" w:fill="auto"/>
          </w:tcPr>
          <w:p>
            <w:pPr>
              <w:pStyle w:val="nTable"/>
              <w:keepLines/>
              <w:spacing w:after="40"/>
            </w:pPr>
            <w:r>
              <w:t>bl. 1 and 2: 3 Jun 2022 (see bl. 2(a));</w:t>
            </w:r>
            <w:r>
              <w:br/>
              <w:t>By-laws other than bl. 1 and 2: 1 Jul 2022 (see bl. 2(b))</w:t>
            </w:r>
          </w:p>
        </w:tc>
      </w:tr>
      <w:tr>
        <w:tblPrEx>
          <w:tblBorders>
            <w:top w:val="none" w:sz="0" w:space="0" w:color="auto"/>
            <w:bottom w:val="none" w:sz="0" w:space="0" w:color="auto"/>
            <w:insideH w:val="none" w:sz="0" w:space="0" w:color="auto"/>
          </w:tblBorders>
        </w:tblPrEx>
        <w:trPr>
          <w:cantSplit/>
        </w:trPr>
        <w:tc>
          <w:tcPr>
            <w:tcW w:w="3119" w:type="dxa"/>
            <w:tcBorders>
              <w:bottom w:val="single" w:sz="8" w:space="0" w:color="auto"/>
            </w:tcBorders>
            <w:shd w:val="clear" w:color="auto" w:fill="auto"/>
          </w:tcPr>
          <w:p>
            <w:pPr>
              <w:pStyle w:val="nTable"/>
              <w:keepLines/>
              <w:spacing w:after="40"/>
              <w:rPr>
                <w:i/>
              </w:rPr>
            </w:pPr>
            <w:r>
              <w:rPr>
                <w:i/>
              </w:rPr>
              <w:t>Energy Operators (Regional Power Corporation) (Charges) Amendment By</w:t>
            </w:r>
            <w:r>
              <w:rPr>
                <w:i/>
              </w:rPr>
              <w:noBreakHyphen/>
              <w:t>laws 2023</w:t>
            </w:r>
          </w:p>
        </w:tc>
        <w:tc>
          <w:tcPr>
            <w:tcW w:w="1276" w:type="dxa"/>
            <w:tcBorders>
              <w:bottom w:val="single" w:sz="8" w:space="0" w:color="auto"/>
            </w:tcBorders>
            <w:shd w:val="clear" w:color="auto" w:fill="auto"/>
          </w:tcPr>
          <w:p>
            <w:pPr>
              <w:pStyle w:val="nTable"/>
              <w:keepLines/>
              <w:spacing w:after="40"/>
            </w:pPr>
            <w:r>
              <w:t>SL 2022/84 27 Jun 2023</w:t>
            </w:r>
          </w:p>
        </w:tc>
        <w:tc>
          <w:tcPr>
            <w:tcW w:w="2693" w:type="dxa"/>
            <w:tcBorders>
              <w:bottom w:val="single" w:sz="8" w:space="0" w:color="auto"/>
            </w:tcBorders>
            <w:shd w:val="clear" w:color="auto" w:fill="auto"/>
          </w:tcPr>
          <w:p>
            <w:pPr>
              <w:pStyle w:val="nTable"/>
              <w:keepLines/>
              <w:spacing w:after="40"/>
            </w:pPr>
            <w:r>
              <w:t>bl. 1 and 2: 27 Jun 2023 (see bl. 2(a));</w:t>
            </w:r>
            <w:r>
              <w:br/>
              <w:t>By</w:t>
            </w:r>
            <w:r>
              <w:noBreakHyphen/>
              <w:t>laws other than bl. 1 and 2: 1 Jul 2023 (see bl. 2(b))</w:t>
            </w:r>
          </w:p>
        </w:tc>
      </w:tr>
    </w:tbl>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38" w:name="_Toc155077580"/>
      <w:r>
        <w:rPr>
          <w:sz w:val="28"/>
        </w:rPr>
        <w:lastRenderedPageBreak/>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Esperance network</w:t>
      </w:r>
      <w:r>
        <w:tab/>
        <w:t>Sch. 1 cl. 7(1)</w:t>
      </w:r>
    </w:p>
    <w:p>
      <w:pPr>
        <w:pStyle w:val="DefinedTerms"/>
      </w:pPr>
      <w:r>
        <w:t>exceeds the applicable peak allowance</w:t>
      </w:r>
      <w:r>
        <w:tab/>
        <w:t>Sch. 1 cl. 7(2)</w:t>
      </w:r>
    </w:p>
    <w:p>
      <w:pPr>
        <w:pStyle w:val="DefinedTerms"/>
      </w:pPr>
      <w:r>
        <w:t>government consumer</w:t>
      </w:r>
      <w:r>
        <w:tab/>
        <w:t>4(1A)</w:t>
      </w:r>
    </w:p>
    <w:p>
      <w:pPr>
        <w:pStyle w:val="DefinedTerms"/>
      </w:pPr>
      <w:r>
        <w:t>interest period</w:t>
      </w:r>
      <w:r>
        <w:tab/>
        <w:t>12(1)</w:t>
      </w:r>
    </w:p>
    <w:p>
      <w:pPr>
        <w:pStyle w:val="DefinedTerms"/>
      </w:pPr>
      <w:r>
        <w:t>MyPower non-residential tariff</w:t>
      </w:r>
      <w:r>
        <w:tab/>
        <w:t>Sch. 1 cl. 9(1)</w:t>
      </w:r>
    </w:p>
    <w:p>
      <w:pPr>
        <w:pStyle w:val="DefinedTerms"/>
      </w:pPr>
      <w:r>
        <w:t>MyPower residential tariff</w:t>
      </w:r>
      <w:r>
        <w:tab/>
        <w:t>Sch. 1 cl. 8(1)</w:t>
      </w:r>
    </w:p>
    <w:p>
      <w:pPr>
        <w:pStyle w:val="DefinedTerms"/>
      </w:pPr>
      <w:r>
        <w:t>MyPower tariff</w:t>
      </w:r>
      <w:r>
        <w:tab/>
        <w:t>Sch. 1 cl. 7(1)</w:t>
      </w:r>
    </w:p>
    <w:p>
      <w:pPr>
        <w:pStyle w:val="DefinedTerms"/>
      </w:pPr>
      <w:r>
        <w:t>North West interconnected system</w:t>
      </w:r>
      <w:r>
        <w:tab/>
        <w:t>4(1A)</w:t>
      </w:r>
    </w:p>
    <w:p>
      <w:pPr>
        <w:pStyle w:val="DefinedTerms"/>
      </w:pPr>
      <w:r>
        <w:t>original tariff</w:t>
      </w:r>
      <w:r>
        <w:tab/>
        <w:t>Sch. 1 cl. 8(5)  and 9(5)</w:t>
      </w:r>
    </w:p>
    <w:p>
      <w:pPr>
        <w:pStyle w:val="DefinedTerms"/>
      </w:pPr>
      <w:r>
        <w:t>peak day</w:t>
      </w:r>
      <w:r>
        <w:tab/>
        <w:t>Sch. 1 cl. 7(1)</w:t>
      </w:r>
    </w:p>
    <w:p>
      <w:pPr>
        <w:pStyle w:val="DefinedTerms"/>
      </w:pPr>
      <w:r>
        <w:t>peak period</w:t>
      </w:r>
      <w:r>
        <w:tab/>
        <w:t>Sch. 1 cl. 7(1)</w:t>
      </w:r>
    </w:p>
    <w:p>
      <w:pPr>
        <w:pStyle w:val="DefinedTerms"/>
      </w:pPr>
      <w:r>
        <w:t>peak time</w:t>
      </w:r>
      <w:r>
        <w:tab/>
        <w:t>Sch. 1 cl. 7(1)</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regional non-integrated system</w:t>
      </w:r>
      <w:r>
        <w:tab/>
        <w:t>4(1A)</w:t>
      </w:r>
    </w:p>
    <w:p>
      <w:pPr>
        <w:pStyle w:val="DefinedTerms"/>
      </w:pPr>
      <w:r>
        <w:t>relevant period</w:t>
      </w:r>
      <w:r>
        <w:tab/>
        <w:t>8(1)</w:t>
      </w:r>
    </w:p>
    <w:p>
      <w:pPr>
        <w:pStyle w:val="DefinedTerms"/>
      </w:pPr>
      <w:r>
        <w:t>residential tariff</w:t>
      </w:r>
      <w:r>
        <w:tab/>
        <w:t>3</w:t>
      </w:r>
    </w:p>
    <w:p>
      <w:pPr>
        <w:pStyle w:val="DefinedTerms"/>
      </w:pPr>
      <w:r>
        <w:t>South West interconnected system</w:t>
      </w:r>
      <w:r>
        <w:tab/>
        <w:t>4(1A)</w:t>
      </w:r>
    </w:p>
    <w:p>
      <w:pPr>
        <w:pStyle w:val="DefinedTerms"/>
      </w:pPr>
      <w:r>
        <w:t>Tariff</w:t>
      </w:r>
      <w:r>
        <w:tab/>
        <w:t>3</w:t>
      </w:r>
    </w:p>
    <w:p>
      <w:pPr>
        <w:pStyle w:val="DefinedTerms"/>
      </w:pPr>
      <w:r>
        <w:t>unit</w:t>
      </w:r>
      <w:r>
        <w:tab/>
        <w:t>3</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3101CC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4D002BE" w14:textId="72015A9C" w:rsidR="00EE6A1E" w:rsidRDefault="00EE6A1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B060320" w14:textId="77777777" w:rsidR="00EE6A1E" w:rsidRDefault="00EE6A1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0B29CC6" w14:textId="71A3CB29" w:rsidR="00EE6A1E" w:rsidRDefault="00EE6A1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F35099B" w14:textId="77777777" w:rsidR="00EE6A1E" w:rsidRDefault="00EE6A1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cl.</w:t>
          </w:r>
          <w:r>
            <w:t> </w:t>
          </w:r>
          <w:r>
            <w:rPr>
              <w:b/>
            </w:rPr>
            <w:fldChar w:fldCharType="begin"/>
          </w:r>
          <w:r>
            <w:rPr>
              <w:b/>
            </w:rPr>
            <w:instrText xml:space="preserve"> STYLEREF \* charformat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 charformat CharSClsNo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MyPower tariffs</w:t>
          </w:r>
          <w:r>
            <w:fldChar w:fldCharType="end"/>
          </w:r>
        </w:p>
      </w:tc>
    </w:tr>
    <w:tr>
      <w:trPr>
        <w:jc w:val="center"/>
      </w:trPr>
      <w:tc>
        <w:tcPr>
          <w:tcW w:w="1548" w:type="dxa"/>
        </w:tcPr>
        <w:p>
          <w:pPr>
            <w:pStyle w:val="Header"/>
            <w:spacing w:before="40"/>
          </w:pPr>
          <w:r>
            <w:rPr>
              <w:b/>
            </w:rPr>
            <w:t>cl.</w:t>
          </w:r>
          <w:r>
            <w:t> </w:t>
          </w:r>
          <w:r>
            <w:rPr>
              <w:b/>
            </w:rPr>
            <w:fldChar w:fldCharType="begin"/>
          </w:r>
          <w:r>
            <w:rPr>
              <w:b/>
            </w:rPr>
            <w:instrText xml:space="preserve"> STYLEREF \* charformat CharSClsNo </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 charformat CharSClsNo </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95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3820"/>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 w:name="WAFER_20200608111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1913_GUID" w:val="ff7006cf-a376-47c7-946b-71e3db0240b5"/>
    <w:docVar w:name="WAFER_20200616153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3643_GUID" w:val="d96eb03f-dbf9-49bf-9d74-0e653f6aed65"/>
    <w:docVar w:name="WAFER_20210628120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20451_GUID" w:val="991b22ca-6e56-49f9-acd4-071107d29e99"/>
    <w:docVar w:name="WAFER_202206231451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45147_GUID" w:val="b8a1539f-e2ab-4218-ba91-4f43eaf73a23"/>
    <w:docVar w:name="WAFER_20230623162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143_GUID" w:val="764df158-63a6-4377-8a87-b9a9346c1391"/>
    <w:docVar w:name="WAFER_202312281038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3820_GUID" w:val="45da9258-ca5f-49c5-a371-9782a46d48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BD8C0DAB-B347-43A6-8367-A2D3EE01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1F9A-D7F8-4D76-9790-E60A4EA5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5451</Words>
  <Characters>26824</Characters>
  <Application>Microsoft Office Word</Application>
  <DocSecurity>0</DocSecurity>
  <Lines>1219</Lines>
  <Paragraphs>787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2006 - 02-p0-01</dc:title>
  <dc:subject/>
  <dc:creator/>
  <cp:keywords/>
  <dc:description/>
  <cp:lastModifiedBy>Master Repository Process</cp:lastModifiedBy>
  <cp:revision>4</cp:revision>
  <cp:lastPrinted>2019-06-24T07:21:00Z</cp:lastPrinted>
  <dcterms:created xsi:type="dcterms:W3CDTF">2024-01-02T00:45:00Z</dcterms:created>
  <dcterms:modified xsi:type="dcterms:W3CDTF">2024-01-02T00:45:00Z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01 Jul 2023</vt:lpwstr>
  </property>
  <property fmtid="{D5CDD505-2E9C-101B-9397-08002B2CF9AE}" pid="8" name="Suffix">
    <vt:lpwstr>02-p0-01</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