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Resources Authority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_Toc138339708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_Toc138339709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_Toc138339710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_Toc138339711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Animal Resources Authority</w:t>
      </w:r>
    </w:p>
    <w:p>
      <w:pPr>
        <w:pStyle w:val="TOC8"/>
        <w:rPr>
          <w:rFonts w:asciiTheme="minorHAnsi" w:eastAsiaTheme="minorEastAsia" w:hAnsiTheme="minorHAnsi" w:cstheme="minorBidi"/>
          <w:szCs w:val="22"/>
        </w:rPr>
      </w:pPr>
      <w:r>
        <w:t>4</w:t>
      </w:r>
      <w:r>
        <w:rPr>
          <w:snapToGrid w:val="0"/>
        </w:rPr>
        <w:t>.</w:t>
      </w:r>
      <w:r>
        <w:rPr>
          <w:snapToGrid w:val="0"/>
        </w:rPr>
        <w:tab/>
        <w:t>Authority, establishment and nature of</w:t>
      </w:r>
      <w:r>
        <w:tab/>
      </w:r>
      <w:r>
        <w:fldChar w:fldCharType="begin"/>
      </w:r>
      <w:r>
        <w:instrText xml:space="preserve"> PAGEREF _Toc138339713 \h </w:instrText>
      </w:r>
      <w:r>
        <w:fldChar w:fldCharType="separate"/>
      </w:r>
      <w:r>
        <w:t>3</w:t>
      </w:r>
      <w:r>
        <w:fldChar w:fldCharType="end"/>
      </w:r>
    </w:p>
    <w:p>
      <w:pPr>
        <w:pStyle w:val="TOC8"/>
        <w:rPr>
          <w:rFonts w:asciiTheme="minorHAnsi" w:eastAsiaTheme="minorEastAsia" w:hAnsiTheme="minorHAnsi" w:cstheme="minorBidi"/>
          <w:szCs w:val="22"/>
        </w:rPr>
      </w:pPr>
      <w:r>
        <w:t>5.</w:t>
      </w:r>
      <w:r>
        <w:tab/>
        <w:t>Authority constituted by Minister</w:t>
      </w:r>
      <w:r>
        <w:tab/>
      </w:r>
      <w:r>
        <w:fldChar w:fldCharType="begin"/>
      </w:r>
      <w:r>
        <w:instrText xml:space="preserve"> PAGEREF _Toc138339714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Authority</w:t>
      </w:r>
    </w:p>
    <w:p>
      <w:pPr>
        <w:pStyle w:val="TOC8"/>
        <w:rPr>
          <w:rFonts w:asciiTheme="minorHAnsi" w:eastAsiaTheme="minorEastAsia" w:hAnsiTheme="minorHAnsi" w:cstheme="minorBidi"/>
          <w:szCs w:val="22"/>
        </w:rPr>
      </w:pPr>
      <w:r>
        <w:t>9A.</w:t>
      </w:r>
      <w:r>
        <w:tab/>
        <w:t>Authority to continue performing its functions for certain purposes</w:t>
      </w:r>
      <w:r>
        <w:tab/>
      </w:r>
      <w:r>
        <w:fldChar w:fldCharType="begin"/>
      </w:r>
      <w:r>
        <w:instrText xml:space="preserve"> PAGEREF _Toc138339716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_Toc138339717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_Toc138339718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Authority</w:t>
      </w:r>
      <w:r>
        <w:tab/>
      </w:r>
      <w:r>
        <w:fldChar w:fldCharType="begin"/>
      </w:r>
      <w:r>
        <w:instrText xml:space="preserve"> PAGEREF _Toc138339719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Staff of Authority, appointment etc. of</w:t>
      </w:r>
      <w:r>
        <w:tab/>
      </w:r>
      <w:r>
        <w:fldChar w:fldCharType="begin"/>
      </w:r>
      <w:r>
        <w:instrText xml:space="preserve"> PAGEREF _Toc138339720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service officer on staff, provisions about</w:t>
      </w:r>
      <w:r>
        <w:tab/>
      </w:r>
      <w:r>
        <w:fldChar w:fldCharType="begin"/>
      </w:r>
      <w:r>
        <w:instrText xml:space="preserve"> PAGEREF _Toc138339721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r>
      <w:r>
        <w:rPr>
          <w:i/>
          <w:snapToGrid w:val="0"/>
        </w:rPr>
        <w:t>Superannuation and Family Benefits Act 1938</w:t>
      </w:r>
      <w:r>
        <w:rPr>
          <w:snapToGrid w:val="0"/>
        </w:rPr>
        <w:t>, application of</w:t>
      </w:r>
      <w:r>
        <w:tab/>
      </w:r>
      <w:r>
        <w:fldChar w:fldCharType="begin"/>
      </w:r>
      <w:r>
        <w:instrText xml:space="preserve"> PAGEREF _Toc138339722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Staff in Senior Executive Service, status of etc.</w:t>
      </w:r>
      <w:r>
        <w:tab/>
      </w:r>
      <w:r>
        <w:fldChar w:fldCharType="begin"/>
      </w:r>
      <w:r>
        <w:instrText xml:space="preserve"> PAGEREF _Toc138339723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direct Authority</w:t>
      </w:r>
      <w:r>
        <w:tab/>
      </w:r>
      <w:r>
        <w:fldChar w:fldCharType="begin"/>
      </w:r>
      <w:r>
        <w:instrText xml:space="preserve"> PAGEREF _Toc138339724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Financial provisions</w:t>
      </w:r>
    </w:p>
    <w:p>
      <w:pPr>
        <w:pStyle w:val="TOC8"/>
        <w:keepNext/>
        <w:rPr>
          <w:rFonts w:asciiTheme="minorHAnsi" w:eastAsiaTheme="minorEastAsia" w:hAnsiTheme="minorHAnsi" w:cstheme="minorBidi"/>
          <w:szCs w:val="22"/>
        </w:rPr>
      </w:pPr>
      <w:r>
        <w:t>16</w:t>
      </w:r>
      <w:r>
        <w:rPr>
          <w:snapToGrid w:val="0"/>
        </w:rPr>
        <w:t>.</w:t>
      </w:r>
      <w:r>
        <w:rPr>
          <w:snapToGrid w:val="0"/>
        </w:rPr>
        <w:tab/>
        <w:t>Financial management and profits</w:t>
      </w:r>
      <w:r>
        <w:tab/>
      </w:r>
      <w:r>
        <w:fldChar w:fldCharType="begin"/>
      </w:r>
      <w:r>
        <w:instrText xml:space="preserve"> PAGEREF _Toc138339726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Funds and property of Authority</w:t>
      </w:r>
      <w:r>
        <w:tab/>
      </w:r>
      <w:r>
        <w:fldChar w:fldCharType="begin"/>
      </w:r>
      <w:r>
        <w:instrText xml:space="preserve"> PAGEREF _Toc138339727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Animal Resources Authority Account</w:t>
      </w:r>
      <w:r>
        <w:tab/>
      </w:r>
      <w:r>
        <w:fldChar w:fldCharType="begin"/>
      </w:r>
      <w:r>
        <w:instrText xml:space="preserve"> PAGEREF _Toc138339728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 powers</w:t>
      </w:r>
      <w:r>
        <w:tab/>
      </w:r>
      <w:r>
        <w:fldChar w:fldCharType="begin"/>
      </w:r>
      <w:r>
        <w:instrText xml:space="preserve"> PAGEREF _Toc138339729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_Toc138339730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Borrowing powers</w:t>
      </w:r>
      <w:r>
        <w:tab/>
      </w:r>
      <w:r>
        <w:fldChar w:fldCharType="begin"/>
      </w:r>
      <w:r>
        <w:instrText xml:space="preserve"> PAGEREF _Toc138339731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Guarantee by Treasurer</w:t>
      </w:r>
      <w:r>
        <w:tab/>
      </w:r>
      <w:r>
        <w:fldChar w:fldCharType="begin"/>
      </w:r>
      <w:r>
        <w:instrText xml:space="preserve"> PAGEREF _Toc138339732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Execution of documents by Authority</w:t>
      </w:r>
      <w:r>
        <w:tab/>
      </w:r>
      <w:r>
        <w:fldChar w:fldCharType="begin"/>
      </w:r>
      <w:r>
        <w:instrText xml:space="preserve"> PAGEREF _Toc138339734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 xml:space="preserve">Transitional provisions for </w:t>
      </w:r>
      <w:r>
        <w:rPr>
          <w:i/>
        </w:rPr>
        <w:t>Animal Resources Authority Amendment and Repeal Act 2022</w:t>
      </w:r>
    </w:p>
    <w:p>
      <w:pPr>
        <w:pStyle w:val="TOC4"/>
        <w:tabs>
          <w:tab w:val="right" w:leader="dot" w:pos="7077"/>
        </w:tabs>
        <w:rPr>
          <w:rFonts w:asciiTheme="minorHAnsi" w:eastAsiaTheme="minorEastAsia" w:hAnsiTheme="minorHAnsi" w:cstheme="minorBidi"/>
          <w:b w:val="0"/>
          <w:szCs w:val="22"/>
        </w:rPr>
      </w:pPr>
      <w:r>
        <w:t>Division 1 — Members of Authority</w:t>
      </w:r>
    </w:p>
    <w:p>
      <w:pPr>
        <w:pStyle w:val="TOC8"/>
        <w:rPr>
          <w:rFonts w:asciiTheme="minorHAnsi" w:eastAsiaTheme="minorEastAsia" w:hAnsiTheme="minorHAnsi" w:cstheme="minorBidi"/>
          <w:szCs w:val="22"/>
        </w:rPr>
      </w:pPr>
      <w:r>
        <w:t>27.</w:t>
      </w:r>
      <w:r>
        <w:tab/>
        <w:t>Members go out of office</w:t>
      </w:r>
      <w:r>
        <w:tab/>
      </w:r>
      <w:r>
        <w:fldChar w:fldCharType="begin"/>
      </w:r>
      <w:r>
        <w:instrText xml:space="preserve"> PAGEREF _Toc138339737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Abolition of authority and related provisions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_Toc138339739 \h </w:instrText>
      </w:r>
      <w:r>
        <w:fldChar w:fldCharType="separate"/>
      </w:r>
      <w:r>
        <w:t>14</w:t>
      </w:r>
      <w:r>
        <w:fldChar w:fldCharType="end"/>
      </w:r>
    </w:p>
    <w:p>
      <w:pPr>
        <w:pStyle w:val="TOC8"/>
        <w:rPr>
          <w:rFonts w:asciiTheme="minorHAnsi" w:eastAsiaTheme="minorEastAsia" w:hAnsiTheme="minorHAnsi" w:cstheme="minorBidi"/>
          <w:szCs w:val="22"/>
        </w:rPr>
      </w:pPr>
      <w:r>
        <w:t>29.</w:t>
      </w:r>
      <w:r>
        <w:tab/>
        <w:t>Former Authority abolished</w:t>
      </w:r>
      <w:r>
        <w:tab/>
      </w:r>
      <w:r>
        <w:fldChar w:fldCharType="begin"/>
      </w:r>
      <w:r>
        <w:instrText xml:space="preserve"> PAGEREF _Toc138339740 \h </w:instrText>
      </w:r>
      <w:r>
        <w:fldChar w:fldCharType="separate"/>
      </w:r>
      <w:r>
        <w:t>15</w:t>
      </w:r>
      <w:r>
        <w:fldChar w:fldCharType="end"/>
      </w:r>
    </w:p>
    <w:p>
      <w:pPr>
        <w:pStyle w:val="TOC8"/>
        <w:rPr>
          <w:rFonts w:asciiTheme="minorHAnsi" w:eastAsiaTheme="minorEastAsia" w:hAnsiTheme="minorHAnsi" w:cstheme="minorBidi"/>
          <w:szCs w:val="22"/>
        </w:rPr>
      </w:pPr>
      <w:r>
        <w:t>30.</w:t>
      </w:r>
      <w:r>
        <w:tab/>
        <w:t>Staff members</w:t>
      </w:r>
      <w:r>
        <w:tab/>
      </w:r>
      <w:r>
        <w:fldChar w:fldCharType="begin"/>
      </w:r>
      <w:r>
        <w:instrText xml:space="preserve"> PAGEREF _Toc138339741 \h </w:instrText>
      </w:r>
      <w:r>
        <w:fldChar w:fldCharType="separate"/>
      </w:r>
      <w:r>
        <w:t>15</w:t>
      </w:r>
      <w:r>
        <w:fldChar w:fldCharType="end"/>
      </w:r>
    </w:p>
    <w:p>
      <w:pPr>
        <w:pStyle w:val="TOC8"/>
        <w:rPr>
          <w:rFonts w:asciiTheme="minorHAnsi" w:eastAsiaTheme="minorEastAsia" w:hAnsiTheme="minorHAnsi" w:cstheme="minorBidi"/>
          <w:szCs w:val="22"/>
        </w:rPr>
      </w:pPr>
      <w:r>
        <w:t>31.</w:t>
      </w:r>
      <w:r>
        <w:tab/>
        <w:t>Transfer of assets, rights, liabilities, proceedings and remedies</w:t>
      </w:r>
      <w:r>
        <w:tab/>
      </w:r>
      <w:r>
        <w:fldChar w:fldCharType="begin"/>
      </w:r>
      <w:r>
        <w:instrText xml:space="preserve"> PAGEREF _Toc138339742 \h </w:instrText>
      </w:r>
      <w:r>
        <w:fldChar w:fldCharType="separate"/>
      </w:r>
      <w:r>
        <w:t>16</w:t>
      </w:r>
      <w:r>
        <w:fldChar w:fldCharType="end"/>
      </w:r>
    </w:p>
    <w:p>
      <w:pPr>
        <w:pStyle w:val="TOC8"/>
        <w:rPr>
          <w:rFonts w:asciiTheme="minorHAnsi" w:eastAsiaTheme="minorEastAsia" w:hAnsiTheme="minorHAnsi" w:cstheme="minorBidi"/>
          <w:szCs w:val="22"/>
        </w:rPr>
      </w:pPr>
      <w:r>
        <w:t>32.</w:t>
      </w:r>
      <w:r>
        <w:tab/>
        <w:t>Exemption from State tax</w:t>
      </w:r>
      <w:r>
        <w:tab/>
      </w:r>
      <w:r>
        <w:fldChar w:fldCharType="begin"/>
      </w:r>
      <w:r>
        <w:instrText xml:space="preserve"> PAGEREF _Toc138339743 \h </w:instrText>
      </w:r>
      <w:r>
        <w:fldChar w:fldCharType="separate"/>
      </w:r>
      <w:r>
        <w:t>17</w:t>
      </w:r>
      <w:r>
        <w:fldChar w:fldCharType="end"/>
      </w:r>
    </w:p>
    <w:p>
      <w:pPr>
        <w:pStyle w:val="TOC8"/>
        <w:rPr>
          <w:rFonts w:asciiTheme="minorHAnsi" w:eastAsiaTheme="minorEastAsia" w:hAnsiTheme="minorHAnsi" w:cstheme="minorBidi"/>
          <w:szCs w:val="22"/>
        </w:rPr>
      </w:pPr>
      <w:r>
        <w:t>33.</w:t>
      </w:r>
      <w:r>
        <w:tab/>
        <w:t>Closure of Account</w:t>
      </w:r>
      <w:r>
        <w:tab/>
      </w:r>
      <w:r>
        <w:fldChar w:fldCharType="begin"/>
      </w:r>
      <w:r>
        <w:instrText xml:space="preserve"> PAGEREF _Toc138339744 \h </w:instrText>
      </w:r>
      <w:r>
        <w:fldChar w:fldCharType="separate"/>
      </w:r>
      <w:r>
        <w:t>17</w:t>
      </w:r>
      <w:r>
        <w:fldChar w:fldCharType="end"/>
      </w:r>
    </w:p>
    <w:p>
      <w:pPr>
        <w:pStyle w:val="TOC8"/>
        <w:rPr>
          <w:rFonts w:asciiTheme="minorHAnsi" w:eastAsiaTheme="minorEastAsia" w:hAnsiTheme="minorHAnsi" w:cstheme="minorBidi"/>
          <w:szCs w:val="22"/>
        </w:rPr>
      </w:pPr>
      <w:r>
        <w:t>34.</w:t>
      </w:r>
      <w:r>
        <w:tab/>
        <w:t>Agreements, instruments and documents</w:t>
      </w:r>
      <w:r>
        <w:tab/>
      </w:r>
      <w:r>
        <w:fldChar w:fldCharType="begin"/>
      </w:r>
      <w:r>
        <w:instrText xml:space="preserve"> PAGEREF _Toc138339745 \h </w:instrText>
      </w:r>
      <w:r>
        <w:fldChar w:fldCharType="separate"/>
      </w:r>
      <w:r>
        <w:t>17</w:t>
      </w:r>
      <w:r>
        <w:fldChar w:fldCharType="end"/>
      </w:r>
    </w:p>
    <w:p>
      <w:pPr>
        <w:pStyle w:val="TOC8"/>
        <w:rPr>
          <w:rFonts w:asciiTheme="minorHAnsi" w:eastAsiaTheme="minorEastAsia" w:hAnsiTheme="minorHAnsi" w:cstheme="minorBidi"/>
          <w:szCs w:val="22"/>
        </w:rPr>
      </w:pPr>
      <w:r>
        <w:t>35.</w:t>
      </w:r>
      <w:r>
        <w:tab/>
        <w:t>Completion of things commenced</w:t>
      </w:r>
      <w:r>
        <w:tab/>
      </w:r>
      <w:r>
        <w:fldChar w:fldCharType="begin"/>
      </w:r>
      <w:r>
        <w:instrText xml:space="preserve"> PAGEREF _Toc138339746 \h </w:instrText>
      </w:r>
      <w:r>
        <w:fldChar w:fldCharType="separate"/>
      </w:r>
      <w:r>
        <w:t>18</w:t>
      </w:r>
      <w:r>
        <w:fldChar w:fldCharType="end"/>
      </w:r>
    </w:p>
    <w:p>
      <w:pPr>
        <w:pStyle w:val="TOC8"/>
        <w:rPr>
          <w:rFonts w:asciiTheme="minorHAnsi" w:eastAsiaTheme="minorEastAsia" w:hAnsiTheme="minorHAnsi" w:cstheme="minorBidi"/>
          <w:szCs w:val="22"/>
        </w:rPr>
      </w:pPr>
      <w:r>
        <w:t>36.</w:t>
      </w:r>
      <w:r>
        <w:tab/>
        <w:t>Continuing effect of things done</w:t>
      </w:r>
      <w:r>
        <w:tab/>
      </w:r>
      <w:r>
        <w:fldChar w:fldCharType="begin"/>
      </w:r>
      <w:r>
        <w:instrText xml:space="preserve"> PAGEREF _Toc138339747 \h </w:instrText>
      </w:r>
      <w:r>
        <w:fldChar w:fldCharType="separate"/>
      </w:r>
      <w:r>
        <w:t>18</w:t>
      </w:r>
      <w:r>
        <w:fldChar w:fldCharType="end"/>
      </w:r>
    </w:p>
    <w:p>
      <w:pPr>
        <w:pStyle w:val="TOC8"/>
        <w:rPr>
          <w:rFonts w:asciiTheme="minorHAnsi" w:eastAsiaTheme="minorEastAsia" w:hAnsiTheme="minorHAnsi" w:cstheme="minorBidi"/>
          <w:szCs w:val="22"/>
        </w:rPr>
      </w:pPr>
      <w:r>
        <w:t>37.</w:t>
      </w:r>
      <w:r>
        <w:tab/>
        <w:t>Effect on other instruments, rights and obligations</w:t>
      </w:r>
      <w:r>
        <w:tab/>
      </w:r>
      <w:r>
        <w:fldChar w:fldCharType="begin"/>
      </w:r>
      <w:r>
        <w:instrText xml:space="preserve"> PAGEREF _Toc138339748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_Toc138339750 \h </w:instrText>
      </w:r>
      <w:r>
        <w:fldChar w:fldCharType="separate"/>
      </w:r>
      <w:r>
        <w:t>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_Toc138339751 \h </w:instrText>
      </w:r>
      <w:r>
        <w:fldChar w:fldCharType="separate"/>
      </w:r>
      <w:r>
        <w:t>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_Toc138339752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Animal Resources Authority Act 1981</w:t>
      </w:r>
    </w:p>
    <w:p>
      <w:pPr>
        <w:pStyle w:val="LongTitle"/>
      </w:pPr>
      <w:r>
        <w:t>An Act to provide for the winding up of the Animal Resources Authority and related matters.</w:t>
      </w:r>
    </w:p>
    <w:p>
      <w:pPr>
        <w:pStyle w:val="Footnotelongtitle"/>
      </w:pPr>
      <w:r>
        <w:tab/>
        <w:t>[Long title inserted: No. 12 of 2022 s. 4.]</w:t>
      </w:r>
    </w:p>
    <w:p>
      <w:pPr>
        <w:pStyle w:val="Heading2"/>
      </w:pPr>
      <w:bookmarkStart w:id="3" w:name="_Toc138237726"/>
      <w:bookmarkStart w:id="4" w:name="_Toc138238609"/>
      <w:bookmarkStart w:id="5" w:name="_Toc13833970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833970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w:t>
      </w:r>
    </w:p>
    <w:p>
      <w:pPr>
        <w:pStyle w:val="Heading5"/>
        <w:rPr>
          <w:snapToGrid w:val="0"/>
        </w:rPr>
      </w:pPr>
      <w:bookmarkStart w:id="7" w:name="_Toc13833970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8" w:name="_Toc138339710"/>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p>
    <w:p>
      <w:pPr>
        <w:pStyle w:val="Defstart"/>
      </w:pPr>
      <w:r>
        <w:tab/>
      </w:r>
      <w:r>
        <w:rPr>
          <w:rStyle w:val="CharDefText"/>
        </w:rPr>
        <w:t>transition day</w:t>
      </w:r>
      <w:r>
        <w:t xml:space="preserve"> means the day on which the </w:t>
      </w:r>
      <w:r>
        <w:rPr>
          <w:i/>
        </w:rPr>
        <w:t>Animal Resources Authority Amendment and Repeal Act 2022</w:t>
      </w:r>
      <w:r>
        <w:t xml:space="preserve"> section 12 comes into operation.</w:t>
      </w:r>
    </w:p>
    <w:p>
      <w:pPr>
        <w:pStyle w:val="Footnotesection"/>
      </w:pPr>
      <w:r>
        <w:tab/>
        <w:t>[Section 3 amended: No. 12 of 2022 s. 5.]</w:t>
      </w:r>
    </w:p>
    <w:p>
      <w:pPr>
        <w:pStyle w:val="Heading5"/>
      </w:pPr>
      <w:bookmarkStart w:id="9" w:name="_Toc101270569"/>
      <w:bookmarkStart w:id="10" w:name="_Toc138339711"/>
      <w:bookmarkStart w:id="11" w:name="_Toc138237730"/>
      <w:r>
        <w:rPr>
          <w:rStyle w:val="CharSectno"/>
        </w:rPr>
        <w:t>3A</w:t>
      </w:r>
      <w:r>
        <w:t>.</w:t>
      </w:r>
      <w:r>
        <w:tab/>
        <w:t>Application of Act limited</w:t>
      </w:r>
      <w:bookmarkEnd w:id="9"/>
      <w:bookmarkEnd w:id="10"/>
    </w:p>
    <w:p>
      <w:pPr>
        <w:pStyle w:val="Subsection"/>
      </w:pPr>
      <w:r>
        <w:tab/>
      </w:r>
      <w:r>
        <w:tab/>
        <w:t>This Act does not apply on or after transition day except as provided in Part 6 Division 2.</w:t>
      </w:r>
    </w:p>
    <w:p>
      <w:pPr>
        <w:pStyle w:val="Footnotesection"/>
      </w:pPr>
      <w:r>
        <w:tab/>
        <w:t>[Section 3A inserted: No. 12 of 2022 s. 6.]</w:t>
      </w:r>
    </w:p>
    <w:p>
      <w:pPr>
        <w:pStyle w:val="Heading2"/>
      </w:pPr>
      <w:bookmarkStart w:id="12" w:name="_Toc138238614"/>
      <w:bookmarkStart w:id="13" w:name="_Toc138339712"/>
      <w:r>
        <w:rPr>
          <w:rStyle w:val="CharPartNo"/>
        </w:rPr>
        <w:lastRenderedPageBreak/>
        <w:t>Part II</w:t>
      </w:r>
      <w:r>
        <w:rPr>
          <w:rStyle w:val="CharDivNo"/>
        </w:rPr>
        <w:t> </w:t>
      </w:r>
      <w:r>
        <w:t>—</w:t>
      </w:r>
      <w:r>
        <w:rPr>
          <w:rStyle w:val="CharDivText"/>
        </w:rPr>
        <w:t> </w:t>
      </w:r>
      <w:r>
        <w:rPr>
          <w:rStyle w:val="CharPartText"/>
        </w:rPr>
        <w:t>Animal Resources Authority</w:t>
      </w:r>
      <w:bookmarkEnd w:id="11"/>
      <w:bookmarkEnd w:id="12"/>
      <w:bookmarkEnd w:id="13"/>
    </w:p>
    <w:p>
      <w:pPr>
        <w:pStyle w:val="Heading5"/>
        <w:rPr>
          <w:snapToGrid w:val="0"/>
        </w:rPr>
      </w:pPr>
      <w:bookmarkStart w:id="14" w:name="_Toc138339713"/>
      <w:r>
        <w:rPr>
          <w:rStyle w:val="CharSectno"/>
        </w:rPr>
        <w:t>4</w:t>
      </w:r>
      <w:r>
        <w:rPr>
          <w:snapToGrid w:val="0"/>
        </w:rPr>
        <w:t>.</w:t>
      </w:r>
      <w:r>
        <w:rPr>
          <w:snapToGrid w:val="0"/>
        </w:rPr>
        <w:tab/>
        <w:t>Authority, establishment and nature of</w:t>
      </w:r>
      <w:bookmarkEnd w:id="14"/>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pPr>
      <w:bookmarkStart w:id="15" w:name="_Toc138339714"/>
      <w:r>
        <w:rPr>
          <w:rStyle w:val="CharSectno"/>
        </w:rPr>
        <w:t>5</w:t>
      </w:r>
      <w:r>
        <w:t>.</w:t>
      </w:r>
      <w:r>
        <w:tab/>
        <w:t>Authority constituted by Minister</w:t>
      </w:r>
      <w:bookmarkEnd w:id="15"/>
    </w:p>
    <w:p>
      <w:pPr>
        <w:pStyle w:val="Subsection"/>
      </w:pPr>
      <w:r>
        <w:tab/>
      </w:r>
      <w:r>
        <w:tab/>
        <w:t>The Authority is constituted by the Minister.</w:t>
      </w:r>
    </w:p>
    <w:p>
      <w:pPr>
        <w:pStyle w:val="Footnotesection"/>
      </w:pPr>
      <w:r>
        <w:tab/>
        <w:t>[Section 5 inserted: No. 12 of 2022 s. 7.]</w:t>
      </w:r>
    </w:p>
    <w:p>
      <w:pPr>
        <w:pStyle w:val="Ednotesection"/>
      </w:pPr>
      <w:r>
        <w:t>[</w:t>
      </w:r>
      <w:r>
        <w:rPr>
          <w:b/>
        </w:rPr>
        <w:t>6</w:t>
      </w:r>
      <w:r>
        <w:rPr>
          <w:b/>
        </w:rPr>
        <w:noBreakHyphen/>
        <w:t>8.</w:t>
      </w:r>
      <w:r>
        <w:tab/>
        <w:t>Deleted: No. 12 of 2022 s. 7.]</w:t>
      </w:r>
    </w:p>
    <w:p>
      <w:pPr>
        <w:pStyle w:val="Heading2"/>
      </w:pPr>
      <w:bookmarkStart w:id="16" w:name="_Toc138237733"/>
      <w:bookmarkStart w:id="17" w:name="_Toc138238617"/>
      <w:bookmarkStart w:id="18" w:name="_Toc138339715"/>
      <w:r>
        <w:rPr>
          <w:rStyle w:val="CharPartNo"/>
        </w:rPr>
        <w:lastRenderedPageBreak/>
        <w:t>Part III</w:t>
      </w:r>
      <w:r>
        <w:rPr>
          <w:rStyle w:val="CharDivNo"/>
        </w:rPr>
        <w:t> </w:t>
      </w:r>
      <w:r>
        <w:t>—</w:t>
      </w:r>
      <w:r>
        <w:rPr>
          <w:rStyle w:val="CharDivText"/>
        </w:rPr>
        <w:t> </w:t>
      </w:r>
      <w:r>
        <w:rPr>
          <w:rStyle w:val="CharPartText"/>
        </w:rPr>
        <w:t>Functions and powers of Authority</w:t>
      </w:r>
      <w:bookmarkEnd w:id="16"/>
      <w:bookmarkEnd w:id="17"/>
      <w:bookmarkEnd w:id="18"/>
    </w:p>
    <w:p>
      <w:pPr>
        <w:pStyle w:val="Heading5"/>
      </w:pPr>
      <w:bookmarkStart w:id="19" w:name="_Toc138339716"/>
      <w:r>
        <w:rPr>
          <w:rStyle w:val="CharSectno"/>
        </w:rPr>
        <w:t>9A</w:t>
      </w:r>
      <w:r>
        <w:t>.</w:t>
      </w:r>
      <w:r>
        <w:tab/>
        <w:t>Authority to continue performing its functions for certain purposes</w:t>
      </w:r>
      <w:bookmarkEnd w:id="19"/>
    </w:p>
    <w:p>
      <w:pPr>
        <w:pStyle w:val="Subsection"/>
      </w:pPr>
      <w:r>
        <w:tab/>
        <w:t>(1)</w:t>
      </w:r>
      <w:r>
        <w:tab/>
        <w:t xml:space="preserve">The Authority must continue to perform its functions under this Act, but only for the following purposes — </w:t>
      </w:r>
    </w:p>
    <w:p>
      <w:pPr>
        <w:pStyle w:val="Indenta"/>
      </w:pPr>
      <w:r>
        <w:tab/>
        <w:t>(a)</w:t>
      </w:r>
      <w:r>
        <w:tab/>
        <w:t xml:space="preserve">to prepare reports and financial statements, including the final report required under the </w:t>
      </w:r>
      <w:r>
        <w:rPr>
          <w:i/>
        </w:rPr>
        <w:t>Financial Management Act 2006</w:t>
      </w:r>
      <w:r>
        <w:t xml:space="preserve"> Part 5 Division 3;</w:t>
      </w:r>
    </w:p>
    <w:p>
      <w:pPr>
        <w:pStyle w:val="Indenta"/>
      </w:pPr>
      <w:r>
        <w:tab/>
        <w:t>(b)</w:t>
      </w:r>
      <w:r>
        <w:tab/>
        <w:t>to wind up its affairs (including realising its assets and discharging its liabilities) as soon as practicable but, in any case, not later than transition day.</w:t>
      </w:r>
    </w:p>
    <w:p>
      <w:pPr>
        <w:pStyle w:val="Subsection"/>
      </w:pPr>
      <w:r>
        <w:tab/>
        <w:t>(2)</w:t>
      </w:r>
      <w:r>
        <w:tab/>
        <w:t>The Authority may do all things necessary or convenient to be done for or in connection with the purposes specified in subsection (1), including executing a contract, deed or other instrument necessary for its winding up.</w:t>
      </w:r>
    </w:p>
    <w:p>
      <w:pPr>
        <w:pStyle w:val="Subsection"/>
      </w:pPr>
      <w:r>
        <w:tab/>
        <w:t>(3)</w:t>
      </w:r>
      <w:r>
        <w:tab/>
        <w:t>This section overrides sections 9 and 10 and those sections must be read as if the Authority’s functions were conferred only to give effect to the purposes specified in subsection (1).</w:t>
      </w:r>
    </w:p>
    <w:p>
      <w:pPr>
        <w:pStyle w:val="Footnotesection"/>
      </w:pPr>
      <w:r>
        <w:tab/>
        <w:t>[Section 9A inserted: No. 12 of 2022 s. 8.]</w:t>
      </w:r>
    </w:p>
    <w:p>
      <w:pPr>
        <w:pStyle w:val="Heading5"/>
        <w:rPr>
          <w:snapToGrid w:val="0"/>
        </w:rPr>
      </w:pPr>
      <w:bookmarkStart w:id="20" w:name="_Toc138339717"/>
      <w:r>
        <w:rPr>
          <w:rStyle w:val="CharSectno"/>
        </w:rPr>
        <w:t>9</w:t>
      </w:r>
      <w:r>
        <w:rPr>
          <w:snapToGrid w:val="0"/>
        </w:rPr>
        <w:t>.</w:t>
      </w:r>
      <w:r>
        <w:rPr>
          <w:snapToGrid w:val="0"/>
        </w:rPr>
        <w:tab/>
        <w:t>Functions</w:t>
      </w:r>
      <w:bookmarkEnd w:id="20"/>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lastRenderedPageBreak/>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21" w:name="_Toc138339718"/>
      <w:r>
        <w:rPr>
          <w:rStyle w:val="CharSectno"/>
        </w:rPr>
        <w:t>10</w:t>
      </w:r>
      <w:r>
        <w:rPr>
          <w:snapToGrid w:val="0"/>
        </w:rPr>
        <w:t>.</w:t>
      </w:r>
      <w:r>
        <w:rPr>
          <w:snapToGrid w:val="0"/>
        </w:rPr>
        <w:tab/>
        <w:t>Powers</w:t>
      </w:r>
      <w:bookmarkEnd w:id="21"/>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22" w:name="_Toc138339719"/>
      <w:r>
        <w:rPr>
          <w:rStyle w:val="CharSectno"/>
        </w:rPr>
        <w:t>11</w:t>
      </w:r>
      <w:r>
        <w:rPr>
          <w:snapToGrid w:val="0"/>
        </w:rPr>
        <w:t>.</w:t>
      </w:r>
      <w:r>
        <w:rPr>
          <w:snapToGrid w:val="0"/>
        </w:rPr>
        <w:tab/>
        <w:t>Delegation by Authority</w:t>
      </w:r>
      <w:bookmarkEnd w:id="22"/>
    </w:p>
    <w:p>
      <w:pPr>
        <w:pStyle w:val="Subsection"/>
        <w:spacing w:before="120"/>
        <w:rPr>
          <w:snapToGrid w:val="0"/>
        </w:rPr>
      </w:pPr>
      <w:r>
        <w:rPr>
          <w:snapToGrid w:val="0"/>
        </w:rPr>
        <w:tab/>
        <w:t>(1)</w:t>
      </w:r>
      <w:r>
        <w:rPr>
          <w:snapToGrid w:val="0"/>
        </w:rPr>
        <w:tab/>
        <w:t xml:space="preserve">The Authority may, either generally or as otherwise provided by the instrument of delegation, in writing delegate to a person appointed under section 12(1)(a), or to a committee, any of its </w:t>
      </w:r>
      <w:r>
        <w:rPr>
          <w:snapToGrid w:val="0"/>
        </w:rPr>
        <w:lastRenderedPageBreak/>
        <w:t>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23" w:name="_Toc138339720"/>
      <w:r>
        <w:rPr>
          <w:rStyle w:val="CharSectno"/>
        </w:rPr>
        <w:t>12</w:t>
      </w:r>
      <w:r>
        <w:rPr>
          <w:snapToGrid w:val="0"/>
        </w:rPr>
        <w:t>.</w:t>
      </w:r>
      <w:r>
        <w:rPr>
          <w:snapToGrid w:val="0"/>
        </w:rPr>
        <w:tab/>
        <w:t>Staff of Authority, appointment etc. of</w:t>
      </w:r>
      <w:bookmarkEnd w:id="23"/>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 xml:space="preserve">time, of the services of </w:t>
      </w:r>
      <w:r>
        <w:rPr>
          <w:snapToGrid w:val="0"/>
        </w:rPr>
        <w:lastRenderedPageBreak/>
        <w:t>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 No. 39 of 2010 s. 89.]</w:t>
      </w:r>
    </w:p>
    <w:p>
      <w:pPr>
        <w:pStyle w:val="Heading5"/>
        <w:spacing w:before="260"/>
        <w:rPr>
          <w:snapToGrid w:val="0"/>
        </w:rPr>
      </w:pPr>
      <w:bookmarkStart w:id="24" w:name="_Toc138339721"/>
      <w:r>
        <w:rPr>
          <w:rStyle w:val="CharSectno"/>
        </w:rPr>
        <w:t>13</w:t>
      </w:r>
      <w:r>
        <w:rPr>
          <w:snapToGrid w:val="0"/>
        </w:rPr>
        <w:t>.</w:t>
      </w:r>
      <w:r>
        <w:rPr>
          <w:snapToGrid w:val="0"/>
        </w:rPr>
        <w:tab/>
        <w:t>Public service officer on staff, provisions about</w:t>
      </w:r>
      <w:bookmarkEnd w:id="24"/>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1</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No. 32 of 1994 s. 3(2); No. 42 of 1997 s. 8.]</w:t>
      </w:r>
    </w:p>
    <w:p>
      <w:pPr>
        <w:pStyle w:val="Heading5"/>
        <w:rPr>
          <w:snapToGrid w:val="0"/>
        </w:rPr>
      </w:pPr>
      <w:bookmarkStart w:id="25" w:name="_Toc138339722"/>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25"/>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1</w:t>
      </w:r>
      <w:r>
        <w:rPr>
          <w:snapToGrid w:val="0"/>
        </w:rPr>
        <w:t xml:space="preserve"> is committed to recommend that the Authority be </w:t>
      </w:r>
      <w:r>
        <w:rPr>
          <w:snapToGrid w:val="0"/>
        </w:rPr>
        <w:lastRenderedPageBreak/>
        <w:t xml:space="preserve">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1</w:t>
      </w:r>
      <w:r>
        <w:rPr>
          <w:snapToGrid w:val="0"/>
        </w:rPr>
        <w:t>.</w:t>
      </w:r>
    </w:p>
    <w:p>
      <w:pPr>
        <w:pStyle w:val="Heading5"/>
        <w:rPr>
          <w:snapToGrid w:val="0"/>
        </w:rPr>
      </w:pPr>
      <w:bookmarkStart w:id="26" w:name="_Toc138339723"/>
      <w:r>
        <w:rPr>
          <w:rStyle w:val="CharSectno"/>
        </w:rPr>
        <w:t>14A</w:t>
      </w:r>
      <w:r>
        <w:rPr>
          <w:snapToGrid w:val="0"/>
        </w:rPr>
        <w:t>.</w:t>
      </w:r>
      <w:r>
        <w:rPr>
          <w:snapToGrid w:val="0"/>
        </w:rPr>
        <w:tab/>
        <w:t>Staff in Senior Executive Service, status of etc.</w:t>
      </w:r>
      <w:bookmarkEnd w:id="26"/>
    </w:p>
    <w:p>
      <w:pPr>
        <w:pStyle w:val="Subsection"/>
        <w:tabs>
          <w:tab w:val="left" w:pos="3686"/>
        </w:tabs>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2</w:t>
      </w:r>
      <w:r>
        <w:rPr>
          <w:snapToGrid w:val="0"/>
        </w:rPr>
        <w:t xml:space="preserve"> an inconsistency between this Act and that Act that Act shall prevail.</w:t>
      </w:r>
    </w:p>
    <w:p>
      <w:pPr>
        <w:pStyle w:val="Footnotesection"/>
      </w:pPr>
      <w:r>
        <w:tab/>
        <w:t>[Section 14A inserted: No. 113 of 1987 s. 32.]</w:t>
      </w:r>
    </w:p>
    <w:p>
      <w:pPr>
        <w:pStyle w:val="Heading5"/>
        <w:rPr>
          <w:snapToGrid w:val="0"/>
        </w:rPr>
      </w:pPr>
      <w:bookmarkStart w:id="27" w:name="_Toc138339724"/>
      <w:r>
        <w:rPr>
          <w:rStyle w:val="CharSectno"/>
        </w:rPr>
        <w:t>15</w:t>
      </w:r>
      <w:r>
        <w:rPr>
          <w:snapToGrid w:val="0"/>
        </w:rPr>
        <w:t>.</w:t>
      </w:r>
      <w:r>
        <w:rPr>
          <w:snapToGrid w:val="0"/>
        </w:rPr>
        <w:tab/>
        <w:t>Minister may direct Authority</w:t>
      </w:r>
      <w:bookmarkEnd w:id="27"/>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28" w:name="_Toc138237743"/>
      <w:bookmarkStart w:id="29" w:name="_Toc138238627"/>
      <w:bookmarkStart w:id="30" w:name="_Toc138339725"/>
      <w:r>
        <w:rPr>
          <w:rStyle w:val="CharPartNo"/>
        </w:rPr>
        <w:lastRenderedPageBreak/>
        <w:t>Part IV</w:t>
      </w:r>
      <w:r>
        <w:rPr>
          <w:rStyle w:val="CharDivNo"/>
        </w:rPr>
        <w:t> </w:t>
      </w:r>
      <w:r>
        <w:t>—</w:t>
      </w:r>
      <w:r>
        <w:rPr>
          <w:rStyle w:val="CharDivText"/>
        </w:rPr>
        <w:t> </w:t>
      </w:r>
      <w:r>
        <w:rPr>
          <w:rStyle w:val="CharPartText"/>
        </w:rPr>
        <w:t>Financial provisions</w:t>
      </w:r>
      <w:bookmarkEnd w:id="28"/>
      <w:bookmarkEnd w:id="29"/>
      <w:bookmarkEnd w:id="30"/>
    </w:p>
    <w:p>
      <w:pPr>
        <w:pStyle w:val="Heading5"/>
        <w:rPr>
          <w:snapToGrid w:val="0"/>
        </w:rPr>
      </w:pPr>
      <w:bookmarkStart w:id="31" w:name="_Toc138339726"/>
      <w:r>
        <w:rPr>
          <w:rStyle w:val="CharSectno"/>
        </w:rPr>
        <w:t>16</w:t>
      </w:r>
      <w:r>
        <w:rPr>
          <w:snapToGrid w:val="0"/>
        </w:rPr>
        <w:t>.</w:t>
      </w:r>
      <w:r>
        <w:rPr>
          <w:snapToGrid w:val="0"/>
        </w:rPr>
        <w:tab/>
        <w:t>Financial management and profits</w:t>
      </w:r>
      <w:bookmarkEnd w:id="31"/>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32" w:name="_Toc138339727"/>
      <w:r>
        <w:rPr>
          <w:rStyle w:val="CharSectno"/>
        </w:rPr>
        <w:t>17</w:t>
      </w:r>
      <w:r>
        <w:rPr>
          <w:snapToGrid w:val="0"/>
        </w:rPr>
        <w:t>.</w:t>
      </w:r>
      <w:r>
        <w:rPr>
          <w:snapToGrid w:val="0"/>
        </w:rPr>
        <w:tab/>
        <w:t>Funds and property of Authority</w:t>
      </w:r>
      <w:bookmarkEnd w:id="32"/>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pPr>
      <w:r>
        <w:tab/>
        <w:t>(iii)</w:t>
      </w:r>
      <w:r>
        <w:tab/>
        <w:t>Curtin University;</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lastRenderedPageBreak/>
        <w:tab/>
        <w:t>(g)</w:t>
      </w:r>
      <w:r>
        <w:rPr>
          <w:snapToGrid w:val="0"/>
        </w:rPr>
        <w:tab/>
        <w:t>all other money and property lawfully received or held by the Authority for the purposes of this Act.</w:t>
      </w:r>
    </w:p>
    <w:p>
      <w:pPr>
        <w:pStyle w:val="Footnotesection"/>
      </w:pPr>
      <w:r>
        <w:tab/>
        <w:t>[Section 17 amended: No. 32 of 2016 s. 179.]</w:t>
      </w:r>
    </w:p>
    <w:p>
      <w:pPr>
        <w:pStyle w:val="Heading5"/>
        <w:rPr>
          <w:snapToGrid w:val="0"/>
        </w:rPr>
      </w:pPr>
      <w:bookmarkStart w:id="33" w:name="_Toc138339728"/>
      <w:r>
        <w:rPr>
          <w:rStyle w:val="CharSectno"/>
        </w:rPr>
        <w:t>18</w:t>
      </w:r>
      <w:r>
        <w:rPr>
          <w:snapToGrid w:val="0"/>
        </w:rPr>
        <w:t>.</w:t>
      </w:r>
      <w:r>
        <w:rPr>
          <w:snapToGrid w:val="0"/>
        </w:rPr>
        <w:tab/>
        <w:t>Animal Resources Authority Account</w:t>
      </w:r>
      <w:bookmarkEnd w:id="33"/>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No. 49 of 1996 s. 64.]</w:t>
      </w:r>
    </w:p>
    <w:p>
      <w:pPr>
        <w:pStyle w:val="Heading5"/>
        <w:rPr>
          <w:snapToGrid w:val="0"/>
        </w:rPr>
      </w:pPr>
      <w:bookmarkStart w:id="34" w:name="_Toc138339729"/>
      <w:r>
        <w:rPr>
          <w:rStyle w:val="CharSectno"/>
        </w:rPr>
        <w:t>19</w:t>
      </w:r>
      <w:r>
        <w:rPr>
          <w:snapToGrid w:val="0"/>
        </w:rPr>
        <w:t>.</w:t>
      </w:r>
      <w:r>
        <w:rPr>
          <w:snapToGrid w:val="0"/>
        </w:rPr>
        <w:tab/>
        <w:t>Investment powers</w:t>
      </w:r>
      <w:bookmarkEnd w:id="34"/>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No. 98 of 1985 s. 3.]</w:t>
      </w:r>
    </w:p>
    <w:p>
      <w:pPr>
        <w:pStyle w:val="Heading5"/>
        <w:rPr>
          <w:snapToGrid w:val="0"/>
        </w:rPr>
      </w:pPr>
      <w:bookmarkStart w:id="35" w:name="_Toc138339730"/>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3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 No. 98 of 1985 s. 3; amended: No. 77 of 2006 Sch. 1 cl. 9.]</w:t>
      </w:r>
    </w:p>
    <w:p>
      <w:pPr>
        <w:pStyle w:val="Ednotesection"/>
      </w:pPr>
      <w:r>
        <w:t>[</w:t>
      </w:r>
      <w:r>
        <w:rPr>
          <w:b/>
        </w:rPr>
        <w:t>21</w:t>
      </w:r>
      <w:r>
        <w:rPr>
          <w:b/>
        </w:rPr>
        <w:noBreakHyphen/>
        <w:t>23.</w:t>
      </w:r>
      <w:r>
        <w:tab/>
        <w:t>Deleted: No. 98 of 1985 s. 3.]</w:t>
      </w:r>
    </w:p>
    <w:p>
      <w:pPr>
        <w:pStyle w:val="Heading5"/>
        <w:rPr>
          <w:snapToGrid w:val="0"/>
        </w:rPr>
      </w:pPr>
      <w:bookmarkStart w:id="36" w:name="_Toc138339731"/>
      <w:r>
        <w:rPr>
          <w:rStyle w:val="CharSectno"/>
        </w:rPr>
        <w:lastRenderedPageBreak/>
        <w:t>24</w:t>
      </w:r>
      <w:r>
        <w:rPr>
          <w:snapToGrid w:val="0"/>
        </w:rPr>
        <w:t>.</w:t>
      </w:r>
      <w:r>
        <w:rPr>
          <w:snapToGrid w:val="0"/>
        </w:rPr>
        <w:tab/>
        <w:t>Borrowing powers</w:t>
      </w:r>
      <w:bookmarkEnd w:id="36"/>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37" w:name="_Toc138339732"/>
      <w:r>
        <w:rPr>
          <w:rStyle w:val="CharSectno"/>
        </w:rPr>
        <w:t>25</w:t>
      </w:r>
      <w:r>
        <w:rPr>
          <w:snapToGrid w:val="0"/>
        </w:rPr>
        <w:t>.</w:t>
      </w:r>
      <w:r>
        <w:rPr>
          <w:snapToGrid w:val="0"/>
        </w:rPr>
        <w:tab/>
        <w:t>Guarantee by Treasurer</w:t>
      </w:r>
      <w:bookmarkEnd w:id="37"/>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keepNext/>
        <w:spacing w:before="60"/>
        <w:rPr>
          <w:snapToGrid w:val="0"/>
        </w:rPr>
      </w:pPr>
      <w:r>
        <w:rPr>
          <w:snapToGrid w:val="0"/>
        </w:rPr>
        <w:lastRenderedPageBreak/>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No. 98 of 1985 s. 3; No. 6 of 1993 s. 11; No. 49 of 1996 s. 64; No. 77 of 2006 s. 4.]</w:t>
      </w:r>
    </w:p>
    <w:p>
      <w:pPr>
        <w:pStyle w:val="Heading2"/>
      </w:pPr>
      <w:bookmarkStart w:id="38" w:name="_Toc138237751"/>
      <w:bookmarkStart w:id="39" w:name="_Toc138238635"/>
      <w:bookmarkStart w:id="40" w:name="_Toc138339733"/>
      <w:r>
        <w:rPr>
          <w:rStyle w:val="CharPartNo"/>
        </w:rPr>
        <w:lastRenderedPageBreak/>
        <w:t>Part V</w:t>
      </w:r>
      <w:r>
        <w:rPr>
          <w:rStyle w:val="CharDivNo"/>
        </w:rPr>
        <w:t> </w:t>
      </w:r>
      <w:r>
        <w:t>—</w:t>
      </w:r>
      <w:r>
        <w:rPr>
          <w:rStyle w:val="CharDivText"/>
        </w:rPr>
        <w:t> </w:t>
      </w:r>
      <w:r>
        <w:rPr>
          <w:rStyle w:val="CharPartText"/>
        </w:rPr>
        <w:t>Miscellaneous</w:t>
      </w:r>
      <w:bookmarkEnd w:id="38"/>
      <w:bookmarkEnd w:id="39"/>
      <w:bookmarkEnd w:id="40"/>
    </w:p>
    <w:p>
      <w:pPr>
        <w:pStyle w:val="Heading5"/>
        <w:rPr>
          <w:snapToGrid w:val="0"/>
        </w:rPr>
      </w:pPr>
      <w:bookmarkStart w:id="41" w:name="_Toc138339734"/>
      <w:r>
        <w:rPr>
          <w:rStyle w:val="CharSectno"/>
        </w:rPr>
        <w:t>26</w:t>
      </w:r>
      <w:r>
        <w:rPr>
          <w:snapToGrid w:val="0"/>
        </w:rPr>
        <w:t>.</w:t>
      </w:r>
      <w:r>
        <w:rPr>
          <w:snapToGrid w:val="0"/>
        </w:rPr>
        <w:tab/>
        <w:t>Execution of documents by Authority</w:t>
      </w:r>
      <w:bookmarkEnd w:id="41"/>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 xml:space="preserve">it is sealed with the seal of the Authority in accordance with </w:t>
      </w:r>
      <w:r>
        <w:t>subsection (2); or</w:t>
      </w:r>
    </w:p>
    <w:p>
      <w:pPr>
        <w:pStyle w:val="Indenta"/>
        <w:rPr>
          <w:snapToGrid w:val="0"/>
        </w:rPr>
      </w:pPr>
      <w:r>
        <w:rPr>
          <w:snapToGrid w:val="0"/>
        </w:rPr>
        <w:tab/>
        <w:t>(b)</w:t>
      </w:r>
      <w:r>
        <w:rPr>
          <w:snapToGrid w:val="0"/>
        </w:rPr>
        <w:tab/>
        <w:t>it is signed on behalf of the Authority by the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Ednotesubsection"/>
      </w:pPr>
      <w:r>
        <w:tab/>
        <w:t>[(3)</w:t>
      </w:r>
      <w:r>
        <w:tab/>
        <w:t>deleted]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Footnotesection"/>
      </w:pPr>
      <w:r>
        <w:tab/>
        <w:t>[Section 26 amended: No. 12 of 2022 s. 9.]</w:t>
      </w:r>
    </w:p>
    <w:p>
      <w:pPr>
        <w:pStyle w:val="Heading2"/>
        <w:rPr>
          <w:i/>
        </w:rPr>
      </w:pPr>
      <w:bookmarkStart w:id="42" w:name="_Toc138237753"/>
      <w:bookmarkStart w:id="43" w:name="_Toc138238637"/>
      <w:bookmarkStart w:id="44" w:name="_Toc138339735"/>
      <w:r>
        <w:rPr>
          <w:rStyle w:val="CharPartNo"/>
        </w:rPr>
        <w:lastRenderedPageBreak/>
        <w:t>Part 6</w:t>
      </w:r>
      <w:r>
        <w:rPr>
          <w:b w:val="0"/>
        </w:rPr>
        <w:t> </w:t>
      </w:r>
      <w:r>
        <w:t>—</w:t>
      </w:r>
      <w:r>
        <w:rPr>
          <w:b w:val="0"/>
        </w:rPr>
        <w:t> </w:t>
      </w:r>
      <w:r>
        <w:rPr>
          <w:rStyle w:val="CharPartText"/>
        </w:rPr>
        <w:t xml:space="preserve">Transitional provisions for </w:t>
      </w:r>
      <w:r>
        <w:rPr>
          <w:rStyle w:val="CharPartText"/>
          <w:i/>
        </w:rPr>
        <w:t>Animal Resources Authority Amendment and Repeal Act 2022</w:t>
      </w:r>
      <w:bookmarkEnd w:id="42"/>
      <w:bookmarkEnd w:id="43"/>
      <w:bookmarkEnd w:id="44"/>
    </w:p>
    <w:p>
      <w:pPr>
        <w:pStyle w:val="Footnoteheading"/>
      </w:pPr>
      <w:r>
        <w:tab/>
        <w:t>[Heading inserted: No. 12 of 2022 s. 11.]</w:t>
      </w:r>
    </w:p>
    <w:p>
      <w:pPr>
        <w:pStyle w:val="Heading3"/>
        <w:rPr>
          <w:highlight w:val="yellow"/>
        </w:rPr>
      </w:pPr>
      <w:bookmarkStart w:id="45" w:name="_Toc138237754"/>
      <w:bookmarkStart w:id="46" w:name="_Toc138238638"/>
      <w:bookmarkStart w:id="47" w:name="_Toc138339736"/>
      <w:r>
        <w:rPr>
          <w:rStyle w:val="CharDivNo"/>
        </w:rPr>
        <w:t>Division 1</w:t>
      </w:r>
      <w:r>
        <w:t> — </w:t>
      </w:r>
      <w:r>
        <w:rPr>
          <w:rStyle w:val="CharDivText"/>
        </w:rPr>
        <w:t>Members of Authority</w:t>
      </w:r>
      <w:bookmarkEnd w:id="45"/>
      <w:bookmarkEnd w:id="46"/>
      <w:bookmarkEnd w:id="47"/>
    </w:p>
    <w:p>
      <w:pPr>
        <w:pStyle w:val="Footnoteheading"/>
      </w:pPr>
      <w:r>
        <w:tab/>
        <w:t>[Heading inserted: No. 12 of 2022 s. 11.]</w:t>
      </w:r>
    </w:p>
    <w:p>
      <w:pPr>
        <w:pStyle w:val="Heading5"/>
      </w:pPr>
      <w:bookmarkStart w:id="48" w:name="_Toc138339737"/>
      <w:r>
        <w:t>27.</w:t>
      </w:r>
      <w:r>
        <w:tab/>
        <w:t>Members go out of office</w:t>
      </w:r>
      <w:bookmarkEnd w:id="48"/>
    </w:p>
    <w:p>
      <w:pPr>
        <w:pStyle w:val="Subsection"/>
      </w:pPr>
      <w:r>
        <w:tab/>
      </w:r>
      <w:r>
        <w:tab/>
        <w:t xml:space="preserve">The members of the Authority go out of office on the day on which the </w:t>
      </w:r>
      <w:r>
        <w:rPr>
          <w:i/>
        </w:rPr>
        <w:t>Animal Resources Authority Amendment and Repeal Act 2022</w:t>
      </w:r>
      <w:r>
        <w:t xml:space="preserve"> section 7 comes into operation.</w:t>
      </w:r>
    </w:p>
    <w:p>
      <w:pPr>
        <w:pStyle w:val="Footnotesection"/>
      </w:pPr>
      <w:r>
        <w:tab/>
        <w:t>[Section 27 inserted: No. 12 of 2022 s. 11.]</w:t>
      </w:r>
    </w:p>
    <w:p>
      <w:pPr>
        <w:pStyle w:val="Heading3"/>
      </w:pPr>
      <w:bookmarkStart w:id="49" w:name="_Toc100821462"/>
      <w:bookmarkStart w:id="50" w:name="_Toc100821500"/>
      <w:bookmarkStart w:id="51" w:name="_Toc100821549"/>
      <w:bookmarkStart w:id="52" w:name="_Toc101270571"/>
      <w:bookmarkStart w:id="53" w:name="_Toc138238640"/>
      <w:bookmarkStart w:id="54" w:name="_Toc138339738"/>
      <w:r>
        <w:rPr>
          <w:rStyle w:val="CharDivNo"/>
        </w:rPr>
        <w:t>Division 2</w:t>
      </w:r>
      <w:r>
        <w:t> — </w:t>
      </w:r>
      <w:r>
        <w:rPr>
          <w:rStyle w:val="CharDivText"/>
        </w:rPr>
        <w:t>Abolition of authority and related provisions</w:t>
      </w:r>
      <w:bookmarkEnd w:id="49"/>
      <w:bookmarkEnd w:id="50"/>
      <w:bookmarkEnd w:id="51"/>
      <w:bookmarkEnd w:id="52"/>
      <w:bookmarkEnd w:id="53"/>
      <w:bookmarkEnd w:id="54"/>
    </w:p>
    <w:p>
      <w:pPr>
        <w:pStyle w:val="Footnoteheading"/>
      </w:pPr>
      <w:bookmarkStart w:id="55" w:name="_Toc101270572"/>
      <w:r>
        <w:tab/>
        <w:t>[Heading inserted: No. 12 of 2022 s. 12.]</w:t>
      </w:r>
    </w:p>
    <w:p>
      <w:pPr>
        <w:pStyle w:val="Heading5"/>
      </w:pPr>
      <w:bookmarkStart w:id="56" w:name="_Toc138339739"/>
      <w:r>
        <w:rPr>
          <w:rStyle w:val="CharSectno"/>
        </w:rPr>
        <w:t>28</w:t>
      </w:r>
      <w:r>
        <w:t>.</w:t>
      </w:r>
      <w:r>
        <w:tab/>
        <w:t>Terms used</w:t>
      </w:r>
      <w:bookmarkEnd w:id="55"/>
      <w:bookmarkEnd w:id="56"/>
    </w:p>
    <w:p>
      <w:pPr>
        <w:pStyle w:val="Subsection"/>
      </w:pPr>
      <w:r>
        <w:tab/>
      </w:r>
      <w:r>
        <w:tab/>
        <w:t xml:space="preserve">In this Division — </w:t>
      </w:r>
    </w:p>
    <w:p>
      <w:pPr>
        <w:pStyle w:val="Defstart"/>
      </w:pPr>
      <w:r>
        <w:tab/>
      </w:r>
      <w:r>
        <w:rPr>
          <w:rStyle w:val="CharDefText"/>
        </w:rPr>
        <w:t>Account</w:t>
      </w:r>
      <w:r>
        <w:t xml:space="preserve"> means the Animal Resources Authority Account referred to in section 18;</w:t>
      </w:r>
    </w:p>
    <w:p>
      <w:pPr>
        <w:pStyle w:val="Defstart"/>
      </w:pPr>
      <w:r>
        <w:tab/>
      </w:r>
      <w:r>
        <w:rPr>
          <w:rStyle w:val="CharDefText"/>
        </w:rPr>
        <w:t>assets</w:t>
      </w:r>
      <w:r>
        <w:t xml:space="preserve"> — </w:t>
      </w:r>
    </w:p>
    <w:p>
      <w:pPr>
        <w:pStyle w:val="Defpara"/>
      </w:pPr>
      <w:r>
        <w:tab/>
        <w:t>(a)</w:t>
      </w:r>
      <w:r>
        <w:tab/>
        <w:t>means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former Authority</w:t>
      </w:r>
      <w:r>
        <w:t xml:space="preserve"> means the Authority as in existence immediately before transition day;</w:t>
      </w:r>
    </w:p>
    <w:p>
      <w:pPr>
        <w:pStyle w:val="Defstart"/>
      </w:pPr>
      <w:r>
        <w:tab/>
      </w:r>
      <w:r>
        <w:rPr>
          <w:rStyle w:val="CharDefText"/>
        </w:rPr>
        <w:t>liabilities</w:t>
      </w:r>
      <w:r>
        <w:t xml:space="preserve"> means liabilities, duties or obligations whether actual, contingent or prospective, liquidated or unliquidated, or whether </w:t>
      </w:r>
      <w:r>
        <w:lastRenderedPageBreak/>
        <w:t>owed alone or jointly or jointly and severally with any other person;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relevant act</w:t>
      </w:r>
      <w:r>
        <w:t xml:space="preserve"> means an act, matter or thing done or omitted to be done before transition day by, to or in respect of the former Authority;</w:t>
      </w:r>
    </w:p>
    <w:p>
      <w:pPr>
        <w:pStyle w:val="Defstart"/>
      </w:pPr>
      <w:r>
        <w:tab/>
      </w:r>
      <w:r>
        <w:rPr>
          <w:rStyle w:val="CharDefText"/>
        </w:rPr>
        <w:t>rights</w:t>
      </w:r>
      <w:r>
        <w:t xml:space="preserve"> means rights, powers, privileges or immunities whether actual, contingent or prospective;</w:t>
      </w:r>
    </w:p>
    <w:p>
      <w:pPr>
        <w:pStyle w:val="Defstart"/>
      </w:pPr>
      <w:r>
        <w:tab/>
      </w:r>
      <w:r>
        <w:rPr>
          <w:rStyle w:val="CharDefText"/>
        </w:rPr>
        <w:t>staff member</w:t>
      </w:r>
      <w:r>
        <w:t xml:space="preserve"> means a person appointed by the Authority under section 12(1);</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subsisting</w:t>
      </w:r>
      <w:r>
        <w:t>, in relation to an agreement, instrument or document, means subsisting immediately before transition day.</w:t>
      </w:r>
    </w:p>
    <w:p>
      <w:pPr>
        <w:pStyle w:val="Footnotesection"/>
      </w:pPr>
      <w:bookmarkStart w:id="57" w:name="_Toc101270573"/>
      <w:r>
        <w:tab/>
        <w:t>[Section 28 inserted: No. 12 of 2022 s. 12.]</w:t>
      </w:r>
    </w:p>
    <w:p>
      <w:pPr>
        <w:pStyle w:val="Heading5"/>
      </w:pPr>
      <w:bookmarkStart w:id="58" w:name="_Toc138339740"/>
      <w:r>
        <w:rPr>
          <w:rStyle w:val="CharSectno"/>
        </w:rPr>
        <w:t>29</w:t>
      </w:r>
      <w:r>
        <w:t>.</w:t>
      </w:r>
      <w:r>
        <w:tab/>
        <w:t>Former Authority abolished</w:t>
      </w:r>
      <w:bookmarkEnd w:id="57"/>
      <w:bookmarkEnd w:id="58"/>
    </w:p>
    <w:p>
      <w:pPr>
        <w:pStyle w:val="Subsection"/>
      </w:pPr>
      <w:r>
        <w:tab/>
      </w:r>
      <w:r>
        <w:tab/>
        <w:t>On transition day, the former Authority is abolished.</w:t>
      </w:r>
    </w:p>
    <w:p>
      <w:pPr>
        <w:pStyle w:val="Footnotesection"/>
      </w:pPr>
      <w:bookmarkStart w:id="59" w:name="_Toc101270574"/>
      <w:r>
        <w:tab/>
        <w:t>[Section 29 inserted: No. 12 of 2022 s. 12.]</w:t>
      </w:r>
    </w:p>
    <w:p>
      <w:pPr>
        <w:pStyle w:val="Heading5"/>
      </w:pPr>
      <w:bookmarkStart w:id="60" w:name="_Toc138339741"/>
      <w:r>
        <w:rPr>
          <w:rStyle w:val="CharSectno"/>
        </w:rPr>
        <w:t>30</w:t>
      </w:r>
      <w:r>
        <w:t>.</w:t>
      </w:r>
      <w:r>
        <w:tab/>
        <w:t>Staff members</w:t>
      </w:r>
      <w:bookmarkEnd w:id="59"/>
      <w:bookmarkEnd w:id="60"/>
    </w:p>
    <w:p>
      <w:pPr>
        <w:pStyle w:val="Subsection"/>
      </w:pPr>
      <w:r>
        <w:tab/>
        <w:t>(1)</w:t>
      </w:r>
      <w:r>
        <w:tab/>
        <w:t xml:space="preserve">Before transition day, the Minister must, after consulting the Public Sector Commissioner — </w:t>
      </w:r>
    </w:p>
    <w:p>
      <w:pPr>
        <w:pStyle w:val="Indenta"/>
      </w:pPr>
      <w:r>
        <w:tab/>
        <w:t>(a)</w:t>
      </w:r>
      <w:r>
        <w:tab/>
        <w:t xml:space="preserve">for each staff member, nominate a person or body in the Public Sector (the </w:t>
      </w:r>
      <w:r>
        <w:rPr>
          <w:rStyle w:val="CharDefText"/>
        </w:rPr>
        <w:t>new employer</w:t>
      </w:r>
      <w:r>
        <w:t xml:space="preserve">) who will be the employing authority under the </w:t>
      </w:r>
      <w:r>
        <w:rPr>
          <w:i/>
        </w:rPr>
        <w:t>Public Sector Management Act 1994</w:t>
      </w:r>
      <w:r>
        <w:t xml:space="preserve"> for the staff member on and after transition day; and</w:t>
      </w:r>
    </w:p>
    <w:p>
      <w:pPr>
        <w:pStyle w:val="Indenta"/>
      </w:pPr>
      <w:r>
        <w:lastRenderedPageBreak/>
        <w:tab/>
        <w:t>(b)</w:t>
      </w:r>
      <w:r>
        <w:tab/>
        <w:t>ensure that employment by or under the new employer is arranged for each staff member.</w:t>
      </w:r>
    </w:p>
    <w:p>
      <w:pPr>
        <w:pStyle w:val="Subsection"/>
      </w:pPr>
      <w:r>
        <w:tab/>
        <w:t>(2)</w:t>
      </w:r>
      <w:r>
        <w:tab/>
        <w:t>A staff member is, on and after transition day, taken to be employed as an employee of the new employer.</w:t>
      </w:r>
    </w:p>
    <w:p>
      <w:pPr>
        <w:pStyle w:val="Subsection"/>
      </w:pPr>
      <w:r>
        <w:tab/>
        <w:t>(3)</w:t>
      </w:r>
      <w:r>
        <w:tab/>
        <w:t xml:space="preserve">Except as agreed by a staff member, a change of employment arranged under subsection (1)(a) does not — </w:t>
      </w:r>
    </w:p>
    <w:p>
      <w:pPr>
        <w:pStyle w:val="Indenta"/>
      </w:pPr>
      <w:r>
        <w:tab/>
        <w:t>(a)</w:t>
      </w:r>
      <w:r>
        <w:tab/>
        <w:t>affect the staff member’s remuneration or other terms and conditions of employment; or</w:t>
      </w:r>
    </w:p>
    <w:p>
      <w:pPr>
        <w:pStyle w:val="Indenta"/>
      </w:pPr>
      <w:r>
        <w:tab/>
        <w:t>(b)</w:t>
      </w:r>
      <w:r>
        <w:tab/>
        <w:t>prejudice the staff member’s existing or accruing rights; or</w:t>
      </w:r>
    </w:p>
    <w:p>
      <w:pPr>
        <w:pStyle w:val="Indenta"/>
      </w:pPr>
      <w:r>
        <w:tab/>
        <w:t>(c)</w:t>
      </w:r>
      <w:r>
        <w:tab/>
        <w:t>affect any rights under a superannuation scheme; or</w:t>
      </w:r>
    </w:p>
    <w:p>
      <w:pPr>
        <w:pStyle w:val="Indenta"/>
      </w:pPr>
      <w:r>
        <w:tab/>
        <w:t>(d)</w:t>
      </w:r>
      <w:r>
        <w:tab/>
        <w:t>interrupt the staff member’s continuity of service.</w:t>
      </w:r>
    </w:p>
    <w:p>
      <w:pPr>
        <w:pStyle w:val="Footnotesection"/>
      </w:pPr>
      <w:bookmarkStart w:id="61" w:name="_Toc101270575"/>
      <w:r>
        <w:tab/>
        <w:t>[Section 30 inserted: No. 12 of 2022 s. 12.]</w:t>
      </w:r>
    </w:p>
    <w:p>
      <w:pPr>
        <w:pStyle w:val="Heading5"/>
      </w:pPr>
      <w:bookmarkStart w:id="62" w:name="_Toc138339742"/>
      <w:r>
        <w:rPr>
          <w:rStyle w:val="CharSectno"/>
        </w:rPr>
        <w:t>31</w:t>
      </w:r>
      <w:r>
        <w:t>.</w:t>
      </w:r>
      <w:r>
        <w:tab/>
        <w:t>Transfer of assets, rights, liabilities, proceedings and remedies</w:t>
      </w:r>
      <w:bookmarkEnd w:id="61"/>
      <w:bookmarkEnd w:id="62"/>
    </w:p>
    <w:p>
      <w:pPr>
        <w:pStyle w:val="Subsection"/>
      </w:pPr>
      <w:r>
        <w:tab/>
        <w:t>(1)</w:t>
      </w:r>
      <w:r>
        <w:tab/>
        <w:t>On transition day —</w:t>
      </w:r>
    </w:p>
    <w:p>
      <w:pPr>
        <w:pStyle w:val="Indenta"/>
      </w:pPr>
      <w:r>
        <w:tab/>
        <w:t>(a)</w:t>
      </w:r>
      <w:r>
        <w:tab/>
        <w:t>the assets and rights of the former Authority immediately before that day vest in or become, by force of this section, the property of the State; and</w:t>
      </w:r>
    </w:p>
    <w:p>
      <w:pPr>
        <w:pStyle w:val="Indenta"/>
      </w:pPr>
      <w:r>
        <w:tab/>
        <w:t>(b)</w:t>
      </w:r>
      <w:r>
        <w:tab/>
        <w:t>the liabilities of the former Authority immediately before that day become, by force of this section, the liabilities of the State.</w:t>
      </w:r>
    </w:p>
    <w:p>
      <w:pPr>
        <w:pStyle w:val="Subsection"/>
      </w:pPr>
      <w:r>
        <w:tab/>
        <w:t>(2)</w:t>
      </w:r>
      <w:r>
        <w:tab/>
        <w:t>On and after transition day, any proceeding or remedy that, immediately before that day, might have been brought or continued by, or available against or to, the former Authority may be brought or continued by, and is available against or to, the State.</w:t>
      </w:r>
    </w:p>
    <w:p>
      <w:pPr>
        <w:pStyle w:val="Footnotesection"/>
      </w:pPr>
      <w:bookmarkStart w:id="63" w:name="_Toc101270576"/>
      <w:r>
        <w:tab/>
        <w:t>[Section 31 inserted: No. 12 of 2022 s. 12.]</w:t>
      </w:r>
    </w:p>
    <w:p>
      <w:pPr>
        <w:pStyle w:val="Heading5"/>
      </w:pPr>
      <w:bookmarkStart w:id="64" w:name="_Toc138339743"/>
      <w:r>
        <w:rPr>
          <w:rStyle w:val="CharSectno"/>
        </w:rPr>
        <w:lastRenderedPageBreak/>
        <w:t>32</w:t>
      </w:r>
      <w:r>
        <w:t>.</w:t>
      </w:r>
      <w:r>
        <w:tab/>
        <w:t>Exemption from State tax</w:t>
      </w:r>
      <w:bookmarkEnd w:id="63"/>
      <w:bookmarkEnd w:id="64"/>
    </w:p>
    <w:p>
      <w:pPr>
        <w:pStyle w:val="Subsection"/>
        <w:keepNext/>
      </w:pPr>
      <w:r>
        <w:tab/>
        <w:t>(1)</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Footnotesection"/>
      </w:pPr>
      <w:bookmarkStart w:id="65" w:name="_Toc101270577"/>
      <w:r>
        <w:tab/>
        <w:t>[Section 32 inserted: No. 12 of 2022 s. 12.]</w:t>
      </w:r>
    </w:p>
    <w:p>
      <w:pPr>
        <w:pStyle w:val="Heading5"/>
      </w:pPr>
      <w:bookmarkStart w:id="66" w:name="_Toc138339744"/>
      <w:r>
        <w:rPr>
          <w:rStyle w:val="CharSectno"/>
        </w:rPr>
        <w:t>33</w:t>
      </w:r>
      <w:r>
        <w:t>.</w:t>
      </w:r>
      <w:r>
        <w:tab/>
        <w:t>Closure of Account</w:t>
      </w:r>
      <w:bookmarkEnd w:id="65"/>
      <w:bookmarkEnd w:id="66"/>
    </w:p>
    <w:p>
      <w:pPr>
        <w:pStyle w:val="Subsection"/>
      </w:pPr>
      <w:r>
        <w:tab/>
        <w:t>(1)</w:t>
      </w:r>
      <w:r>
        <w:tab/>
        <w:t>On transition day any moneys standing to the credit of the Account must be credited to the Consolidated Account and the Account must then be closed.</w:t>
      </w:r>
    </w:p>
    <w:p>
      <w:pPr>
        <w:pStyle w:val="Subsection"/>
      </w:pPr>
      <w:r>
        <w:tab/>
        <w:t>(2)</w:t>
      </w:r>
      <w:r>
        <w:tab/>
        <w:t>The Consolidated Account must be credited with any money payable to the Account before transition day that is paid on or after that day.</w:t>
      </w:r>
    </w:p>
    <w:p>
      <w:pPr>
        <w:pStyle w:val="Footnotesection"/>
      </w:pPr>
      <w:bookmarkStart w:id="67" w:name="_Toc101270578"/>
      <w:r>
        <w:tab/>
        <w:t>[Section 33 inserted: No. 12 of 2022 s. 12.]</w:t>
      </w:r>
    </w:p>
    <w:p>
      <w:pPr>
        <w:pStyle w:val="Heading5"/>
      </w:pPr>
      <w:bookmarkStart w:id="68" w:name="_Toc138339745"/>
      <w:r>
        <w:rPr>
          <w:rStyle w:val="CharSectno"/>
        </w:rPr>
        <w:t>34</w:t>
      </w:r>
      <w:r>
        <w:t>.</w:t>
      </w:r>
      <w:r>
        <w:tab/>
        <w:t>Agreements, instruments and documents</w:t>
      </w:r>
      <w:bookmarkEnd w:id="67"/>
      <w:bookmarkEnd w:id="68"/>
    </w:p>
    <w:p>
      <w:pPr>
        <w:pStyle w:val="Subsection"/>
      </w:pPr>
      <w:r>
        <w:tab/>
        <w:t>(1)</w:t>
      </w:r>
      <w:r>
        <w:tab/>
        <w:t>A subsisting agreement, instrument or document that contains a reference to the former Authority has effect on and from transition day as if that reference were amended to be a reference to the Minister.</w:t>
      </w:r>
    </w:p>
    <w:p>
      <w:pPr>
        <w:pStyle w:val="Subsection"/>
      </w:pPr>
      <w:r>
        <w:lastRenderedPageBreak/>
        <w:tab/>
        <w:t>(2)</w:t>
      </w:r>
      <w:r>
        <w:tab/>
        <w:t>Subsection (1) does not apply to an agreement or instrument to which the former Authority was a party.</w:t>
      </w:r>
    </w:p>
    <w:p>
      <w:pPr>
        <w:pStyle w:val="Subsection"/>
      </w:pPr>
      <w:r>
        <w:tab/>
        <w:t>(3)</w:t>
      </w:r>
      <w:r>
        <w:tab/>
        <w:t xml:space="preserve">A subsisting agreement or instrument to which the former Authority was a party has effect on and from transition day as if — </w:t>
      </w:r>
    </w:p>
    <w:p>
      <w:pPr>
        <w:pStyle w:val="Indenta"/>
      </w:pPr>
      <w:r>
        <w:tab/>
        <w:t>(a)</w:t>
      </w:r>
      <w:r>
        <w:tab/>
        <w:t>the Minister were substituted for the former Authority as a party to the agreement or instrument; and</w:t>
      </w:r>
    </w:p>
    <w:p>
      <w:pPr>
        <w:pStyle w:val="Indenta"/>
      </w:pPr>
      <w:r>
        <w:tab/>
        <w:t>(b)</w:t>
      </w:r>
      <w:r>
        <w:tab/>
        <w:t>a reference to the former Authority in the agreement or instrument were amended to be a reference to the Minister.</w:t>
      </w:r>
    </w:p>
    <w:p>
      <w:pPr>
        <w:pStyle w:val="Subsection"/>
      </w:pPr>
      <w:r>
        <w:tab/>
        <w:t>(4)</w:t>
      </w:r>
      <w:r>
        <w:tab/>
        <w:t>Subsection (1) or (3)(b) does not apply to a reference if that application would be inappropriate in the context in which the reference occurs.</w:t>
      </w:r>
    </w:p>
    <w:p>
      <w:pPr>
        <w:pStyle w:val="Footnotesection"/>
      </w:pPr>
      <w:bookmarkStart w:id="69" w:name="_Toc101270579"/>
      <w:r>
        <w:tab/>
        <w:t>[Section 34 inserted: No. 12 of 2022 s. 12.]</w:t>
      </w:r>
    </w:p>
    <w:p>
      <w:pPr>
        <w:pStyle w:val="Heading5"/>
      </w:pPr>
      <w:bookmarkStart w:id="70" w:name="_Toc138339746"/>
      <w:r>
        <w:rPr>
          <w:rStyle w:val="CharSectno"/>
        </w:rPr>
        <w:t>35</w:t>
      </w:r>
      <w:r>
        <w:t>.</w:t>
      </w:r>
      <w:r>
        <w:tab/>
        <w:t>Completion of things commenced</w:t>
      </w:r>
      <w:bookmarkEnd w:id="69"/>
      <w:bookmarkEnd w:id="70"/>
    </w:p>
    <w:p>
      <w:pPr>
        <w:pStyle w:val="Subsection"/>
      </w:pPr>
      <w:r>
        <w:tab/>
      </w:r>
      <w:r>
        <w:tab/>
        <w:t>Anything commenced to be done by the former Authority before transition day may be continued by the Minister so far as the doing of that thing is within the functions of the Minister.</w:t>
      </w:r>
    </w:p>
    <w:p>
      <w:pPr>
        <w:pStyle w:val="Footnotesection"/>
      </w:pPr>
      <w:bookmarkStart w:id="71" w:name="_Toc101270580"/>
      <w:r>
        <w:tab/>
        <w:t>[Section 35 inserted: No. 12 of 2022 s. 12.]</w:t>
      </w:r>
    </w:p>
    <w:p>
      <w:pPr>
        <w:pStyle w:val="Heading5"/>
      </w:pPr>
      <w:bookmarkStart w:id="72" w:name="_Toc138339747"/>
      <w:r>
        <w:rPr>
          <w:rStyle w:val="CharSectno"/>
        </w:rPr>
        <w:t>36</w:t>
      </w:r>
      <w:r>
        <w:t>.</w:t>
      </w:r>
      <w:r>
        <w:tab/>
        <w:t>Continuing effect of things done</w:t>
      </w:r>
      <w:bookmarkEnd w:id="71"/>
      <w:bookmarkEnd w:id="72"/>
    </w:p>
    <w:p>
      <w:pPr>
        <w:pStyle w:val="Subsection"/>
      </w:pPr>
      <w:r>
        <w:tab/>
        <w:t>(1)</w:t>
      </w:r>
      <w:r>
        <w:tab/>
        <w:t>To the extent that a relevant act has force or significance on or after transition day it is taken, from that day, to have been done or omitted by, to or in respect of the Minister so far as the relevant act is relevant to the functions of the Minister.</w:t>
      </w:r>
    </w:p>
    <w:p>
      <w:pPr>
        <w:pStyle w:val="Subsection"/>
      </w:pPr>
      <w:r>
        <w:tab/>
        <w:t>(2)</w:t>
      </w:r>
      <w:r>
        <w:tab/>
        <w:t>This section does not affect the operation of any other provision of this Part.</w:t>
      </w:r>
    </w:p>
    <w:p>
      <w:pPr>
        <w:pStyle w:val="Footnotesection"/>
      </w:pPr>
      <w:bookmarkStart w:id="73" w:name="_Toc101270581"/>
      <w:r>
        <w:tab/>
        <w:t>[Section 36 inserted: No. 12 of 2022 s. 12.]</w:t>
      </w:r>
    </w:p>
    <w:p>
      <w:pPr>
        <w:pStyle w:val="Heading5"/>
      </w:pPr>
      <w:bookmarkStart w:id="74" w:name="_Toc138339748"/>
      <w:r>
        <w:rPr>
          <w:rStyle w:val="CharSectno"/>
        </w:rPr>
        <w:lastRenderedPageBreak/>
        <w:t>37</w:t>
      </w:r>
      <w:r>
        <w:t>.</w:t>
      </w:r>
      <w:r>
        <w:tab/>
        <w:t>Effect on other instruments, rights and obligations</w:t>
      </w:r>
      <w:bookmarkEnd w:id="73"/>
      <w:bookmarkEnd w:id="74"/>
    </w:p>
    <w:p>
      <w:pPr>
        <w:pStyle w:val="Subsection"/>
        <w:keepNext/>
      </w:pPr>
      <w:r>
        <w:tab/>
      </w:r>
      <w:r>
        <w:tab/>
        <w:t xml:space="preserve">The operation of this Part must not be regarded — </w:t>
      </w:r>
    </w:p>
    <w:p>
      <w:pPr>
        <w:pStyle w:val="Indenta"/>
      </w:pPr>
      <w:r>
        <w:tab/>
        <w:t>(a)</w:t>
      </w:r>
      <w:r>
        <w:tab/>
        <w:t>as a breach of contract or confidence or otherwise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37 inserted: No. 12 of 2022 s. 12.]</w:t>
      </w:r>
    </w:p>
    <w:p>
      <w:pPr>
        <w:pStyle w:val="yEdnoteschedule"/>
      </w:pPr>
      <w:r>
        <w:t>[Schedule deleted: No. 12 of 2022 s. 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chedule"/>
        <w:rPr>
          <w:i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nHeading2"/>
      </w:pPr>
      <w:bookmarkStart w:id="75" w:name="_Toc138237756"/>
      <w:bookmarkStart w:id="76" w:name="_Toc138238651"/>
      <w:bookmarkStart w:id="77" w:name="_Toc138339749"/>
      <w:r>
        <w:lastRenderedPageBreak/>
        <w:t>Notes</w:t>
      </w:r>
      <w:bookmarkEnd w:id="75"/>
      <w:bookmarkEnd w:id="76"/>
      <w:bookmarkEnd w:id="77"/>
    </w:p>
    <w:p>
      <w:pPr>
        <w:pStyle w:val="nStatement"/>
      </w:pPr>
      <w:r>
        <w:t xml:space="preserve">This is a compilation of the </w:t>
      </w:r>
      <w:r>
        <w:rPr>
          <w:i/>
          <w:noProof/>
        </w:rPr>
        <w:t>Animal Resources Authority Act 1981</w:t>
      </w:r>
      <w:r>
        <w:t xml:space="preserve"> and includes amendments made by other written laws. For provisions that have come into operation, and for information about any reprints, see the compilation table. </w:t>
      </w:r>
      <w:r>
        <w:rPr>
          <w:snapToGrid w:val="0"/>
        </w:rPr>
        <w:t>For provisions that have not yet come into operation see the uncommenced provisions table.</w:t>
      </w:r>
    </w:p>
    <w:p>
      <w:pPr>
        <w:pStyle w:val="nHeading3"/>
      </w:pPr>
      <w:bookmarkStart w:id="78" w:name="_Toc138339750"/>
      <w:r>
        <w:t>Compilation table</w:t>
      </w:r>
      <w:bookmarkEnd w:id="78"/>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36"/>
        <w:gridCol w:w="2547"/>
        <w:gridCol w:w="6"/>
      </w:tblGrid>
      <w:tr>
        <w:trPr>
          <w:gridBefore w:val="1"/>
          <w:wBefore w:w="14" w:type="dxa"/>
          <w:cantSplit/>
          <w:tblHeader/>
        </w:trPr>
        <w:tc>
          <w:tcPr>
            <w:tcW w:w="2254" w:type="dxa"/>
            <w:tcBorders>
              <w:top w:val="single" w:sz="8" w:space="0" w:color="auto"/>
              <w:bottom w:val="single" w:sz="8" w:space="0" w:color="auto"/>
            </w:tcBorders>
            <w:shd w:val="clear" w:color="auto" w:fill="auto"/>
          </w:tcPr>
          <w:p>
            <w:pPr>
              <w:pStyle w:val="nTable"/>
              <w:rPr>
                <w:b/>
              </w:rPr>
            </w:pPr>
            <w:r>
              <w:rPr>
                <w:b/>
              </w:rPr>
              <w:t>Short title</w:t>
            </w:r>
          </w:p>
        </w:tc>
        <w:tc>
          <w:tcPr>
            <w:tcW w:w="1148" w:type="dxa"/>
            <w:gridSpan w:val="3"/>
            <w:tcBorders>
              <w:top w:val="single" w:sz="8" w:space="0" w:color="auto"/>
              <w:bottom w:val="single" w:sz="8" w:space="0" w:color="auto"/>
            </w:tcBorders>
            <w:shd w:val="clear" w:color="auto" w:fill="auto"/>
          </w:tcPr>
          <w:p>
            <w:pPr>
              <w:pStyle w:val="nTable"/>
              <w:rPr>
                <w:b/>
              </w:rPr>
            </w:pPr>
            <w:r>
              <w:rPr>
                <w:b/>
              </w:rPr>
              <w:t>Number and year</w:t>
            </w:r>
          </w:p>
        </w:tc>
        <w:tc>
          <w:tcPr>
            <w:tcW w:w="1136" w:type="dxa"/>
            <w:tcBorders>
              <w:top w:val="single" w:sz="8" w:space="0" w:color="auto"/>
              <w:bottom w:val="single" w:sz="8" w:space="0" w:color="auto"/>
            </w:tcBorders>
            <w:shd w:val="clear" w:color="auto" w:fill="auto"/>
          </w:tcPr>
          <w:p>
            <w:pPr>
              <w:pStyle w:val="nTable"/>
              <w:rPr>
                <w:b/>
              </w:rPr>
            </w:pPr>
            <w:r>
              <w:rPr>
                <w:b/>
              </w:rPr>
              <w:t>Assent</w:t>
            </w:r>
          </w:p>
        </w:tc>
        <w:tc>
          <w:tcPr>
            <w:tcW w:w="2551" w:type="dxa"/>
            <w:gridSpan w:val="2"/>
            <w:tcBorders>
              <w:top w:val="single" w:sz="8" w:space="0" w:color="auto"/>
              <w:bottom w:val="single" w:sz="8" w:space="0" w:color="auto"/>
            </w:tcBorders>
            <w:shd w:val="clear" w:color="auto" w:fill="auto"/>
          </w:tcPr>
          <w:p>
            <w:pPr>
              <w:pStyle w:val="nTable"/>
              <w:rPr>
                <w:b/>
              </w:rPr>
            </w:pPr>
            <w:r>
              <w:rPr>
                <w:b/>
              </w:rPr>
              <w:t>Commencement</w:t>
            </w:r>
          </w:p>
        </w:tc>
      </w:tr>
      <w:tr>
        <w:trPr>
          <w:gridBefore w:val="1"/>
          <w:wBefore w:w="14" w:type="dxa"/>
          <w:cantSplit/>
        </w:trPr>
        <w:tc>
          <w:tcPr>
            <w:tcW w:w="2254" w:type="dxa"/>
          </w:tcPr>
          <w:p>
            <w:pPr>
              <w:pStyle w:val="nTable"/>
            </w:pPr>
            <w:r>
              <w:rPr>
                <w:i/>
              </w:rPr>
              <w:t>Animal Resources Authority Act 1981</w:t>
            </w:r>
          </w:p>
        </w:tc>
        <w:tc>
          <w:tcPr>
            <w:tcW w:w="1148" w:type="dxa"/>
            <w:gridSpan w:val="3"/>
          </w:tcPr>
          <w:p>
            <w:pPr>
              <w:pStyle w:val="nTable"/>
            </w:pPr>
            <w:r>
              <w:t>53 of 1981</w:t>
            </w:r>
          </w:p>
        </w:tc>
        <w:tc>
          <w:tcPr>
            <w:tcW w:w="1136" w:type="dxa"/>
          </w:tcPr>
          <w:p>
            <w:pPr>
              <w:pStyle w:val="nTable"/>
            </w:pPr>
            <w:r>
              <w:t>25 Sep 1981</w:t>
            </w:r>
          </w:p>
        </w:tc>
        <w:tc>
          <w:tcPr>
            <w:tcW w:w="2551" w:type="dxa"/>
            <w:gridSpan w:val="2"/>
          </w:tcPr>
          <w:p>
            <w:pPr>
              <w:pStyle w:val="nTable"/>
            </w:pPr>
            <w:r>
              <w:t xml:space="preserve">2 Jul 1982 (see s. 2 and </w:t>
            </w:r>
            <w:r>
              <w:rPr>
                <w:i/>
              </w:rPr>
              <w:t>Gazette</w:t>
            </w:r>
            <w:r>
              <w:t xml:space="preserve"> 2 Jul 1982 p. 2311)</w:t>
            </w:r>
          </w:p>
        </w:tc>
      </w:tr>
      <w:tr>
        <w:trPr>
          <w:gridBefore w:val="1"/>
          <w:wBefore w:w="14" w:type="dxa"/>
          <w:cantSplit/>
        </w:trPr>
        <w:tc>
          <w:tcPr>
            <w:tcW w:w="2254" w:type="dxa"/>
          </w:tcPr>
          <w:p>
            <w:pPr>
              <w:pStyle w:val="nTable"/>
            </w:pPr>
            <w:r>
              <w:rPr>
                <w:i/>
              </w:rPr>
              <w:t>Acts Amendment (Financial Administration and Audit) Act 1985</w:t>
            </w:r>
            <w:r>
              <w:t xml:space="preserve"> s. 3</w:t>
            </w:r>
          </w:p>
        </w:tc>
        <w:tc>
          <w:tcPr>
            <w:tcW w:w="1148" w:type="dxa"/>
            <w:gridSpan w:val="3"/>
          </w:tcPr>
          <w:p>
            <w:pPr>
              <w:pStyle w:val="nTable"/>
            </w:pPr>
            <w:r>
              <w:t>98 of 1985</w:t>
            </w:r>
          </w:p>
        </w:tc>
        <w:tc>
          <w:tcPr>
            <w:tcW w:w="1136" w:type="dxa"/>
          </w:tcPr>
          <w:p>
            <w:pPr>
              <w:pStyle w:val="nTable"/>
            </w:pPr>
            <w:r>
              <w:t>4 Dec 1985</w:t>
            </w:r>
          </w:p>
        </w:tc>
        <w:tc>
          <w:tcPr>
            <w:tcW w:w="2551" w:type="dxa"/>
            <w:gridSpan w:val="2"/>
          </w:tcPr>
          <w:p>
            <w:pPr>
              <w:pStyle w:val="nTable"/>
            </w:pPr>
            <w:r>
              <w:t xml:space="preserve">1 Jul 1986 (see s. 2 and </w:t>
            </w:r>
            <w:r>
              <w:rPr>
                <w:i/>
              </w:rPr>
              <w:t>Gazette</w:t>
            </w:r>
            <w:r>
              <w:t xml:space="preserve"> 30 Jun 1986 p. 2255)</w:t>
            </w:r>
          </w:p>
        </w:tc>
      </w:tr>
      <w:tr>
        <w:trPr>
          <w:gridBefore w:val="1"/>
          <w:wBefore w:w="14" w:type="dxa"/>
          <w:cantSplit/>
        </w:trPr>
        <w:tc>
          <w:tcPr>
            <w:tcW w:w="2254" w:type="dxa"/>
          </w:tcPr>
          <w:p>
            <w:pPr>
              <w:pStyle w:val="nTable"/>
            </w:pPr>
            <w:r>
              <w:rPr>
                <w:i/>
              </w:rPr>
              <w:t>Acts Amendment (Public Service) Act 1987 </w:t>
            </w:r>
            <w:r>
              <w:t>s. 32</w:t>
            </w:r>
          </w:p>
        </w:tc>
        <w:tc>
          <w:tcPr>
            <w:tcW w:w="1148" w:type="dxa"/>
            <w:gridSpan w:val="3"/>
          </w:tcPr>
          <w:p>
            <w:pPr>
              <w:pStyle w:val="nTable"/>
            </w:pPr>
            <w:r>
              <w:t>113 of 1987</w:t>
            </w:r>
          </w:p>
        </w:tc>
        <w:tc>
          <w:tcPr>
            <w:tcW w:w="1136" w:type="dxa"/>
          </w:tcPr>
          <w:p>
            <w:pPr>
              <w:pStyle w:val="nTable"/>
            </w:pPr>
            <w:r>
              <w:t>31 Dec 1987</w:t>
            </w:r>
          </w:p>
        </w:tc>
        <w:tc>
          <w:tcPr>
            <w:tcW w:w="2551" w:type="dxa"/>
            <w:gridSpan w:val="2"/>
          </w:tcPr>
          <w:p>
            <w:pPr>
              <w:pStyle w:val="nTable"/>
            </w:pPr>
            <w:r>
              <w:t xml:space="preserve">16 Mar 1988 (see s. 2 and </w:t>
            </w:r>
            <w:r>
              <w:rPr>
                <w:i/>
              </w:rPr>
              <w:t>Gazette</w:t>
            </w:r>
            <w:r>
              <w:t xml:space="preserve"> 16 Mar 1988 p. 813)</w:t>
            </w:r>
          </w:p>
        </w:tc>
      </w:tr>
      <w:tr>
        <w:trPr>
          <w:gridBefore w:val="1"/>
          <w:wBefore w:w="14" w:type="dxa"/>
          <w:cantSplit/>
        </w:trPr>
        <w:tc>
          <w:tcPr>
            <w:tcW w:w="2254" w:type="dxa"/>
          </w:tcPr>
          <w:p>
            <w:pPr>
              <w:pStyle w:val="nTable"/>
            </w:pPr>
            <w:r>
              <w:rPr>
                <w:i/>
              </w:rPr>
              <w:t xml:space="preserve">Financial Administration Legislation Amendment Act 1993 </w:t>
            </w:r>
            <w:r>
              <w:t>s. 11</w:t>
            </w:r>
          </w:p>
        </w:tc>
        <w:tc>
          <w:tcPr>
            <w:tcW w:w="1148" w:type="dxa"/>
            <w:gridSpan w:val="3"/>
          </w:tcPr>
          <w:p>
            <w:pPr>
              <w:pStyle w:val="nTable"/>
            </w:pPr>
            <w:r>
              <w:t>6 of 1993</w:t>
            </w:r>
          </w:p>
        </w:tc>
        <w:tc>
          <w:tcPr>
            <w:tcW w:w="1136" w:type="dxa"/>
          </w:tcPr>
          <w:p>
            <w:pPr>
              <w:pStyle w:val="nTable"/>
            </w:pPr>
            <w:r>
              <w:t>27 Aug 1993</w:t>
            </w:r>
          </w:p>
        </w:tc>
        <w:tc>
          <w:tcPr>
            <w:tcW w:w="2551" w:type="dxa"/>
            <w:gridSpan w:val="2"/>
          </w:tcPr>
          <w:p>
            <w:pPr>
              <w:pStyle w:val="nTable"/>
            </w:pPr>
            <w:r>
              <w:t>1 Jul 1993 (see s. 2(1))</w:t>
            </w:r>
          </w:p>
        </w:tc>
      </w:tr>
      <w:tr>
        <w:trPr>
          <w:gridBefore w:val="1"/>
          <w:wBefore w:w="14" w:type="dxa"/>
          <w:cantSplit/>
        </w:trPr>
        <w:tc>
          <w:tcPr>
            <w:tcW w:w="2254" w:type="dxa"/>
          </w:tcPr>
          <w:p>
            <w:pPr>
              <w:pStyle w:val="nTable"/>
            </w:pPr>
            <w:r>
              <w:rPr>
                <w:i/>
              </w:rPr>
              <w:t xml:space="preserve">Acts Amendment (Public Sector Management) Act 1994 </w:t>
            </w:r>
            <w:r>
              <w:t>s. 3(2)</w:t>
            </w:r>
          </w:p>
        </w:tc>
        <w:tc>
          <w:tcPr>
            <w:tcW w:w="1148" w:type="dxa"/>
            <w:gridSpan w:val="3"/>
          </w:tcPr>
          <w:p>
            <w:pPr>
              <w:pStyle w:val="nTable"/>
            </w:pPr>
            <w:r>
              <w:t>32 of 1994</w:t>
            </w:r>
          </w:p>
        </w:tc>
        <w:tc>
          <w:tcPr>
            <w:tcW w:w="1136" w:type="dxa"/>
          </w:tcPr>
          <w:p>
            <w:pPr>
              <w:pStyle w:val="nTable"/>
            </w:pPr>
            <w:r>
              <w:t>29 Jun 1994</w:t>
            </w:r>
          </w:p>
        </w:tc>
        <w:tc>
          <w:tcPr>
            <w:tcW w:w="2551" w:type="dxa"/>
            <w:gridSpan w:val="2"/>
          </w:tcPr>
          <w:p>
            <w:pPr>
              <w:pStyle w:val="nTable"/>
            </w:pPr>
            <w:r>
              <w:t xml:space="preserve">1 Oct 1994 (see s. 2 and </w:t>
            </w:r>
            <w:r>
              <w:rPr>
                <w:i/>
              </w:rPr>
              <w:t>Gazette</w:t>
            </w:r>
            <w:r>
              <w:t xml:space="preserve"> 30 Sep 1994 p. 4948)</w:t>
            </w:r>
          </w:p>
        </w:tc>
      </w:tr>
      <w:tr>
        <w:trPr>
          <w:gridBefore w:val="1"/>
          <w:wBefore w:w="14" w:type="dxa"/>
          <w:cantSplit/>
        </w:trPr>
        <w:tc>
          <w:tcPr>
            <w:tcW w:w="2254" w:type="dxa"/>
          </w:tcPr>
          <w:p>
            <w:pPr>
              <w:pStyle w:val="nTable"/>
            </w:pPr>
            <w:r>
              <w:rPr>
                <w:i/>
              </w:rPr>
              <w:t xml:space="preserve">Financial Legislation Amendment Act 1996 </w:t>
            </w:r>
            <w:r>
              <w:t>s. 64</w:t>
            </w:r>
          </w:p>
        </w:tc>
        <w:tc>
          <w:tcPr>
            <w:tcW w:w="1148" w:type="dxa"/>
            <w:gridSpan w:val="3"/>
          </w:tcPr>
          <w:p>
            <w:pPr>
              <w:pStyle w:val="nTable"/>
            </w:pPr>
            <w:r>
              <w:t>49 of 1996</w:t>
            </w:r>
          </w:p>
        </w:tc>
        <w:tc>
          <w:tcPr>
            <w:tcW w:w="1136" w:type="dxa"/>
          </w:tcPr>
          <w:p>
            <w:pPr>
              <w:pStyle w:val="nTable"/>
            </w:pPr>
            <w:r>
              <w:t>25 Oct 1996</w:t>
            </w:r>
          </w:p>
        </w:tc>
        <w:tc>
          <w:tcPr>
            <w:tcW w:w="2551" w:type="dxa"/>
            <w:gridSpan w:val="2"/>
          </w:tcPr>
          <w:p>
            <w:pPr>
              <w:pStyle w:val="nTable"/>
            </w:pPr>
            <w:r>
              <w:t>25 Oct 1996 (see s. 2(1))</w:t>
            </w:r>
          </w:p>
        </w:tc>
      </w:tr>
      <w:tr>
        <w:trPr>
          <w:gridBefore w:val="1"/>
          <w:wBefore w:w="14" w:type="dxa"/>
          <w:cantSplit/>
        </w:trPr>
        <w:tc>
          <w:tcPr>
            <w:tcW w:w="2254" w:type="dxa"/>
          </w:tcPr>
          <w:p>
            <w:pPr>
              <w:pStyle w:val="nTable"/>
            </w:pPr>
            <w:r>
              <w:rPr>
                <w:i/>
              </w:rPr>
              <w:t xml:space="preserve">Equal Opportunity Amendment Act (No. 3) 1997 </w:t>
            </w:r>
            <w:r>
              <w:t>s. 8</w:t>
            </w:r>
          </w:p>
        </w:tc>
        <w:tc>
          <w:tcPr>
            <w:tcW w:w="1148" w:type="dxa"/>
            <w:gridSpan w:val="3"/>
          </w:tcPr>
          <w:p>
            <w:pPr>
              <w:pStyle w:val="nTable"/>
            </w:pPr>
            <w:r>
              <w:t>42 of 1997</w:t>
            </w:r>
          </w:p>
        </w:tc>
        <w:tc>
          <w:tcPr>
            <w:tcW w:w="1136" w:type="dxa"/>
          </w:tcPr>
          <w:p>
            <w:pPr>
              <w:pStyle w:val="nTable"/>
            </w:pPr>
            <w:r>
              <w:t>9 Dec 1997</w:t>
            </w:r>
          </w:p>
        </w:tc>
        <w:tc>
          <w:tcPr>
            <w:tcW w:w="2551" w:type="dxa"/>
            <w:gridSpan w:val="2"/>
          </w:tcPr>
          <w:p>
            <w:pPr>
              <w:pStyle w:val="nTable"/>
            </w:pPr>
            <w:r>
              <w:t>6 Jan 1998 (see s. 2)</w:t>
            </w:r>
          </w:p>
        </w:tc>
      </w:tr>
      <w:tr>
        <w:trPr>
          <w:gridBefore w:val="1"/>
          <w:wBefore w:w="14" w:type="dxa"/>
          <w:cantSplit/>
        </w:trPr>
        <w:tc>
          <w:tcPr>
            <w:tcW w:w="7089" w:type="dxa"/>
            <w:gridSpan w:val="7"/>
          </w:tcPr>
          <w:p>
            <w:pPr>
              <w:pStyle w:val="nTable"/>
            </w:pPr>
            <w:r>
              <w:rPr>
                <w:b/>
              </w:rPr>
              <w:t xml:space="preserve">Reprint of the </w:t>
            </w:r>
            <w:r>
              <w:rPr>
                <w:b/>
                <w:i/>
              </w:rPr>
              <w:t>Animal Resources Authority Act 1981</w:t>
            </w:r>
            <w:r>
              <w:rPr>
                <w:b/>
              </w:rPr>
              <w:t xml:space="preserve"> as at 9 Nov 2001</w:t>
            </w:r>
            <w:r>
              <w:t xml:space="preserve"> (includes amendments listed above)</w:t>
            </w:r>
          </w:p>
        </w:tc>
      </w:tr>
      <w:tr>
        <w:trPr>
          <w:gridBefore w:val="1"/>
          <w:wBefore w:w="14" w:type="dxa"/>
          <w:cantSplit/>
        </w:trPr>
        <w:tc>
          <w:tcPr>
            <w:tcW w:w="2268" w:type="dxa"/>
            <w:gridSpan w:val="2"/>
          </w:tcPr>
          <w:p>
            <w:pPr>
              <w:pStyle w:val="nTable"/>
            </w:pPr>
            <w:r>
              <w:rPr>
                <w:i/>
                <w:snapToGrid w:val="0"/>
              </w:rPr>
              <w:t>Financial Legislation Amendment and Repeal Act 2006</w:t>
            </w:r>
            <w:r>
              <w:rPr>
                <w:iCs/>
                <w:snapToGrid w:val="0"/>
              </w:rPr>
              <w:t xml:space="preserve"> s. 4 and Sch. 1 cl. 9</w:t>
            </w:r>
          </w:p>
        </w:tc>
        <w:tc>
          <w:tcPr>
            <w:tcW w:w="1134" w:type="dxa"/>
            <w:gridSpan w:val="2"/>
          </w:tcPr>
          <w:p>
            <w:pPr>
              <w:pStyle w:val="nTable"/>
            </w:pPr>
            <w:r>
              <w:rPr>
                <w:snapToGrid w:val="0"/>
              </w:rPr>
              <w:t>77 of 2006</w:t>
            </w:r>
          </w:p>
        </w:tc>
        <w:tc>
          <w:tcPr>
            <w:tcW w:w="1136" w:type="dxa"/>
          </w:tcPr>
          <w:p>
            <w:pPr>
              <w:pStyle w:val="nTable"/>
            </w:pPr>
            <w:r>
              <w:rPr>
                <w:snapToGrid w:val="0"/>
              </w:rPr>
              <w:t>21 Dec 2006</w:t>
            </w:r>
          </w:p>
        </w:tc>
        <w:tc>
          <w:tcPr>
            <w:tcW w:w="2551" w:type="dxa"/>
            <w:gridSpan w:val="2"/>
          </w:tcPr>
          <w:p>
            <w:pPr>
              <w:pStyle w:val="nTable"/>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rPr>
                <w:iCs/>
                <w:snapToGrid w:val="0"/>
              </w:rPr>
            </w:pPr>
            <w:r>
              <w:rPr>
                <w:i/>
                <w:snapToGrid w:val="0"/>
              </w:rPr>
              <w:t>Acts Amendment (Bankruptcy) Act 2009</w:t>
            </w:r>
            <w:r>
              <w:rPr>
                <w:iCs/>
                <w:snapToGrid w:val="0"/>
              </w:rPr>
              <w:t xml:space="preserve"> s. 9</w:t>
            </w:r>
          </w:p>
        </w:tc>
        <w:tc>
          <w:tcPr>
            <w:tcW w:w="1134" w:type="dxa"/>
            <w:gridSpan w:val="2"/>
          </w:tcPr>
          <w:p>
            <w:pPr>
              <w:pStyle w:val="nTable"/>
            </w:pPr>
            <w:r>
              <w:t>18 of 2009</w:t>
            </w:r>
          </w:p>
        </w:tc>
        <w:tc>
          <w:tcPr>
            <w:tcW w:w="1136" w:type="dxa"/>
          </w:tcPr>
          <w:p>
            <w:pPr>
              <w:pStyle w:val="nTable"/>
            </w:pPr>
            <w:r>
              <w:t>16 Sep 2009</w:t>
            </w:r>
          </w:p>
        </w:tc>
        <w:tc>
          <w:tcPr>
            <w:tcW w:w="2551" w:type="dxa"/>
            <w:gridSpan w:val="2"/>
          </w:tcPr>
          <w:p>
            <w:pPr>
              <w:pStyle w:val="nTable"/>
            </w:pPr>
            <w:r>
              <w:t>17 Sep 2009 (see s. 2(b))</w:t>
            </w:r>
          </w:p>
        </w:tc>
      </w:tr>
      <w:tr>
        <w:trPr>
          <w:gridBefore w:val="1"/>
          <w:wBefore w:w="14" w:type="dxa"/>
          <w:cantSplit/>
        </w:trPr>
        <w:tc>
          <w:tcPr>
            <w:tcW w:w="2268" w:type="dxa"/>
            <w:gridSpan w:val="2"/>
          </w:tcPr>
          <w:p>
            <w:pPr>
              <w:pStyle w:val="nTable"/>
              <w:rPr>
                <w:iCs/>
                <w:snapToGrid w:val="0"/>
              </w:rPr>
            </w:pPr>
            <w:r>
              <w:rPr>
                <w:i/>
                <w:snapToGrid w:val="0"/>
              </w:rPr>
              <w:t>Standardisation of Formatting Act 2010</w:t>
            </w:r>
            <w:r>
              <w:rPr>
                <w:iCs/>
                <w:snapToGrid w:val="0"/>
              </w:rPr>
              <w:t xml:space="preserve"> s. 4</w:t>
            </w:r>
          </w:p>
        </w:tc>
        <w:tc>
          <w:tcPr>
            <w:tcW w:w="1134" w:type="dxa"/>
            <w:gridSpan w:val="2"/>
          </w:tcPr>
          <w:p>
            <w:pPr>
              <w:pStyle w:val="nTable"/>
              <w:rPr>
                <w:snapToGrid w:val="0"/>
              </w:rPr>
            </w:pPr>
            <w:r>
              <w:rPr>
                <w:snapToGrid w:val="0"/>
              </w:rPr>
              <w:t>19 of 2010</w:t>
            </w:r>
          </w:p>
        </w:tc>
        <w:tc>
          <w:tcPr>
            <w:tcW w:w="1136" w:type="dxa"/>
          </w:tcPr>
          <w:p>
            <w:pPr>
              <w:pStyle w:val="nTable"/>
              <w:rPr>
                <w:snapToGrid w:val="0"/>
              </w:rPr>
            </w:pPr>
            <w:r>
              <w:rPr>
                <w:snapToGrid w:val="0"/>
              </w:rPr>
              <w:t>28 Jun 2010</w:t>
            </w:r>
          </w:p>
        </w:tc>
        <w:tc>
          <w:tcPr>
            <w:tcW w:w="2551" w:type="dxa"/>
            <w:gridSpan w:val="2"/>
          </w:tcPr>
          <w:p>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rPr>
                <w:i/>
                <w:snapToGrid w:val="0"/>
              </w:rPr>
            </w:pPr>
            <w:r>
              <w:rPr>
                <w:i/>
                <w:snapToGrid w:val="0"/>
              </w:rPr>
              <w:t>Public Sector Reform Act 2010</w:t>
            </w:r>
            <w:r>
              <w:rPr>
                <w:iCs/>
                <w:snapToGrid w:val="0"/>
              </w:rPr>
              <w:t xml:space="preserve"> s. 89</w:t>
            </w:r>
          </w:p>
        </w:tc>
        <w:tc>
          <w:tcPr>
            <w:tcW w:w="1134" w:type="dxa"/>
            <w:gridSpan w:val="2"/>
            <w:shd w:val="clear" w:color="auto" w:fill="auto"/>
          </w:tcPr>
          <w:p>
            <w:pPr>
              <w:pStyle w:val="nTable"/>
              <w:rPr>
                <w:snapToGrid w:val="0"/>
              </w:rPr>
            </w:pPr>
            <w:r>
              <w:rPr>
                <w:snapToGrid w:val="0"/>
              </w:rPr>
              <w:t>39 of 2010</w:t>
            </w:r>
          </w:p>
        </w:tc>
        <w:tc>
          <w:tcPr>
            <w:tcW w:w="1136" w:type="dxa"/>
            <w:shd w:val="clear" w:color="auto" w:fill="auto"/>
          </w:tcPr>
          <w:p>
            <w:pPr>
              <w:pStyle w:val="nTable"/>
              <w:rPr>
                <w:snapToGrid w:val="0"/>
              </w:rPr>
            </w:pPr>
            <w:r>
              <w:t>1 Oct 2010</w:t>
            </w:r>
          </w:p>
        </w:tc>
        <w:tc>
          <w:tcPr>
            <w:tcW w:w="2551" w:type="dxa"/>
            <w:gridSpan w:val="2"/>
            <w:shd w:val="clear" w:color="auto" w:fill="auto"/>
          </w:tcPr>
          <w:p>
            <w:pPr>
              <w:pStyle w:val="nTable"/>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7089" w:type="dxa"/>
            <w:gridSpan w:val="7"/>
            <w:shd w:val="clear" w:color="auto" w:fill="auto"/>
          </w:tcPr>
          <w:p>
            <w:pPr>
              <w:pStyle w:val="nTable"/>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r>
        <w:trPr>
          <w:gridAfter w:val="1"/>
          <w:wAfter w:w="6" w:type="dxa"/>
          <w:cantSplit/>
        </w:trPr>
        <w:tc>
          <w:tcPr>
            <w:tcW w:w="2268" w:type="dxa"/>
            <w:gridSpan w:val="2"/>
            <w:shd w:val="clear" w:color="auto" w:fill="auto"/>
          </w:tcPr>
          <w:p>
            <w:pPr>
              <w:pStyle w:val="nTable"/>
              <w:rPr>
                <w:i/>
                <w:snapToGrid w:val="0"/>
              </w:rPr>
            </w:pPr>
            <w:r>
              <w:rPr>
                <w:i/>
                <w:snapToGrid w:val="0"/>
              </w:rPr>
              <w:lastRenderedPageBreak/>
              <w:t>Universities Legislation Amendment Act 2016</w:t>
            </w:r>
            <w:r>
              <w:rPr>
                <w:snapToGrid w:val="0"/>
              </w:rPr>
              <w:t xml:space="preserve"> Pt. 7 Div. 2 </w:t>
            </w:r>
          </w:p>
        </w:tc>
        <w:tc>
          <w:tcPr>
            <w:tcW w:w="1134" w:type="dxa"/>
            <w:gridSpan w:val="2"/>
            <w:shd w:val="clear" w:color="auto" w:fill="auto"/>
          </w:tcPr>
          <w:p>
            <w:pPr>
              <w:pStyle w:val="nTable"/>
            </w:pPr>
            <w:r>
              <w:t>32 of 2016</w:t>
            </w:r>
          </w:p>
        </w:tc>
        <w:tc>
          <w:tcPr>
            <w:tcW w:w="1148" w:type="dxa"/>
            <w:gridSpan w:val="2"/>
            <w:shd w:val="clear" w:color="auto" w:fill="auto"/>
          </w:tcPr>
          <w:p>
            <w:pPr>
              <w:pStyle w:val="nTable"/>
            </w:pPr>
            <w:r>
              <w:t>19 Oct 2016</w:t>
            </w:r>
          </w:p>
        </w:tc>
        <w:tc>
          <w:tcPr>
            <w:tcW w:w="2547" w:type="dxa"/>
            <w:shd w:val="clear" w:color="auto" w:fill="auto"/>
          </w:tcPr>
          <w:p>
            <w:pPr>
              <w:pStyle w:val="nTable"/>
            </w:pPr>
            <w:r>
              <w:t xml:space="preserve">2 Jan 2017 (see s. 2(b) and </w:t>
            </w:r>
            <w:r>
              <w:rPr>
                <w:i/>
              </w:rPr>
              <w:t>Gazette</w:t>
            </w:r>
            <w:r>
              <w:t xml:space="preserve"> 9 Dec 2016 p. 5557)</w:t>
            </w:r>
          </w:p>
        </w:tc>
      </w:tr>
      <w:tr>
        <w:trPr>
          <w:gridAfter w:val="1"/>
          <w:wAfter w:w="6" w:type="dxa"/>
          <w:cantSplit/>
        </w:trPr>
        <w:tc>
          <w:tcPr>
            <w:tcW w:w="2268" w:type="dxa"/>
            <w:gridSpan w:val="2"/>
            <w:tcBorders>
              <w:bottom w:val="single" w:sz="4" w:space="0" w:color="auto"/>
            </w:tcBorders>
            <w:shd w:val="clear" w:color="auto" w:fill="auto"/>
          </w:tcPr>
          <w:p>
            <w:pPr>
              <w:pStyle w:val="nTable"/>
              <w:rPr>
                <w:i/>
                <w:snapToGrid w:val="0"/>
              </w:rPr>
            </w:pPr>
            <w:r>
              <w:rPr>
                <w:i/>
                <w:snapToGrid w:val="0"/>
              </w:rPr>
              <w:t>Animal Resources Authority Amendment and Repeal Act 2022</w:t>
            </w:r>
            <w:r>
              <w:rPr>
                <w:snapToGrid w:val="0"/>
              </w:rPr>
              <w:t xml:space="preserve"> Pt. 2</w:t>
            </w:r>
          </w:p>
        </w:tc>
        <w:tc>
          <w:tcPr>
            <w:tcW w:w="1134" w:type="dxa"/>
            <w:gridSpan w:val="2"/>
            <w:tcBorders>
              <w:bottom w:val="single" w:sz="4" w:space="0" w:color="auto"/>
            </w:tcBorders>
            <w:shd w:val="clear" w:color="auto" w:fill="auto"/>
          </w:tcPr>
          <w:p>
            <w:pPr>
              <w:pStyle w:val="nTable"/>
            </w:pPr>
            <w:r>
              <w:t>12 of 2022</w:t>
            </w:r>
          </w:p>
        </w:tc>
        <w:tc>
          <w:tcPr>
            <w:tcW w:w="1148" w:type="dxa"/>
            <w:gridSpan w:val="2"/>
            <w:tcBorders>
              <w:bottom w:val="single" w:sz="4" w:space="0" w:color="auto"/>
            </w:tcBorders>
            <w:shd w:val="clear" w:color="auto" w:fill="auto"/>
          </w:tcPr>
          <w:p>
            <w:pPr>
              <w:pStyle w:val="nTable"/>
            </w:pPr>
            <w:r>
              <w:t>14 Apr 2022</w:t>
            </w:r>
          </w:p>
        </w:tc>
        <w:tc>
          <w:tcPr>
            <w:tcW w:w="2547" w:type="dxa"/>
            <w:tcBorders>
              <w:bottom w:val="single" w:sz="4" w:space="0" w:color="auto"/>
            </w:tcBorders>
            <w:shd w:val="clear" w:color="auto" w:fill="auto"/>
          </w:tcPr>
          <w:p>
            <w:pPr>
              <w:pStyle w:val="nTable"/>
            </w:pPr>
            <w:r>
              <w:rPr>
                <w:snapToGrid w:val="0"/>
              </w:rPr>
              <w:t>s. 3</w:t>
            </w:r>
            <w:r>
              <w:rPr>
                <w:snapToGrid w:val="0"/>
              </w:rPr>
              <w:noBreakHyphen/>
              <w:t>5, 7</w:t>
            </w:r>
            <w:r>
              <w:rPr>
                <w:snapToGrid w:val="0"/>
              </w:rPr>
              <w:noBreakHyphen/>
              <w:t xml:space="preserve">Pt. 2 (other than s. 6 and 12): </w:t>
            </w:r>
            <w:r>
              <w:t>14 Apr 2022 (see s. 2(1)(a));</w:t>
            </w:r>
            <w:r>
              <w:br/>
              <w:t>s. 6 and 12: 30 Jun 2023 (see s. 2(1)(b))</w:t>
            </w:r>
          </w:p>
        </w:tc>
      </w:tr>
    </w:tbl>
    <w:p>
      <w:pPr>
        <w:pStyle w:val="nHeading3"/>
      </w:pPr>
      <w:bookmarkStart w:id="79" w:name="_Toc138339751"/>
      <w:r>
        <w:t>Uncommenced provisions table</w:t>
      </w:r>
      <w:bookmarkEnd w:id="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3"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7" w:type="dxa"/>
            <w:tcBorders>
              <w:top w:val="single" w:sz="8" w:space="0" w:color="auto"/>
            </w:tcBorders>
            <w:shd w:val="clear" w:color="auto" w:fill="auto"/>
          </w:tcPr>
          <w:p>
            <w:pPr>
              <w:pStyle w:val="nTable"/>
              <w:rPr>
                <w:vertAlign w:val="superscript"/>
              </w:rPr>
            </w:pPr>
            <w:r>
              <w:rPr>
                <w:i/>
                <w:snapToGrid w:val="0"/>
              </w:rPr>
              <w:t>State Superannuation (Transitional and Consequential Provisions) Act 2000</w:t>
            </w:r>
            <w:r>
              <w:rPr>
                <w:snapToGrid w:val="0"/>
              </w:rPr>
              <w:t xml:space="preserve"> s. 30</w:t>
            </w:r>
          </w:p>
        </w:tc>
        <w:tc>
          <w:tcPr>
            <w:tcW w:w="1134" w:type="dxa"/>
            <w:tcBorders>
              <w:top w:val="single" w:sz="8" w:space="0" w:color="auto"/>
            </w:tcBorders>
            <w:shd w:val="clear" w:color="auto" w:fill="auto"/>
          </w:tcPr>
          <w:p>
            <w:pPr>
              <w:pStyle w:val="nTable"/>
            </w:pPr>
            <w:r>
              <w:t>43 of 2000</w:t>
            </w:r>
          </w:p>
        </w:tc>
        <w:tc>
          <w:tcPr>
            <w:tcW w:w="1134" w:type="dxa"/>
            <w:tcBorders>
              <w:top w:val="single" w:sz="8" w:space="0" w:color="auto"/>
            </w:tcBorders>
            <w:shd w:val="clear" w:color="auto" w:fill="auto"/>
          </w:tcPr>
          <w:p>
            <w:pPr>
              <w:pStyle w:val="nTable"/>
            </w:pPr>
            <w:r>
              <w:t>2 Nov 2000</w:t>
            </w:r>
          </w:p>
        </w:tc>
        <w:tc>
          <w:tcPr>
            <w:tcW w:w="2553" w:type="dxa"/>
            <w:tcBorders>
              <w:top w:val="single" w:sz="8" w:space="0" w:color="auto"/>
            </w:tcBorders>
            <w:shd w:val="clear" w:color="auto" w:fill="auto"/>
          </w:tcPr>
          <w:p>
            <w:pPr>
              <w:pStyle w:val="nTable"/>
            </w:pPr>
            <w:r>
              <w:t>To be proclaimed (see s. 2(2))</w:t>
            </w:r>
          </w:p>
        </w:tc>
      </w:tr>
      <w:tr>
        <w:trPr>
          <w:cantSplit/>
        </w:trPr>
        <w:tc>
          <w:tcPr>
            <w:tcW w:w="2267" w:type="dxa"/>
            <w:tcBorders>
              <w:bottom w:val="single" w:sz="4" w:space="0" w:color="auto"/>
            </w:tcBorders>
            <w:shd w:val="clear" w:color="auto" w:fill="auto"/>
          </w:tcPr>
          <w:p>
            <w:pPr>
              <w:pStyle w:val="nTable"/>
              <w:rPr>
                <w:snapToGrid w:val="0"/>
              </w:rPr>
            </w:pPr>
            <w:r>
              <w:rPr>
                <w:i/>
                <w:snapToGrid w:val="0"/>
              </w:rPr>
              <w:t>Animal Resources Authority Amendment and Repeal Act 2022</w:t>
            </w:r>
            <w:r>
              <w:rPr>
                <w:snapToGrid w:val="0"/>
              </w:rPr>
              <w:t xml:space="preserve"> Pt. 3 Div. 1</w:t>
            </w:r>
          </w:p>
        </w:tc>
        <w:tc>
          <w:tcPr>
            <w:tcW w:w="1134" w:type="dxa"/>
            <w:tcBorders>
              <w:bottom w:val="single" w:sz="4" w:space="0" w:color="auto"/>
            </w:tcBorders>
            <w:shd w:val="clear" w:color="auto" w:fill="auto"/>
          </w:tcPr>
          <w:p>
            <w:pPr>
              <w:pStyle w:val="nTable"/>
            </w:pPr>
            <w:r>
              <w:t>12 of 2022</w:t>
            </w:r>
          </w:p>
        </w:tc>
        <w:tc>
          <w:tcPr>
            <w:tcW w:w="1134" w:type="dxa"/>
            <w:tcBorders>
              <w:bottom w:val="single" w:sz="4" w:space="0" w:color="auto"/>
            </w:tcBorders>
            <w:shd w:val="clear" w:color="auto" w:fill="auto"/>
          </w:tcPr>
          <w:p>
            <w:pPr>
              <w:pStyle w:val="nTable"/>
            </w:pPr>
            <w:r>
              <w:t>14 Apr 2022</w:t>
            </w:r>
          </w:p>
        </w:tc>
        <w:tc>
          <w:tcPr>
            <w:tcW w:w="2553" w:type="dxa"/>
            <w:tcBorders>
              <w:bottom w:val="single" w:sz="4" w:space="0" w:color="auto"/>
            </w:tcBorders>
            <w:shd w:val="clear" w:color="auto" w:fill="auto"/>
          </w:tcPr>
          <w:p>
            <w:pPr>
              <w:pStyle w:val="nTable"/>
            </w:pPr>
            <w:r>
              <w:t>To be proclaimed (see s. 2(1)(c))</w:t>
            </w:r>
          </w:p>
        </w:tc>
      </w:tr>
    </w:tbl>
    <w:p>
      <w:pPr>
        <w:pStyle w:val="nHeading3"/>
      </w:pPr>
      <w:bookmarkStart w:id="80" w:name="_Toc138339752"/>
      <w:r>
        <w:t>Other notes</w:t>
      </w:r>
      <w:bookmarkEnd w:id="80"/>
    </w:p>
    <w:p>
      <w:pPr>
        <w:pStyle w:val="nNote"/>
        <w:rPr>
          <w:snapToGrid w:val="0"/>
        </w:rPr>
      </w:pPr>
      <w:r>
        <w:rPr>
          <w:snapToGrid w:val="0"/>
          <w:vertAlign w:val="superscript"/>
        </w:rPr>
        <w:t>1</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82" w:name="_Toc138339753"/>
      <w:r>
        <w:rPr>
          <w:sz w:val="28"/>
        </w:rPr>
        <w:lastRenderedPageBreak/>
        <w:t>Defined terms</w:t>
      </w:r>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28</w:t>
      </w:r>
    </w:p>
    <w:p>
      <w:pPr>
        <w:pStyle w:val="DefinedTerms"/>
      </w:pPr>
      <w:r>
        <w:t>assets</w:t>
      </w:r>
      <w:r>
        <w:tab/>
        <w:t>28</w:t>
      </w:r>
    </w:p>
    <w:p>
      <w:pPr>
        <w:pStyle w:val="DefinedTerms"/>
      </w:pPr>
      <w:r>
        <w:t>Authority</w:t>
      </w:r>
      <w:r>
        <w:tab/>
        <w:t>3</w:t>
      </w:r>
    </w:p>
    <w:p>
      <w:pPr>
        <w:pStyle w:val="DefinedTerms"/>
      </w:pPr>
      <w:r>
        <w:t>financial year</w:t>
      </w:r>
      <w:r>
        <w:tab/>
        <w:t>3</w:t>
      </w:r>
    </w:p>
    <w:p>
      <w:pPr>
        <w:pStyle w:val="DefinedTerms"/>
      </w:pPr>
      <w:r>
        <w:t>former Authority</w:t>
      </w:r>
      <w:r>
        <w:tab/>
        <w:t>28</w:t>
      </w:r>
    </w:p>
    <w:p>
      <w:pPr>
        <w:pStyle w:val="DefinedTerms"/>
      </w:pPr>
      <w:r>
        <w:t>laboratory animal</w:t>
      </w:r>
      <w:r>
        <w:tab/>
        <w:t>3</w:t>
      </w:r>
    </w:p>
    <w:p>
      <w:pPr>
        <w:pStyle w:val="DefinedTerms"/>
      </w:pPr>
      <w:r>
        <w:t>liabilities</w:t>
      </w:r>
      <w:r>
        <w:tab/>
        <w:t>28</w:t>
      </w:r>
    </w:p>
    <w:p>
      <w:pPr>
        <w:pStyle w:val="DefinedTerms"/>
      </w:pPr>
      <w:r>
        <w:t>new employer</w:t>
      </w:r>
      <w:r>
        <w:tab/>
        <w:t>30(1)</w:t>
      </w:r>
    </w:p>
    <w:p>
      <w:pPr>
        <w:pStyle w:val="DefinedTerms"/>
      </w:pPr>
      <w:r>
        <w:t>Public Sector</w:t>
      </w:r>
      <w:r>
        <w:tab/>
        <w:t>28</w:t>
      </w:r>
    </w:p>
    <w:p>
      <w:pPr>
        <w:pStyle w:val="DefinedTerms"/>
      </w:pPr>
      <w:r>
        <w:t>relevant act</w:t>
      </w:r>
      <w:r>
        <w:tab/>
        <w:t>28</w:t>
      </w:r>
    </w:p>
    <w:p>
      <w:pPr>
        <w:pStyle w:val="DefinedTerms"/>
      </w:pPr>
      <w:r>
        <w:t>rights</w:t>
      </w:r>
      <w:r>
        <w:tab/>
        <w:t>28</w:t>
      </w:r>
    </w:p>
    <w:p>
      <w:pPr>
        <w:pStyle w:val="DefinedTerms"/>
      </w:pPr>
      <w:r>
        <w:t>section</w:t>
      </w:r>
      <w:r>
        <w:tab/>
        <w:t>3</w:t>
      </w:r>
    </w:p>
    <w:p>
      <w:pPr>
        <w:pStyle w:val="DefinedTerms"/>
      </w:pPr>
      <w:r>
        <w:t>staff member</w:t>
      </w:r>
      <w:r>
        <w:tab/>
        <w:t>28</w:t>
      </w:r>
    </w:p>
    <w:p>
      <w:pPr>
        <w:pStyle w:val="DefinedTerms"/>
      </w:pPr>
      <w:r>
        <w:t>State tax</w:t>
      </w:r>
      <w:r>
        <w:tab/>
        <w:t>28</w:t>
      </w:r>
    </w:p>
    <w:p>
      <w:pPr>
        <w:pStyle w:val="DefinedTerms"/>
      </w:pPr>
      <w:r>
        <w:t>subsection</w:t>
      </w:r>
      <w:r>
        <w:tab/>
        <w:t>3</w:t>
      </w:r>
    </w:p>
    <w:p>
      <w:pPr>
        <w:pStyle w:val="DefinedTerms"/>
      </w:pPr>
      <w:r>
        <w:t>subsisting</w:t>
      </w:r>
      <w:r>
        <w:tab/>
        <w:t>28</w:t>
      </w:r>
    </w:p>
    <w:p>
      <w:pPr>
        <w:pStyle w:val="DefinedTerms"/>
      </w:pPr>
      <w:r>
        <w:t>transition day</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1110055"/>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 w:name="WAFER_20170111151950" w:val="RemoveTocBookmarks,RemoveUnusedBookmarks,RemoveLanguageTags,UsedStyles,ResetPageSize"/>
    <w:docVar w:name="WAFER_20170111151950_GUID" w:val="a76af7f2-4d65-4a9f-9a32-bf680cd10e99"/>
    <w:docVar w:name="WAFER_20200207110630" w:val="UpdateStyles.ProcessFixes,UpdateStyles.ProcessFixes"/>
    <w:docVar w:name="WAFER_20200207110630_GUID" w:val="e1a422e2-47fd-43a3-a115-9dfb06e607c5"/>
    <w:docVar w:name="WAFER_2020020711112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1121_GUID" w:val="e60cb774-e1e6-49df-8d32-fdfab761855c"/>
    <w:docVar w:name="WAFER_20220411103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049_GUID" w:val="62e79070-188c-4f1f-9be6-632ade557cf2"/>
    <w:docVar w:name="WAFER_20230621110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1110055_GUID" w:val="2ece7081-bd91-4593-a7fc-94159dade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2B9D170C-C154-4689-9EF7-72C9C3EF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4946</Words>
  <Characters>23895</Characters>
  <Application>Microsoft Office Word</Application>
  <DocSecurity>0</DocSecurity>
  <Lines>746</Lines>
  <Paragraphs>480</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1981 - 02-e0-00</dc:title>
  <dc:subject/>
  <dc:creator/>
  <cp:keywords/>
  <dc:description/>
  <cp:lastModifiedBy>Master Repository Process</cp:lastModifiedBy>
  <cp:revision>4</cp:revision>
  <cp:lastPrinted>2012-09-26T06:17:00Z</cp:lastPrinted>
  <dcterms:created xsi:type="dcterms:W3CDTF">2023-06-29T00:00:00Z</dcterms:created>
  <dcterms:modified xsi:type="dcterms:W3CDTF">2023-06-29T00:00:00Z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DocumentType">
    <vt:lpwstr>Act</vt:lpwstr>
  </property>
  <property fmtid="{D5CDD505-2E9C-101B-9397-08002B2CF9AE}" pid="4" name="OwlsUID">
    <vt:i4>47</vt:i4>
  </property>
  <property fmtid="{D5CDD505-2E9C-101B-9397-08002B2CF9AE}" pid="5" name="ReprintNo">
    <vt:lpwstr>2</vt:lpwstr>
  </property>
  <property fmtid="{D5CDD505-2E9C-101B-9397-08002B2CF9AE}" pid="6" name="ReprintedAsAt">
    <vt:filetime>2012-09-13T16:00:00Z</vt:filetime>
  </property>
  <property fmtid="{D5CDD505-2E9C-101B-9397-08002B2CF9AE}" pid="7" name="AsAtDate">
    <vt:lpwstr>30 Jun 2023</vt:lpwstr>
  </property>
  <property fmtid="{D5CDD505-2E9C-101B-9397-08002B2CF9AE}" pid="8" name="Suffix">
    <vt:lpwstr>02-e0-00</vt:lpwstr>
  </property>
  <property fmtid="{D5CDD505-2E9C-101B-9397-08002B2CF9AE}" pid="9" name="CommencementDate">
    <vt:lpwstr>20230630</vt:lpwstr>
  </property>
</Properties>
</file>