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_Toc154755442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_Toc154755443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_Toc154755444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_Toc154755445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_Toc154755446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_Toc154755447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_Toc154755448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_Toc154755449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_Toc154755450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_Toc154755451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_Toc154755452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_Toc154755453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_Toc154755454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_Toc154755455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_Toc154755456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_Toc154755457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_Toc154755458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_Toc154755459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lastRenderedPageBreak/>
        <w:t>First Schedule</w:t>
      </w:r>
    </w:p>
    <w:p>
      <w:pPr>
        <w:pStyle w:val="TOC2"/>
        <w:tabs>
          <w:tab w:val="right" w:pos="7077"/>
        </w:tabs>
        <w:rPr>
          <w:rFonts w:asciiTheme="minorHAnsi" w:eastAsiaTheme="minorEastAsia" w:hAnsiTheme="minorHAnsi" w:cstheme="minorBidi"/>
          <w:b w:val="0"/>
          <w:sz w:val="22"/>
          <w:szCs w:val="22"/>
        </w:rPr>
      </w:pPr>
      <w:r>
        <w:t>Second Schedule</w:t>
      </w:r>
    </w:p>
    <w:p>
      <w:pPr>
        <w:pStyle w:val="TOC2"/>
        <w:tabs>
          <w:tab w:val="righ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_Toc154755464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3" w:name="_Toc154755442"/>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54755443"/>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154755444"/>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6" w:name="_Toc154755445"/>
      <w:r>
        <w:rPr>
          <w:rStyle w:val="CharSectno"/>
        </w:rPr>
        <w:t>4</w:t>
      </w:r>
      <w:r>
        <w:t>.</w:t>
      </w:r>
      <w:r>
        <w:tab/>
        <w:t>Fees</w:t>
      </w:r>
      <w:bookmarkEnd w:id="6"/>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keepNext/>
              <w:jc w:val="center"/>
              <w:rPr>
                <w:b/>
                <w:bCs/>
              </w:rPr>
            </w:pPr>
            <w:r>
              <w:rPr>
                <w:b/>
                <w:bCs/>
              </w:rPr>
              <w:t>Item</w:t>
            </w:r>
          </w:p>
        </w:tc>
        <w:tc>
          <w:tcPr>
            <w:tcW w:w="2211" w:type="dxa"/>
            <w:noWrap/>
          </w:tcPr>
          <w:p>
            <w:pPr>
              <w:pStyle w:val="TableNAm"/>
              <w:keepNext/>
              <w:jc w:val="center"/>
              <w:rPr>
                <w:b/>
                <w:bCs/>
              </w:rPr>
            </w:pPr>
            <w:r>
              <w:rPr>
                <w:b/>
                <w:bCs/>
              </w:rPr>
              <w:t>Column 1</w:t>
            </w:r>
          </w:p>
          <w:p>
            <w:pPr>
              <w:pStyle w:val="TableNAm"/>
              <w:keepNext/>
              <w:jc w:val="center"/>
              <w:rPr>
                <w:b/>
                <w:bCs/>
              </w:rPr>
            </w:pPr>
            <w:r>
              <w:rPr>
                <w:b/>
                <w:bCs/>
              </w:rPr>
              <w:t>Matter</w:t>
            </w:r>
          </w:p>
        </w:tc>
        <w:tc>
          <w:tcPr>
            <w:tcW w:w="1517" w:type="dxa"/>
            <w:noWrap/>
          </w:tcPr>
          <w:p>
            <w:pPr>
              <w:pStyle w:val="TableNAm"/>
              <w:keepNext/>
              <w:jc w:val="center"/>
              <w:rPr>
                <w:b/>
                <w:bCs/>
              </w:rPr>
            </w:pPr>
            <w:r>
              <w:rPr>
                <w:b/>
                <w:bCs/>
              </w:rPr>
              <w:t>Column 2</w:t>
            </w:r>
          </w:p>
          <w:p>
            <w:pPr>
              <w:pStyle w:val="TableNAm"/>
              <w:keepNext/>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379.00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r>
              <w:t>33.00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18 Jun 2019 p. 2096; 25 Jun 2019 p. 2191</w:t>
      </w:r>
      <w:r>
        <w:noBreakHyphen/>
        <w:t>2; SL 2020/196 r. 19; SL 2021/86 r. 25; SL 2022/59 r. 14; SL 2023/35 r. 16.]</w:t>
      </w:r>
    </w:p>
    <w:p>
      <w:pPr>
        <w:pStyle w:val="Ednotesection"/>
      </w:pPr>
      <w:r>
        <w:t>[</w:t>
      </w:r>
      <w:r>
        <w:rPr>
          <w:b/>
        </w:rPr>
        <w:t>4A.</w:t>
      </w:r>
      <w:r>
        <w:tab/>
        <w:t>Deleted: SL 2021/86 r. 26.]</w:t>
      </w:r>
    </w:p>
    <w:p>
      <w:pPr>
        <w:pStyle w:val="Heading5"/>
        <w:rPr>
          <w:snapToGrid w:val="0"/>
        </w:rPr>
      </w:pPr>
      <w:bookmarkStart w:id="7" w:name="_Toc154755446"/>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lastRenderedPageBreak/>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keepNext/>
        <w:rPr>
          <w:snapToGrid w:val="0"/>
        </w:rPr>
      </w:pPr>
      <w:r>
        <w:rPr>
          <w:snapToGrid w:val="0"/>
        </w:rPr>
        <w:lastRenderedPageBreak/>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154755447"/>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154755448"/>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lastRenderedPageBreak/>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154755449"/>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154755450"/>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154755451"/>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154755452"/>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lastRenderedPageBreak/>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154755453"/>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154755454"/>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 xml:space="preserve">A licensee shall not use directly or indirectly in the conduct or carrying on of his business as a debt collector, any vehicle of </w:t>
      </w:r>
      <w:r>
        <w:rPr>
          <w:snapToGrid w:val="0"/>
        </w:rPr>
        <w:lastRenderedPageBreak/>
        <w:t>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154755455"/>
      <w:r>
        <w:rPr>
          <w:rStyle w:val="CharSectno"/>
        </w:rPr>
        <w:t>12</w:t>
      </w:r>
      <w:r>
        <w:t>.</w:t>
      </w:r>
      <w:r>
        <w:tab/>
        <w:t>Notification of changes in information relating to licensee</w:t>
      </w:r>
      <w:bookmarkEnd w:id="1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154755456"/>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154755457"/>
      <w:r>
        <w:rPr>
          <w:rStyle w:val="CharSectno"/>
        </w:rPr>
        <w:lastRenderedPageBreak/>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154755458"/>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154755459"/>
      <w:r>
        <w:rPr>
          <w:rStyle w:val="CharSectno"/>
        </w:rPr>
        <w:lastRenderedPageBreak/>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21" w:name="_Toc154755460"/>
      <w:r>
        <w:rPr>
          <w:rStyle w:val="CharSchNo"/>
        </w:rPr>
        <w:lastRenderedPageBreak/>
        <w:t>First Schedule</w:t>
      </w:r>
      <w:bookmarkEnd w:id="21"/>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lastRenderedPageBreak/>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w:t>
            </w:r>
            <w:r>
              <w:rPr>
                <w:sz w:val="20"/>
              </w:rPr>
              <w:lastRenderedPageBreak/>
              <w:t>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23" w:name="_Toc154755461"/>
      <w:r>
        <w:rPr>
          <w:rStyle w:val="CharSchNo"/>
        </w:rPr>
        <w:lastRenderedPageBreak/>
        <w:t>Second Schedule</w:t>
      </w:r>
      <w:bookmarkEnd w:id="23"/>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w:t>
      </w:r>
      <w:r>
        <w:rPr>
          <w:snapToGrid w:val="0"/>
        </w:rPr>
        <w:lastRenderedPageBreak/>
        <w:t>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4" w:name="_Toc154755462"/>
      <w:r>
        <w:rPr>
          <w:rStyle w:val="CharSchNo"/>
        </w:rPr>
        <w:lastRenderedPageBreak/>
        <w:t>Third Schedule</w:t>
      </w:r>
      <w:r>
        <w:t> — </w:t>
      </w:r>
      <w:r>
        <w:rPr>
          <w:rStyle w:val="CharSchText"/>
        </w:rPr>
        <w:t>Prescribed offences and modified penalties</w:t>
      </w:r>
      <w:bookmarkEnd w:id="24"/>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nHeading2"/>
      </w:pPr>
      <w:bookmarkStart w:id="25" w:name="_Toc154755463"/>
      <w:r>
        <w:lastRenderedPageBreak/>
        <w:t>Notes</w:t>
      </w:r>
      <w:bookmarkEnd w:id="25"/>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p>
    <w:p>
      <w:pPr>
        <w:pStyle w:val="nHeading3"/>
      </w:pPr>
      <w:bookmarkStart w:id="26" w:name="_Toc154755464"/>
      <w:r>
        <w:t>Compilation table</w:t>
      </w:r>
      <w:bookmarkEnd w:id="26"/>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lastRenderedPageBreak/>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lastRenderedPageBreak/>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lastRenderedPageBreak/>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2022</w:t>
            </w:r>
            <w:r>
              <w:t xml:space="preserve"> Pt. 7</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(Fees and Charges) Regulations 2023</w:t>
            </w:r>
            <w:r>
              <w:t xml:space="preserve"> Pt. 7</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8" w:name="_Toc154755465"/>
      <w:r>
        <w:rPr>
          <w:sz w:val="28"/>
        </w:rPr>
        <w:lastRenderedPageBreak/>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9" w:name="DefinedTerms"/>
    <w:bookmarkEnd w:id="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0941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 w:name="WAFER_20220622143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01_GUID" w:val="09d5c885-f922-402a-860b-dffb607a8fd6"/>
    <w:docVar w:name="WAFER_20230502122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45_GUID" w:val="758cee36-e4fb-43fd-8f8c-a42a2e502f23"/>
    <w:docVar w:name="WAFER_20230626112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53_GUID" w:val="95ff14c4-f2d1-4f96-9401-199fbdbd8834"/>
    <w:docVar w:name="WAFER_20231228094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094143_GUID" w:val="05b1eb69-9157-4228-8870-b635448ce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4875</Words>
  <Characters>23792</Characters>
  <Application>Microsoft Office Word</Application>
  <DocSecurity>0</DocSecurity>
  <Lines>881</Lines>
  <Paragraphs>511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1964 - 05-s0-01</dc:title>
  <dc:subject/>
  <dc:creator/>
  <cp:keywords/>
  <dc:description/>
  <cp:lastModifiedBy>Master Repository Process</cp:lastModifiedBy>
  <cp:revision>4</cp:revision>
  <cp:lastPrinted>2019-06-24T06:19:00Z</cp:lastPrinted>
  <dcterms:created xsi:type="dcterms:W3CDTF">2023-12-29T07:17:00Z</dcterms:created>
  <dcterms:modified xsi:type="dcterms:W3CDTF">2023-12-29T07:17:00Z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2023</vt:lpwstr>
  </property>
  <property fmtid="{D5CDD505-2E9C-101B-9397-08002B2CF9AE}" pid="8" name="Suffix">
    <vt:lpwstr>05-s0-01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