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_Toc155081000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_Toc155081001 \h </w:instrText>
      </w:r>
      <w:r>
        <w:fldChar w:fldCharType="separate"/>
      </w:r>
      <w:r>
        <w:t>1</w:t>
      </w:r>
      <w:r>
        <w:fldChar w:fldCharType="end"/>
      </w:r>
    </w:p>
    <w:p>
      <w:pPr>
        <w:pStyle w:val="TOC8"/>
        <w:rPr>
          <w:rFonts w:asciiTheme="minorHAnsi" w:eastAsiaTheme="minorEastAsia" w:hAnsiTheme="minorHAnsi" w:cstheme="minorBidi"/>
          <w:szCs w:val="22"/>
        </w:rPr>
      </w:pPr>
      <w:r>
        <w:t>2AA.</w:t>
      </w:r>
      <w:r>
        <w:tab/>
        <w:t>Prescribed things that are not firearms (Act s. 4)</w:t>
      </w:r>
      <w:r>
        <w:tab/>
      </w:r>
      <w:r>
        <w:fldChar w:fldCharType="begin"/>
      </w:r>
      <w:r>
        <w:instrText xml:space="preserve"> PAGEREF _Toc155081002 \h </w:instrText>
      </w:r>
      <w:r>
        <w:fldChar w:fldCharType="separate"/>
      </w:r>
      <w:r>
        <w:t>2</w:t>
      </w:r>
      <w:r>
        <w:fldChar w:fldCharType="end"/>
      </w:r>
    </w:p>
    <w:p>
      <w:pPr>
        <w:pStyle w:val="TOC8"/>
        <w:rPr>
          <w:rFonts w:asciiTheme="minorHAnsi" w:eastAsiaTheme="minorEastAsia" w:hAnsiTheme="minorHAnsi" w:cstheme="minorBidi"/>
          <w:szCs w:val="22"/>
        </w:rPr>
      </w:pPr>
      <w:r>
        <w:t>2AB.</w:t>
      </w:r>
      <w:r>
        <w:tab/>
        <w:t>Prescribed prohibited firearm accessories (Act s. 4)</w:t>
      </w:r>
      <w:r>
        <w:tab/>
      </w:r>
      <w:r>
        <w:fldChar w:fldCharType="begin"/>
      </w:r>
      <w:r>
        <w:instrText xml:space="preserve"> PAGEREF _Toc155081003 \h </w:instrText>
      </w:r>
      <w:r>
        <w:fldChar w:fldCharType="separate"/>
      </w:r>
      <w:r>
        <w:t>2</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_Toc155081004 \h </w:instrText>
      </w:r>
      <w:r>
        <w:fldChar w:fldCharType="separate"/>
      </w:r>
      <w:r>
        <w:t>3</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_Toc155081005 \h </w:instrText>
      </w:r>
      <w:r>
        <w:fldChar w:fldCharType="separate"/>
      </w:r>
      <w:r>
        <w:t>3</w:t>
      </w:r>
      <w:r>
        <w:fldChar w:fldCharType="end"/>
      </w:r>
    </w:p>
    <w:p>
      <w:pPr>
        <w:pStyle w:val="TOC8"/>
        <w:rPr>
          <w:rFonts w:asciiTheme="minorHAnsi" w:eastAsiaTheme="minorEastAsia" w:hAnsiTheme="minorHAnsi" w:cstheme="minorBidi"/>
          <w:szCs w:val="22"/>
        </w:rPr>
      </w:pPr>
      <w:r>
        <w:t>2C.</w:t>
      </w:r>
      <w:r>
        <w:tab/>
        <w:t>Prescribed manner of unlawful modification of major firearm part (Act s. 23(5)(da))</w:t>
      </w:r>
      <w:r>
        <w:tab/>
      </w:r>
      <w:r>
        <w:fldChar w:fldCharType="begin"/>
      </w:r>
      <w:r>
        <w:instrText xml:space="preserve"> PAGEREF _Toc155081006 \h </w:instrText>
      </w:r>
      <w:r>
        <w:fldChar w:fldCharType="separate"/>
      </w:r>
      <w:r>
        <w:t>4</w:t>
      </w:r>
      <w:r>
        <w:fldChar w:fldCharType="end"/>
      </w:r>
    </w:p>
    <w:p>
      <w:pPr>
        <w:pStyle w:val="TOC8"/>
        <w:rPr>
          <w:rFonts w:asciiTheme="minorHAnsi" w:eastAsiaTheme="minorEastAsia" w:hAnsiTheme="minorHAnsi" w:cstheme="minorBidi"/>
          <w:szCs w:val="22"/>
        </w:rPr>
      </w:pPr>
      <w:r>
        <w:t>2D.</w:t>
      </w:r>
      <w:r>
        <w:tab/>
        <w:t>Prescribed corresponding firearms prohibition orders (Act s. 29O(1))</w:t>
      </w:r>
      <w:r>
        <w:tab/>
      </w:r>
      <w:r>
        <w:fldChar w:fldCharType="begin"/>
      </w:r>
      <w:r>
        <w:instrText xml:space="preserve"> PAGEREF _Toc155081007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_Toc155081008 \h </w:instrText>
      </w:r>
      <w:r>
        <w:fldChar w:fldCharType="separate"/>
      </w:r>
      <w:r>
        <w:t>4</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_Toc155081009 \h </w:instrText>
      </w:r>
      <w:r>
        <w:fldChar w:fldCharType="separate"/>
      </w:r>
      <w:r>
        <w:t>5</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_Toc155081010 \h </w:instrText>
      </w:r>
      <w:r>
        <w:fldChar w:fldCharType="separate"/>
      </w:r>
      <w:r>
        <w:t>6</w:t>
      </w:r>
      <w:r>
        <w:fldChar w:fldCharType="end"/>
      </w:r>
    </w:p>
    <w:p>
      <w:pPr>
        <w:pStyle w:val="TOC8"/>
        <w:rPr>
          <w:rFonts w:asciiTheme="minorHAnsi" w:eastAsiaTheme="minorEastAsia" w:hAnsiTheme="minorHAnsi" w:cstheme="minorBidi"/>
          <w:szCs w:val="22"/>
        </w:rPr>
      </w:pPr>
      <w:r>
        <w:t>4.</w:t>
      </w:r>
      <w:r>
        <w:tab/>
        <w:t>Notices of renewal for licences and permits</w:t>
      </w:r>
      <w:r>
        <w:tab/>
      </w:r>
      <w:r>
        <w:fldChar w:fldCharType="begin"/>
      </w:r>
      <w:r>
        <w:instrText xml:space="preserve"> PAGEREF _Toc155081011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_Toc155081012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_Toc155081013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_Toc155081014 \h </w:instrText>
      </w:r>
      <w:r>
        <w:fldChar w:fldCharType="separate"/>
      </w:r>
      <w:r>
        <w:t>8</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_Toc155081015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_Toc155081016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_Toc155081017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_Toc155081018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_Toc155081019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6G.</w:t>
      </w:r>
      <w:r>
        <w:tab/>
        <w:t>Condition on dealer’s licence — information about close associates to be provided</w:t>
      </w:r>
      <w:r>
        <w:tab/>
      </w:r>
      <w:r>
        <w:fldChar w:fldCharType="begin"/>
      </w:r>
      <w:r>
        <w:instrText xml:space="preserve"> PAGEREF _Toc155081020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 and permits</w:t>
      </w:r>
      <w:r>
        <w:tab/>
      </w:r>
      <w:r>
        <w:fldChar w:fldCharType="begin"/>
      </w:r>
      <w:r>
        <w:instrText xml:space="preserve"> PAGEREF _Toc155081021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_Toc155081022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_Toc155081023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duplicate licences and permits</w:t>
      </w:r>
      <w:r>
        <w:tab/>
      </w:r>
      <w:r>
        <w:fldChar w:fldCharType="begin"/>
      </w:r>
      <w:r>
        <w:instrText xml:space="preserve"> PAGEREF _Toc155081024 \h </w:instrText>
      </w:r>
      <w:r>
        <w:fldChar w:fldCharType="separate"/>
      </w:r>
      <w:r>
        <w:t>16</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_Toc155081025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_Toc155081026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_Toc155081027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_Toc155081028 \h </w:instrText>
      </w:r>
      <w:r>
        <w:fldChar w:fldCharType="separate"/>
      </w:r>
      <w:r>
        <w:t>19</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_Toc155081029 \h </w:instrText>
      </w:r>
      <w:r>
        <w:fldChar w:fldCharType="separate"/>
      </w:r>
      <w:r>
        <w:t>20</w:t>
      </w:r>
      <w:r>
        <w:fldChar w:fldCharType="end"/>
      </w:r>
    </w:p>
    <w:p>
      <w:pPr>
        <w:pStyle w:val="TOC8"/>
        <w:rPr>
          <w:rFonts w:asciiTheme="minorHAnsi" w:eastAsiaTheme="minorEastAsia" w:hAnsiTheme="minorHAnsi" w:cstheme="minorBidi"/>
          <w:szCs w:val="22"/>
        </w:rPr>
      </w:pPr>
      <w:r>
        <w:t>12.</w:t>
      </w:r>
      <w:r>
        <w:tab/>
        <w:t>Disposal</w:t>
      </w:r>
      <w:r>
        <w:tab/>
      </w:r>
      <w:r>
        <w:fldChar w:fldCharType="begin"/>
      </w:r>
      <w:r>
        <w:instrText xml:space="preserve"> PAGEREF _Toc155081030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_Toc155081031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_Toc155081032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_Toc155081033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_Toc155081034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_Toc155081035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_Toc155081036 \h </w:instrText>
      </w:r>
      <w:r>
        <w:fldChar w:fldCharType="separate"/>
      </w:r>
      <w:r>
        <w:t>25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_Toc155081037 \h </w:instrText>
      </w:r>
      <w:r>
        <w:fldChar w:fldCharType="separate"/>
      </w:r>
      <w:r>
        <w:t>26</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_Toc155081038 \h </w:instrText>
      </w:r>
      <w:r>
        <w:fldChar w:fldCharType="separate"/>
      </w:r>
      <w:r>
        <w:t>27</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_Toc155081039 \h </w:instrText>
      </w:r>
      <w:r>
        <w:fldChar w:fldCharType="separate"/>
      </w:r>
      <w:r>
        <w:t>27</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_Toc155081040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(7)(b))</w:t>
      </w:r>
      <w:r>
        <w:tab/>
      </w:r>
      <w:r>
        <w:fldChar w:fldCharType="begin"/>
      </w:r>
      <w:r>
        <w:instrText xml:space="preserve"> PAGEREF _Toc155081041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_Toc155081042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_Toc155081043 \h </w:instrText>
      </w:r>
      <w:r>
        <w:fldChar w:fldCharType="separate"/>
      </w:r>
      <w:r>
        <w:t>30</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_Toc155081044 \h </w:instrText>
      </w:r>
      <w:r>
        <w:fldChar w:fldCharType="separate"/>
      </w:r>
      <w:r>
        <w:t>33</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_Toc155081045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_Toc155081046 \h </w:instrText>
      </w:r>
      <w:r>
        <w:fldChar w:fldCharType="separate"/>
      </w:r>
      <w:r>
        <w:t>35</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_Toc155081047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_Toc155081048 \h </w:instrText>
      </w:r>
      <w:r>
        <w:fldChar w:fldCharType="separate"/>
      </w:r>
      <w:r>
        <w:t>40</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_Toc155081050 \h </w:instrText>
      </w:r>
      <w:r>
        <w:fldChar w:fldCharType="separate"/>
      </w:r>
      <w:r>
        <w:t>42</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_Toc155081051 \h </w:instrText>
      </w:r>
      <w:r>
        <w:fldChar w:fldCharType="separate"/>
      </w:r>
      <w:r>
        <w:t>44</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_Toc155081052 \h </w:instrText>
      </w:r>
      <w:r>
        <w:fldChar w:fldCharType="separate"/>
      </w:r>
      <w:r>
        <w:t>46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_Toc155081053 \h </w:instrText>
      </w:r>
      <w:r>
        <w:fldChar w:fldCharType="separate"/>
      </w:r>
      <w:r>
        <w:t>48</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_Toc155081054 \h </w:instrText>
      </w:r>
      <w:r>
        <w:fldChar w:fldCharType="separate"/>
      </w:r>
      <w:r>
        <w:t>50</w:t>
      </w:r>
      <w:r>
        <w:fldChar w:fldCharType="end"/>
      </w:r>
    </w:p>
    <w:p>
      <w:pPr>
        <w:pStyle w:val="TOC8"/>
        <w:rPr>
          <w:rFonts w:asciiTheme="minorHAnsi" w:eastAsiaTheme="minorEastAsia" w:hAnsiTheme="minorHAnsi" w:cstheme="minorBidi"/>
          <w:szCs w:val="22"/>
        </w:rPr>
      </w:pPr>
      <w:r>
        <w:lastRenderedPageBreak/>
        <w:t>14.</w:t>
      </w:r>
      <w:r>
        <w:tab/>
      </w:r>
      <w:r>
        <w:rPr>
          <w:bCs/>
          <w:iCs/>
        </w:rPr>
        <w:t>Manufacturer’s licence</w:t>
      </w:r>
      <w:r>
        <w:tab/>
      </w:r>
      <w:r>
        <w:fldChar w:fldCharType="begin"/>
      </w:r>
      <w:r>
        <w:instrText xml:space="preserve"> PAGEREF _Toc155081055 \h </w:instrText>
      </w:r>
      <w:r>
        <w:fldChar w:fldCharType="separate"/>
      </w:r>
      <w:r>
        <w:t>53</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_Toc155081056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_Toc155081057 \h </w:instrText>
      </w:r>
      <w:r>
        <w:fldChar w:fldCharType="separate"/>
      </w:r>
      <w:r>
        <w:t>57</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_Toc155081058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_Toc155081059 \h </w:instrText>
      </w:r>
      <w:r>
        <w:fldChar w:fldCharType="separate"/>
      </w:r>
      <w:r>
        <w:t>60</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_Toc155081060 \h </w:instrText>
      </w:r>
      <w:r>
        <w:fldChar w:fldCharType="separate"/>
      </w:r>
      <w:r>
        <w:t>62</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_Toc155081061 \h </w:instrText>
      </w:r>
      <w:r>
        <w:fldChar w:fldCharType="separate"/>
      </w:r>
      <w:r>
        <w:t>64</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_Toc155081062 \h </w:instrText>
      </w:r>
      <w:r>
        <w:fldChar w:fldCharType="separate"/>
      </w:r>
      <w:r>
        <w:t>65</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_Toc155081063 \h </w:instrText>
      </w:r>
      <w:r>
        <w:fldChar w:fldCharType="separate"/>
      </w:r>
      <w:r>
        <w:t>66</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_Toc155081064 \h </w:instrText>
      </w:r>
      <w:r>
        <w:fldChar w:fldCharType="separate"/>
      </w:r>
      <w:r>
        <w:t>68</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_Toc155081065 \h </w:instrText>
      </w:r>
      <w:r>
        <w:fldChar w:fldCharType="separate"/>
      </w:r>
      <w:r>
        <w:t>69</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_Toc155081066 \h </w:instrText>
      </w:r>
      <w:r>
        <w:fldChar w:fldCharType="separate"/>
      </w:r>
      <w:r>
        <w:t>70</w:t>
      </w:r>
      <w:r>
        <w:fldChar w:fldCharType="end"/>
      </w:r>
    </w:p>
    <w:p>
      <w:pPr>
        <w:pStyle w:val="TOC2"/>
        <w:tabs>
          <w:tab w:val="right" w:pos="7077"/>
        </w:tabs>
        <w:rPr>
          <w:rFonts w:asciiTheme="minorHAnsi" w:eastAsiaTheme="minorEastAsia" w:hAnsiTheme="minorHAnsi" w:cstheme="minorBidi"/>
          <w:b w:val="0"/>
          <w:sz w:val="22"/>
          <w:szCs w:val="22"/>
        </w:rPr>
      </w:pPr>
      <w:r>
        <w:t>Schedule 1A — Fees</w:t>
      </w:r>
    </w:p>
    <w:p>
      <w:pPr>
        <w:pStyle w:val="TOC2"/>
        <w:tabs>
          <w:tab w:val="right" w:pos="7077"/>
        </w:tabs>
        <w:rPr>
          <w:rFonts w:asciiTheme="minorHAnsi" w:eastAsiaTheme="minorEastAsia" w:hAnsiTheme="minorHAnsi" w:cstheme="minorBidi"/>
          <w:b w:val="0"/>
          <w:sz w:val="22"/>
          <w:szCs w:val="22"/>
        </w:rPr>
      </w:pPr>
      <w:r>
        <w:t>Schedule 2 — Descriptions of firearms for regulation 25</w:t>
      </w:r>
    </w:p>
    <w:p>
      <w:pPr>
        <w:pStyle w:val="TOC2"/>
        <w:tabs>
          <w:tab w:val="right" w:pos="7077"/>
        </w:tabs>
        <w:rPr>
          <w:rFonts w:asciiTheme="minorHAnsi" w:eastAsiaTheme="minorEastAsia" w:hAnsiTheme="minorHAnsi" w:cstheme="minorBidi"/>
          <w:b w:val="0"/>
          <w:sz w:val="22"/>
          <w:szCs w:val="22"/>
        </w:rPr>
      </w:pPr>
      <w:r>
        <w:t>Schedule 2A — Descriptions of prohibited firearms and ammunition for regulation 26</w:t>
      </w:r>
    </w:p>
    <w:p>
      <w:pPr>
        <w:pStyle w:val="TOC4"/>
        <w:tabs>
          <w:tab w:val="right" w:pos="7077"/>
        </w:tabs>
        <w:rPr>
          <w:rFonts w:asciiTheme="minorHAnsi" w:eastAsiaTheme="minorEastAsia" w:hAnsiTheme="minorHAnsi" w:cstheme="minorBidi"/>
          <w:b w:val="0"/>
          <w:szCs w:val="22"/>
        </w:rPr>
      </w:pPr>
      <w:r>
        <w:t>Division 1 — Prohibited ammunition</w:t>
      </w:r>
    </w:p>
    <w:p>
      <w:pPr>
        <w:pStyle w:val="TOC4"/>
        <w:tabs>
          <w:tab w:val="right" w:pos="7077"/>
        </w:tabs>
        <w:rPr>
          <w:rFonts w:asciiTheme="minorHAnsi" w:eastAsiaTheme="minorEastAsia" w:hAnsiTheme="minorHAnsi" w:cstheme="minorBidi"/>
          <w:b w:val="0"/>
          <w:szCs w:val="22"/>
        </w:rPr>
      </w:pPr>
      <w:r>
        <w:t>Division 2 — Prohibited firearms</w:t>
      </w:r>
    </w:p>
    <w:p>
      <w:pPr>
        <w:pStyle w:val="TOC6"/>
        <w:tabs>
          <w:tab w:val="right" w:pos="7077"/>
        </w:tabs>
        <w:rPr>
          <w:rFonts w:asciiTheme="minorHAnsi" w:eastAsiaTheme="minorEastAsia" w:hAnsiTheme="minorHAnsi" w:cstheme="minorBidi"/>
          <w:b w:val="0"/>
          <w:sz w:val="22"/>
          <w:szCs w:val="22"/>
        </w:rPr>
      </w:pPr>
      <w:r>
        <w:t>Subdivision 1 — Prohibited firearms</w:t>
      </w:r>
    </w:p>
    <w:p>
      <w:pPr>
        <w:pStyle w:val="TOC6"/>
        <w:tabs>
          <w:tab w:val="right" w:pos="7077"/>
        </w:tabs>
        <w:rPr>
          <w:rFonts w:asciiTheme="minorHAnsi" w:eastAsiaTheme="minorEastAsia" w:hAnsiTheme="minorHAnsi" w:cstheme="minorBidi"/>
          <w:b w:val="0"/>
          <w:sz w:val="22"/>
          <w:szCs w:val="22"/>
        </w:rPr>
      </w:pPr>
      <w:r>
        <w:t>Subdivision 2 — Prohibited firearms (cartridged)</w:t>
      </w:r>
    </w:p>
    <w:p>
      <w:pPr>
        <w:pStyle w:val="TOC2"/>
        <w:tabs>
          <w:tab w:val="right" w:pos="7077"/>
        </w:tabs>
        <w:rPr>
          <w:rFonts w:asciiTheme="minorHAnsi" w:eastAsiaTheme="minorEastAsia" w:hAnsiTheme="minorHAnsi" w:cstheme="minorBidi"/>
          <w:b w:val="0"/>
          <w:sz w:val="22"/>
          <w:szCs w:val="22"/>
        </w:rPr>
      </w:pPr>
      <w:r>
        <w:t>Schedule 3 — Categories of firearms</w:t>
      </w:r>
    </w:p>
    <w:p>
      <w:pPr>
        <w:pStyle w:val="TOC4"/>
        <w:tabs>
          <w:tab w:val="righ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_Toc155081076 \h </w:instrText>
      </w:r>
      <w:r>
        <w:fldChar w:fldCharType="separate"/>
      </w:r>
      <w:r>
        <w:t>82</w:t>
      </w:r>
      <w:r>
        <w:fldChar w:fldCharType="end"/>
      </w:r>
    </w:p>
    <w:p>
      <w:pPr>
        <w:pStyle w:val="TOC4"/>
        <w:tabs>
          <w:tab w:val="righ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_Toc155081078 \h </w:instrText>
      </w:r>
      <w:r>
        <w:fldChar w:fldCharType="separate"/>
      </w:r>
      <w:r>
        <w:t>83</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_Toc155081079 \h </w:instrText>
      </w:r>
      <w:r>
        <w:fldChar w:fldCharType="separate"/>
      </w:r>
      <w:r>
        <w:t>83</w:t>
      </w:r>
      <w:r>
        <w:fldChar w:fldCharType="end"/>
      </w:r>
    </w:p>
    <w:p>
      <w:pPr>
        <w:pStyle w:val="TOC4"/>
        <w:tabs>
          <w:tab w:val="righ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_Toc155081081 \h </w:instrText>
      </w:r>
      <w:r>
        <w:fldChar w:fldCharType="separate"/>
      </w:r>
      <w:r>
        <w:t>84</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_Toc155081082 \h </w:instrText>
      </w:r>
      <w:r>
        <w:fldChar w:fldCharType="separate"/>
      </w:r>
      <w:r>
        <w:t>84</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_Toc155081083 \h </w:instrText>
      </w:r>
      <w:r>
        <w:fldChar w:fldCharType="separate"/>
      </w:r>
      <w:r>
        <w:t>85</w:t>
      </w:r>
      <w:r>
        <w:fldChar w:fldCharType="end"/>
      </w:r>
    </w:p>
    <w:p>
      <w:pPr>
        <w:pStyle w:val="TOC4"/>
        <w:tabs>
          <w:tab w:val="righ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_Toc155081085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w:t>
      </w:r>
      <w:r>
        <w:tab/>
        <w:t>Genuine need test for category D</w:t>
      </w:r>
      <w:r>
        <w:tab/>
      </w:r>
      <w:r>
        <w:fldChar w:fldCharType="begin"/>
      </w:r>
      <w:r>
        <w:instrText xml:space="preserve"> PAGEREF _Toc155081086 \h </w:instrText>
      </w:r>
      <w:r>
        <w:fldChar w:fldCharType="separate"/>
      </w:r>
      <w:r>
        <w:t>87</w:t>
      </w:r>
      <w:r>
        <w:fldChar w:fldCharType="end"/>
      </w:r>
    </w:p>
    <w:p>
      <w:pPr>
        <w:pStyle w:val="TOC4"/>
        <w:tabs>
          <w:tab w:val="righ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_Toc155081088 \h </w:instrText>
      </w:r>
      <w:r>
        <w:fldChar w:fldCharType="separate"/>
      </w:r>
      <w:r>
        <w:t>87</w:t>
      </w:r>
      <w:r>
        <w:fldChar w:fldCharType="end"/>
      </w:r>
    </w:p>
    <w:p>
      <w:pPr>
        <w:pStyle w:val="TOC4"/>
        <w:tabs>
          <w:tab w:val="righ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_Toc155081090 \h </w:instrText>
      </w:r>
      <w:r>
        <w:fldChar w:fldCharType="separate"/>
      </w:r>
      <w:r>
        <w:t>88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_Toc155081091 \h </w:instrText>
      </w:r>
      <w:r>
        <w:fldChar w:fldCharType="separate"/>
      </w:r>
      <w:r>
        <w:t>88</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_Toc155081092 \h </w:instrText>
      </w:r>
      <w:r>
        <w:fldChar w:fldCharType="separate"/>
      </w:r>
      <w:r>
        <w:t>89</w:t>
      </w:r>
      <w:r>
        <w:fldChar w:fldCharType="end"/>
      </w:r>
    </w:p>
    <w:p>
      <w:pPr>
        <w:pStyle w:val="TOC2"/>
        <w:tabs>
          <w:tab w:val="righ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_Toc155081094 \h </w:instrText>
      </w:r>
      <w:r>
        <w:fldChar w:fldCharType="separate"/>
      </w:r>
      <w:r>
        <w:t>93</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_Toc155081095 \h </w:instrText>
      </w:r>
      <w:r>
        <w:fldChar w:fldCharType="separate"/>
      </w:r>
      <w:r>
        <w:t>93</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_Toc155081096 \h </w:instrText>
      </w:r>
      <w:r>
        <w:fldChar w:fldCharType="separate"/>
      </w:r>
      <w:r>
        <w:t>94</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_Toc155081097 \h </w:instrText>
      </w:r>
      <w:r>
        <w:fldChar w:fldCharType="separate"/>
      </w:r>
      <w:r>
        <w:t>94</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_Toc155081098 \h </w:instrText>
      </w:r>
      <w:r>
        <w:fldChar w:fldCharType="separate"/>
      </w:r>
      <w:r>
        <w:t>95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_Toc155081100 \h </w:instrText>
      </w:r>
      <w:r>
        <w:fldChar w:fldCharType="separate"/>
      </w:r>
      <w:r>
        <w:t>96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_Toc155081101 \h </w:instrText>
      </w:r>
      <w:r>
        <w:fldChar w:fldCharType="separate"/>
      </w:r>
      <w:r>
        <w:t>103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55081000"/>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55081001"/>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5" w:name="_Toc155081002"/>
      <w:r>
        <w:rPr>
          <w:rStyle w:val="CharSectno"/>
        </w:rPr>
        <w:t>2AA</w:t>
      </w:r>
      <w:r>
        <w:t>.</w:t>
      </w:r>
      <w:r>
        <w:tab/>
        <w:t>Prescribed things that are not firearms (Act s. 4)</w:t>
      </w:r>
      <w:bookmarkEnd w:id="5"/>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6" w:name="_Toc155081003"/>
      <w:r>
        <w:rPr>
          <w:rStyle w:val="CharSectno"/>
        </w:rPr>
        <w:t>2AB</w:t>
      </w:r>
      <w:r>
        <w:t>.</w:t>
      </w:r>
      <w:r>
        <w:tab/>
        <w:t>Prescribed prohibited firearm accessories (Act s. 4)</w:t>
      </w:r>
      <w:bookmarkEnd w:id="6"/>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lastRenderedPageBreak/>
        <w:tab/>
        <w:t>(c)</w:t>
      </w:r>
      <w:r>
        <w:tab/>
        <w:t>a device made to be fitted to a magazine so as to limit its capacity.</w:t>
      </w:r>
    </w:p>
    <w:p>
      <w:pPr>
        <w:pStyle w:val="Footnotesection"/>
        <w:ind w:left="890" w:hanging="890"/>
      </w:pPr>
      <w:r>
        <w:tab/>
        <w:t>[Regulation 2AB inserted: SL 2022/190 r. 5.]</w:t>
      </w:r>
    </w:p>
    <w:p>
      <w:pPr>
        <w:pStyle w:val="Heading5"/>
      </w:pPr>
      <w:bookmarkStart w:id="7" w:name="_Toc155081004"/>
      <w:r>
        <w:rPr>
          <w:rStyle w:val="CharSectno"/>
        </w:rPr>
        <w:t>2A</w:t>
      </w:r>
      <w:r>
        <w:t>.</w:t>
      </w:r>
      <w:r>
        <w:tab/>
        <w:t>Prescribed paintball guns and paintball pellets (</w:t>
      </w:r>
      <w:r>
        <w:rPr>
          <w:szCs w:val="24"/>
        </w:rPr>
        <w:t>Act</w:t>
      </w:r>
      <w:r>
        <w:t> s. 4, 8(1), 11A(2) and 19AA(2))</w:t>
      </w:r>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Schedule 2A.</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SL 2023/46 r. 4.] </w:t>
      </w:r>
    </w:p>
    <w:p>
      <w:pPr>
        <w:pStyle w:val="Heading5"/>
      </w:pPr>
      <w:bookmarkStart w:id="8" w:name="_Toc155081005"/>
      <w:r>
        <w:rPr>
          <w:rStyle w:val="CharSectno"/>
        </w:rPr>
        <w:t>2B</w:t>
      </w:r>
      <w:r>
        <w:t>.</w:t>
      </w:r>
      <w:r>
        <w:tab/>
        <w:t>Prescribed amount of money (</w:t>
      </w:r>
      <w:r>
        <w:rPr>
          <w:szCs w:val="24"/>
        </w:rPr>
        <w:t>Act</w:t>
      </w:r>
      <w:r>
        <w:t xml:space="preserve"> s. 19(1ab))</w:t>
      </w:r>
      <w:bookmarkEnd w:id="8"/>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9" w:name="_Toc155081006"/>
      <w:r>
        <w:rPr>
          <w:rStyle w:val="CharSectno"/>
        </w:rPr>
        <w:lastRenderedPageBreak/>
        <w:t>2C</w:t>
      </w:r>
      <w:r>
        <w:t>.</w:t>
      </w:r>
      <w:r>
        <w:tab/>
        <w:t>Prescribed manner of unlawful modification of major firearm part (Act s. 23(5)(da))</w:t>
      </w:r>
      <w:bookmarkEnd w:id="9"/>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0" w:name="_Toc155081007"/>
      <w:r>
        <w:rPr>
          <w:rStyle w:val="CharSectno"/>
        </w:rPr>
        <w:t>2D</w:t>
      </w:r>
      <w:r>
        <w:t>.</w:t>
      </w:r>
      <w:r>
        <w:tab/>
        <w:t>Prescribed corresponding firearms prohibition orders (Act s. 29O(1))</w:t>
      </w:r>
      <w:bookmarkEnd w:id="10"/>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1" w:name="_Toc155081008"/>
      <w:r>
        <w:rPr>
          <w:rStyle w:val="CharSectno"/>
        </w:rPr>
        <w:t>3</w:t>
      </w:r>
      <w:r>
        <w:rPr>
          <w:snapToGrid w:val="0"/>
        </w:rPr>
        <w:t>.</w:t>
      </w:r>
      <w:r>
        <w:rPr>
          <w:snapToGrid w:val="0"/>
        </w:rPr>
        <w:tab/>
        <w:t>Forms (Sch. 1)</w:t>
      </w:r>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55081009"/>
      <w:r>
        <w:rPr>
          <w:rStyle w:val="CharSectno"/>
        </w:rPr>
        <w:lastRenderedPageBreak/>
        <w:t>3A</w:t>
      </w:r>
      <w:r>
        <w:t>.</w:t>
      </w:r>
      <w:r>
        <w:tab/>
        <w:t>Applying for licence or permit</w:t>
      </w:r>
      <w:bookmarkEnd w:id="12"/>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13" w:name="_Toc155081010"/>
      <w:r>
        <w:rPr>
          <w:rStyle w:val="CharSectno"/>
        </w:rPr>
        <w:lastRenderedPageBreak/>
        <w:t>3B</w:t>
      </w:r>
      <w:r>
        <w:t>.</w:t>
      </w:r>
      <w:r>
        <w:tab/>
        <w:t>Licences and permits, issue and renewal of</w:t>
      </w:r>
      <w:bookmarkEnd w:id="1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4" w:name="_Toc155081011"/>
      <w:r>
        <w:rPr>
          <w:rStyle w:val="CharSectno"/>
        </w:rPr>
        <w:t>4</w:t>
      </w:r>
      <w:r>
        <w:t>.</w:t>
      </w:r>
      <w:r>
        <w:tab/>
        <w:t>Notices of renewal for licences and permits</w:t>
      </w:r>
      <w:bookmarkEnd w:id="14"/>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keepNext/>
        <w:spacing w:before="180"/>
      </w:pPr>
      <w:r>
        <w:lastRenderedPageBreak/>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15" w:name="_Toc155081012"/>
      <w:r>
        <w:rPr>
          <w:rStyle w:val="CharSectno"/>
        </w:rPr>
        <w:t>4A</w:t>
      </w:r>
      <w:r>
        <w:rPr>
          <w:snapToGrid w:val="0"/>
        </w:rPr>
        <w:t>.</w:t>
      </w:r>
      <w:r>
        <w:rPr>
          <w:snapToGrid w:val="0"/>
        </w:rPr>
        <w:tab/>
      </w:r>
      <w:r>
        <w:rPr>
          <w:snapToGrid w:val="0"/>
          <w:spacing w:val="-4"/>
        </w:rPr>
        <w:t>Ammunition excluded from ammunition collector’s licence</w:t>
      </w:r>
      <w:bookmarkEnd w:id="15"/>
    </w:p>
    <w:p>
      <w:pPr>
        <w:pStyle w:val="Subsection"/>
        <w:keepNext/>
        <w:spacing w:before="180"/>
        <w:rPr>
          <w:snapToGrid w:val="0"/>
        </w:rPr>
      </w:pPr>
      <w:r>
        <w:rPr>
          <w:snapToGrid w:val="0"/>
        </w:rPr>
        <w:tab/>
      </w:r>
      <w:r>
        <w:rPr>
          <w:snapToGrid w:val="0"/>
        </w:rPr>
        <w:tab/>
        <w:t xml:space="preserve">An ammunition collector’s licence does not apply to ammunition specified in </w:t>
      </w:r>
      <w:r>
        <w:t>Schedule 2A.</w:t>
      </w:r>
    </w:p>
    <w:p>
      <w:pPr>
        <w:pStyle w:val="Footnotesection"/>
        <w:ind w:left="890" w:hanging="890"/>
      </w:pPr>
      <w:r>
        <w:tab/>
        <w:t xml:space="preserve">[Regulation 4A inserted: Gazette 6 Dec 1996 p. 6797; amended: SL 2023/46 r. 5.]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6" w:name="_Toc155081013"/>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6"/>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lastRenderedPageBreak/>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17" w:name="_Toc155081014"/>
      <w:r>
        <w:rPr>
          <w:rStyle w:val="CharSectno"/>
        </w:rPr>
        <w:t>6A</w:t>
      </w:r>
      <w:r>
        <w:rPr>
          <w:snapToGrid w:val="0"/>
        </w:rPr>
        <w:t>.</w:t>
      </w:r>
      <w:r>
        <w:rPr>
          <w:snapToGrid w:val="0"/>
        </w:rPr>
        <w:tab/>
        <w:t>Categories of firearms (Sch. 3)</w:t>
      </w:r>
      <w:bookmarkEnd w:id="17"/>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w:t>
      </w:r>
      <w:r>
        <w:rPr>
          <w:snapToGrid w:val="0"/>
        </w:rPr>
        <w:lastRenderedPageBreak/>
        <w:t>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18" w:name="_Toc155081015"/>
      <w:r>
        <w:rPr>
          <w:rStyle w:val="CharSectno"/>
        </w:rPr>
        <w:t>6B</w:t>
      </w:r>
      <w:r>
        <w:t>.</w:t>
      </w:r>
      <w:r>
        <w:rPr>
          <w:rStyle w:val="CharSectno"/>
        </w:rPr>
        <w:tab/>
      </w:r>
      <w:r>
        <w:t>Kinds of firearms for penalties (Act s. 19(1))</w:t>
      </w:r>
      <w:bookmarkEnd w:id="18"/>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9" w:name="_Toc155081016"/>
      <w:r>
        <w:rPr>
          <w:rStyle w:val="CharSectno"/>
        </w:rPr>
        <w:t>6C</w:t>
      </w:r>
      <w:r>
        <w:t>.</w:t>
      </w:r>
      <w:r>
        <w:tab/>
        <w:t>Terms used</w:t>
      </w:r>
      <w:bookmarkEnd w:id="1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keepNext/>
        <w:spacing w:before="120"/>
      </w:pPr>
      <w:r>
        <w:lastRenderedPageBreak/>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0" w:name="_Toc155081017"/>
      <w:r>
        <w:rPr>
          <w:rStyle w:val="CharSectno"/>
        </w:rPr>
        <w:t>6D</w:t>
      </w:r>
      <w:r>
        <w:t>.</w:t>
      </w:r>
      <w:r>
        <w:tab/>
        <w:t>Information about close associates of applicant for issue or renewal of dealer’s licence</w:t>
      </w:r>
      <w:bookmarkEnd w:id="2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1" w:name="_Toc155081018"/>
      <w:r>
        <w:rPr>
          <w:rStyle w:val="CharSectno"/>
        </w:rPr>
        <w:t>6E</w:t>
      </w:r>
      <w:r>
        <w:t>.</w:t>
      </w:r>
      <w:r>
        <w:tab/>
        <w:t>Dealer’s licences — restrictions on issue</w:t>
      </w:r>
      <w:bookmarkEnd w:id="21"/>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keepNext/>
        <w:spacing w:before="100"/>
      </w:pPr>
      <w:r>
        <w:tab/>
        <w:t>(b)</w:t>
      </w:r>
      <w:r>
        <w:tab/>
        <w:t xml:space="preserve">is of the opinion that a person who will be (if the licence is issued or renewed) a close associate of the applicant is </w:t>
      </w:r>
      <w:r>
        <w:lastRenderedPageBreak/>
        <w:t>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22" w:name="_Toc155081019"/>
      <w:r>
        <w:rPr>
          <w:rStyle w:val="CharSectno"/>
        </w:rPr>
        <w:t>6F</w:t>
      </w:r>
      <w:r>
        <w:t>.</w:t>
      </w:r>
      <w:r>
        <w:tab/>
        <w:t>Condition on dealer’s licence — persons not to be involved in firearms dealing business</w:t>
      </w:r>
      <w:bookmarkEnd w:id="22"/>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keepNext/>
        <w:keepLines w:val="0"/>
      </w:pPr>
      <w:r>
        <w:tab/>
        <w:t>(ii)</w:t>
      </w:r>
      <w:r>
        <w:tab/>
        <w:t xml:space="preserve">the Commissioner considered that the issue of the licence or grant of the permit or approval to </w:t>
      </w:r>
      <w:r>
        <w:lastRenderedPageBreak/>
        <w:t>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23" w:name="_Toc155081020"/>
      <w:r>
        <w:rPr>
          <w:rStyle w:val="CharSectno"/>
        </w:rPr>
        <w:t>6G</w:t>
      </w:r>
      <w:r>
        <w:t>.</w:t>
      </w:r>
      <w:r>
        <w:tab/>
        <w:t>Condition on dealer’s licence — information about close associates to be provided</w:t>
      </w:r>
      <w:bookmarkEnd w:id="23"/>
    </w:p>
    <w:p>
      <w:pPr>
        <w:pStyle w:val="Subsection"/>
        <w:keepNext/>
      </w:pPr>
      <w:r>
        <w:tab/>
        <w:t>(1)</w:t>
      </w:r>
      <w:r>
        <w:tab/>
        <w:t xml:space="preserve">A dealer’s licence may be made subject to the condition that whenever a person ceases to be or becomes a close associate of </w:t>
      </w:r>
      <w:r>
        <w:lastRenderedPageBreak/>
        <w:t>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keepNext/>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4" w:name="_Toc155081021"/>
      <w:r>
        <w:rPr>
          <w:rStyle w:val="CharSectno"/>
        </w:rPr>
        <w:t>7</w:t>
      </w:r>
      <w:r>
        <w:rPr>
          <w:snapToGrid w:val="0"/>
        </w:rPr>
        <w:t>.</w:t>
      </w:r>
      <w:r>
        <w:rPr>
          <w:snapToGrid w:val="0"/>
        </w:rPr>
        <w:tab/>
        <w:t>Applications for licences and permits</w:t>
      </w:r>
      <w:bookmarkEnd w:id="24"/>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lastRenderedPageBreak/>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25" w:name="_Toc155081022"/>
      <w:r>
        <w:rPr>
          <w:rStyle w:val="CharSectno"/>
        </w:rPr>
        <w:t>7A</w:t>
      </w:r>
      <w:r>
        <w:rPr>
          <w:snapToGrid w:val="0"/>
        </w:rPr>
        <w:t>.</w:t>
      </w:r>
      <w:r>
        <w:rPr>
          <w:snapToGrid w:val="0"/>
        </w:rPr>
        <w:tab/>
        <w:t>Extract of licence</w:t>
      </w:r>
      <w:bookmarkEnd w:id="2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lastRenderedPageBreak/>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26" w:name="_Toc155081023"/>
      <w:r>
        <w:rPr>
          <w:rStyle w:val="CharSectno"/>
        </w:rPr>
        <w:lastRenderedPageBreak/>
        <w:t>7B</w:t>
      </w:r>
      <w:r>
        <w:rPr>
          <w:snapToGrid w:val="0"/>
        </w:rPr>
        <w:t>.</w:t>
      </w:r>
      <w:r>
        <w:rPr>
          <w:snapToGrid w:val="0"/>
        </w:rPr>
        <w:tab/>
        <w:t>Identity check</w:t>
      </w:r>
      <w:bookmarkEnd w:id="26"/>
      <w:r>
        <w:rPr>
          <w:snapToGrid w:val="0"/>
        </w:rPr>
        <w:t xml:space="preserve"> </w:t>
      </w:r>
    </w:p>
    <w:p>
      <w:pPr>
        <w:pStyle w:val="Subsection"/>
        <w:keepNext/>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27" w:name="_Toc155081024"/>
      <w:r>
        <w:rPr>
          <w:rStyle w:val="CharSectno"/>
        </w:rPr>
        <w:t>8</w:t>
      </w:r>
      <w:r>
        <w:rPr>
          <w:snapToGrid w:val="0"/>
        </w:rPr>
        <w:t>.</w:t>
      </w:r>
      <w:r>
        <w:rPr>
          <w:snapToGrid w:val="0"/>
        </w:rPr>
        <w:tab/>
        <w:t>Issue of duplicate licences and permits</w:t>
      </w:r>
      <w:bookmarkEnd w:id="27"/>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28" w:name="_Toc155081025"/>
      <w:r>
        <w:rPr>
          <w:rStyle w:val="CharSectno"/>
        </w:rPr>
        <w:lastRenderedPageBreak/>
        <w:t>9</w:t>
      </w:r>
      <w:r>
        <w:t>.</w:t>
      </w:r>
      <w:r>
        <w:tab/>
        <w:t>Notification of certain events by licence and permit holders</w:t>
      </w:r>
      <w:bookmarkEnd w:id="28"/>
    </w:p>
    <w:p>
      <w:pPr>
        <w:pStyle w:val="Subsection"/>
        <w:keepNext/>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29" w:name="_Toc155081026"/>
      <w:r>
        <w:rPr>
          <w:rStyle w:val="CharSectno"/>
        </w:rPr>
        <w:t>10</w:t>
      </w:r>
      <w:r>
        <w:rPr>
          <w:snapToGrid w:val="0"/>
        </w:rPr>
        <w:t>.</w:t>
      </w:r>
      <w:r>
        <w:rPr>
          <w:snapToGrid w:val="0"/>
        </w:rPr>
        <w:tab/>
        <w:t>Guided hunting tours</w:t>
      </w:r>
      <w:bookmarkEnd w:id="2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30" w:name="_Toc155081027"/>
      <w:r>
        <w:rPr>
          <w:rStyle w:val="CharSectno"/>
        </w:rPr>
        <w:lastRenderedPageBreak/>
        <w:t>11</w:t>
      </w:r>
      <w:r>
        <w:rPr>
          <w:snapToGrid w:val="0"/>
        </w:rPr>
        <w:t>.</w:t>
      </w:r>
      <w:r>
        <w:rPr>
          <w:snapToGrid w:val="0"/>
        </w:rPr>
        <w:tab/>
        <w:t>Safe custody (Act s. 33(3))</w:t>
      </w:r>
      <w:bookmarkEnd w:id="30"/>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w:t>
      </w:r>
      <w:r>
        <w:lastRenderedPageBreak/>
        <w:t xml:space="preserve">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31" w:name="_Toc155081028"/>
      <w:r>
        <w:rPr>
          <w:rStyle w:val="CharSectno"/>
        </w:rPr>
        <w:t>11A</w:t>
      </w:r>
      <w:r>
        <w:rPr>
          <w:snapToGrid w:val="0"/>
        </w:rPr>
        <w:t>.</w:t>
      </w:r>
      <w:r>
        <w:rPr>
          <w:snapToGrid w:val="0"/>
        </w:rPr>
        <w:tab/>
        <w:t>Storage security requirements (Sch. 4)</w:t>
      </w:r>
      <w:bookmarkEnd w:id="31"/>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 xml:space="preserve">or major firearm part is stored and which is securely </w:t>
      </w:r>
      <w:r>
        <w:rPr>
          <w:snapToGrid w:val="0"/>
        </w:rPr>
        <w:lastRenderedPageBreak/>
        <w:t>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32" w:name="_Toc155081029"/>
      <w:r>
        <w:rPr>
          <w:rStyle w:val="CharSectno"/>
        </w:rPr>
        <w:t>11C</w:t>
      </w:r>
      <w:r>
        <w:rPr>
          <w:snapToGrid w:val="0"/>
        </w:rPr>
        <w:t>.</w:t>
      </w:r>
      <w:r>
        <w:rPr>
          <w:snapToGrid w:val="0"/>
        </w:rPr>
        <w:tab/>
        <w:t>Declaration as to storage facilities</w:t>
      </w:r>
      <w:bookmarkEnd w:id="3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33" w:name="_Toc155081030"/>
      <w:r>
        <w:rPr>
          <w:rStyle w:val="CharSectno"/>
        </w:rPr>
        <w:t>12</w:t>
      </w:r>
      <w:r>
        <w:t>.</w:t>
      </w:r>
      <w:r>
        <w:tab/>
        <w:t>Disposal</w:t>
      </w:r>
      <w:bookmarkEnd w:id="3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34" w:name="_Toc155081031"/>
      <w:r>
        <w:rPr>
          <w:rStyle w:val="CharSectno"/>
        </w:rPr>
        <w:lastRenderedPageBreak/>
        <w:t>13</w:t>
      </w:r>
      <w:r>
        <w:rPr>
          <w:snapToGrid w:val="0"/>
        </w:rPr>
        <w:t>.</w:t>
      </w:r>
      <w:r>
        <w:rPr>
          <w:snapToGrid w:val="0"/>
        </w:rPr>
        <w:tab/>
        <w:t>Revocation of licence</w:t>
      </w:r>
      <w:bookmarkEnd w:id="34"/>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35" w:name="_Toc155081032"/>
      <w:r>
        <w:rPr>
          <w:rStyle w:val="CharSectno"/>
        </w:rPr>
        <w:t>15</w:t>
      </w:r>
      <w:r>
        <w:rPr>
          <w:snapToGrid w:val="0"/>
        </w:rPr>
        <w:t>.</w:t>
      </w:r>
      <w:r>
        <w:rPr>
          <w:snapToGrid w:val="0"/>
        </w:rPr>
        <w:tab/>
        <w:t>Shooting galleries</w:t>
      </w:r>
      <w:bookmarkEnd w:id="35"/>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 xml:space="preserve">cause the letting to hire and use by any person of any firearm in the shooting gallery to be under the </w:t>
      </w:r>
      <w:r>
        <w:rPr>
          <w:snapToGrid w:val="0"/>
        </w:rPr>
        <w:lastRenderedPageBreak/>
        <w:t>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36" w:name="_Toc155081033"/>
      <w:r>
        <w:rPr>
          <w:rStyle w:val="CharSectno"/>
        </w:rPr>
        <w:t>16</w:t>
      </w:r>
      <w:r>
        <w:rPr>
          <w:snapToGrid w:val="0"/>
        </w:rPr>
        <w:t>.</w:t>
      </w:r>
      <w:r>
        <w:rPr>
          <w:snapToGrid w:val="0"/>
        </w:rPr>
        <w:tab/>
        <w:t>Reloaded ammunition</w:t>
      </w:r>
      <w:bookmarkEnd w:id="36"/>
      <w:r>
        <w:rPr>
          <w:snapToGrid w:val="0"/>
        </w:rPr>
        <w:t xml:space="preserve"> </w:t>
      </w:r>
    </w:p>
    <w:p>
      <w:pPr>
        <w:pStyle w:val="Subsection"/>
        <w:rPr>
          <w:snapToGrid w:val="0"/>
        </w:rPr>
      </w:pPr>
      <w:r>
        <w:rPr>
          <w:snapToGrid w:val="0"/>
        </w:rPr>
        <w:tab/>
        <w:t>(1)</w:t>
      </w:r>
      <w:r>
        <w:rPr>
          <w:snapToGrid w:val="0"/>
        </w:rPr>
        <w:tab/>
        <w:t xml:space="preserve">A person licensed as a dealer or manufacturer must, before selling or disposing of any item of reloaded ammunition, </w:t>
      </w:r>
      <w:r>
        <w:rPr>
          <w:snapToGrid w:val="0"/>
        </w:rPr>
        <w:lastRenderedPageBreak/>
        <w:t>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37" w:name="_Toc155081034"/>
      <w:r>
        <w:rPr>
          <w:rStyle w:val="CharSectno"/>
        </w:rPr>
        <w:t>17</w:t>
      </w:r>
      <w:r>
        <w:rPr>
          <w:snapToGrid w:val="0"/>
        </w:rPr>
        <w:t>.</w:t>
      </w:r>
      <w:r>
        <w:rPr>
          <w:snapToGrid w:val="0"/>
        </w:rPr>
        <w:tab/>
        <w:t>Records of ammunition sales (Act s. 30(3))</w:t>
      </w:r>
      <w:bookmarkEnd w:id="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w:t>
      </w:r>
      <w:r>
        <w:rPr>
          <w:snapToGrid w:val="0"/>
        </w:rPr>
        <w:lastRenderedPageBreak/>
        <w:t xml:space="preserve">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38" w:name="_Toc155081035"/>
      <w:r>
        <w:rPr>
          <w:rStyle w:val="CharSectno"/>
        </w:rPr>
        <w:t>18</w:t>
      </w:r>
      <w:r>
        <w:rPr>
          <w:snapToGrid w:val="0"/>
        </w:rPr>
        <w:t>.</w:t>
      </w:r>
      <w:r>
        <w:rPr>
          <w:snapToGrid w:val="0"/>
        </w:rPr>
        <w:tab/>
        <w:t>Records of firearms dealings (Act s. 31(2))</w:t>
      </w:r>
      <w:bookmarkEnd w:id="38"/>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lastRenderedPageBreak/>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39" w:name="_Toc155081036"/>
      <w:r>
        <w:rPr>
          <w:rStyle w:val="CharSectno"/>
        </w:rPr>
        <w:t>19</w:t>
      </w:r>
      <w:r>
        <w:rPr>
          <w:snapToGrid w:val="0"/>
        </w:rPr>
        <w:t>.</w:t>
      </w:r>
      <w:r>
        <w:rPr>
          <w:snapToGrid w:val="0"/>
        </w:rPr>
        <w:tab/>
        <w:t>Manufacturer’s licence holders</w:t>
      </w:r>
      <w:bookmarkEnd w:id="39"/>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lastRenderedPageBreak/>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40" w:name="_Toc155081037"/>
      <w:r>
        <w:rPr>
          <w:rStyle w:val="CharSectno"/>
        </w:rPr>
        <w:t>19A</w:t>
      </w:r>
      <w:r>
        <w:rPr>
          <w:snapToGrid w:val="0"/>
        </w:rPr>
        <w:t>.</w:t>
      </w:r>
      <w:r>
        <w:rPr>
          <w:snapToGrid w:val="0"/>
        </w:rPr>
        <w:tab/>
        <w:t>Records for ammunition collector’s licence</w:t>
      </w:r>
      <w:bookmarkEnd w:id="4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41" w:name="_Toc155081038"/>
      <w:r>
        <w:rPr>
          <w:rStyle w:val="CharSectno"/>
        </w:rPr>
        <w:lastRenderedPageBreak/>
        <w:t>20</w:t>
      </w:r>
      <w:r>
        <w:t>.</w:t>
      </w:r>
      <w:r>
        <w:tab/>
        <w:t>Limits on premises identified in certain licences</w:t>
      </w:r>
      <w:bookmarkEnd w:id="41"/>
    </w:p>
    <w:p>
      <w:pPr>
        <w:pStyle w:val="Subsection"/>
        <w:keepNext/>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42" w:name="_Toc155081039"/>
      <w:r>
        <w:rPr>
          <w:rStyle w:val="CharSectno"/>
        </w:rPr>
        <w:t>21</w:t>
      </w:r>
      <w:r>
        <w:t>.</w:t>
      </w:r>
      <w:r>
        <w:tab/>
        <w:t xml:space="preserve">Register </w:t>
      </w:r>
      <w:r>
        <w:rPr>
          <w:snapToGrid w:val="0"/>
        </w:rPr>
        <w:t>(Act s. 31(1))</w:t>
      </w:r>
      <w:bookmarkEnd w:id="4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lastRenderedPageBreak/>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43" w:name="_Toc155081040"/>
      <w:r>
        <w:rPr>
          <w:rStyle w:val="CharSectno"/>
        </w:rPr>
        <w:lastRenderedPageBreak/>
        <w:t>22</w:t>
      </w:r>
      <w:r>
        <w:t>.</w:t>
      </w:r>
      <w:r>
        <w:tab/>
        <w:t>Search warrants (Act s. 26)</w:t>
      </w:r>
      <w:bookmarkEnd w:id="4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4" w:name="_Toc155081041"/>
      <w:r>
        <w:rPr>
          <w:rStyle w:val="CharSectno"/>
        </w:rPr>
        <w:t>22A</w:t>
      </w:r>
      <w:r>
        <w:rPr>
          <w:snapToGrid w:val="0"/>
        </w:rPr>
        <w:t>.</w:t>
      </w:r>
      <w:r>
        <w:rPr>
          <w:snapToGrid w:val="0"/>
        </w:rPr>
        <w:tab/>
        <w:t>Entry without warrant (Act s. 24(2a) and (7)(b))</w:t>
      </w:r>
      <w:bookmarkEnd w:id="44"/>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lastRenderedPageBreak/>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45" w:name="_Toc155081042"/>
      <w:r>
        <w:rPr>
          <w:rStyle w:val="CharSectno"/>
        </w:rPr>
        <w:t>23</w:t>
      </w:r>
      <w:r>
        <w:rPr>
          <w:snapToGrid w:val="0"/>
        </w:rPr>
        <w:t>.</w:t>
      </w:r>
      <w:r>
        <w:rPr>
          <w:snapToGrid w:val="0"/>
        </w:rPr>
        <w:tab/>
        <w:t>Offences</w:t>
      </w:r>
      <w:bookmarkEnd w:id="4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6" w:name="_Toc155081043"/>
      <w:r>
        <w:rPr>
          <w:rStyle w:val="CharSectno"/>
        </w:rPr>
        <w:t>24</w:t>
      </w:r>
      <w:r>
        <w:rPr>
          <w:snapToGrid w:val="0"/>
        </w:rPr>
        <w:t>.</w:t>
      </w:r>
      <w:r>
        <w:rPr>
          <w:snapToGrid w:val="0"/>
        </w:rPr>
        <w:tab/>
        <w:t>Safety standards and tests (Act s. 18(5))</w:t>
      </w:r>
      <w:bookmarkEnd w:id="4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lastRenderedPageBreak/>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lastRenderedPageBreak/>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47" w:name="_Toc155081044"/>
      <w:r>
        <w:rPr>
          <w:rStyle w:val="CharSectno"/>
        </w:rPr>
        <w:lastRenderedPageBreak/>
        <w:t>25A</w:t>
      </w:r>
      <w:r>
        <w:t>.</w:t>
      </w:r>
      <w:r>
        <w:tab/>
        <w:t>Firearm serviceability certificates</w:t>
      </w:r>
      <w:bookmarkEnd w:id="4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48" w:name="_Toc155081045"/>
      <w:r>
        <w:rPr>
          <w:rStyle w:val="CharSectno"/>
        </w:rPr>
        <w:t>25</w:t>
      </w:r>
      <w:r>
        <w:t>.</w:t>
      </w:r>
      <w:r>
        <w:tab/>
        <w:t>Members of Police Force permitted to perform certain Commissioner’s functions</w:t>
      </w:r>
      <w:bookmarkEnd w:id="4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lastRenderedPageBreak/>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lastRenderedPageBreak/>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49" w:name="_Toc155081046"/>
      <w:r>
        <w:rPr>
          <w:rStyle w:val="CharSectno"/>
        </w:rPr>
        <w:t>26</w:t>
      </w:r>
      <w:r>
        <w:rPr>
          <w:snapToGrid w:val="0"/>
        </w:rPr>
        <w:t>.</w:t>
      </w:r>
      <w:r>
        <w:rPr>
          <w:snapToGrid w:val="0"/>
        </w:rPr>
        <w:tab/>
        <w:t>Prohibited firearms and ammunition</w:t>
      </w:r>
      <w:bookmarkEnd w:id="49"/>
    </w:p>
    <w:p>
      <w:pPr>
        <w:pStyle w:val="Subsection"/>
        <w:rPr>
          <w:snapToGrid w:val="0"/>
        </w:rPr>
      </w:pPr>
      <w:r>
        <w:rPr>
          <w:snapToGrid w:val="0"/>
        </w:rPr>
        <w:tab/>
        <w:t>(1)</w:t>
      </w:r>
      <w:r>
        <w:rPr>
          <w:snapToGrid w:val="0"/>
        </w:rPr>
        <w:tab/>
        <w:t xml:space="preserve">Subject to </w:t>
      </w:r>
      <w:r>
        <w:t xml:space="preserve">subregulations (1A), (2), (2AA), (2A), (2BA), (2BB) and (2BC), </w:t>
      </w:r>
      <w:r>
        <w:rPr>
          <w:snapToGrid w:val="0"/>
        </w:rPr>
        <w:t xml:space="preserve">the acquisition, sale, possession or use of a firearm, major firearm part, sound suppressor or ammunition specified in </w:t>
      </w:r>
      <w:r>
        <w:t>Schedule 2A is prohibited.</w:t>
      </w:r>
    </w:p>
    <w:p>
      <w:pPr>
        <w:pStyle w:val="Subsection"/>
      </w:pPr>
      <w:r>
        <w:tab/>
        <w:t>(1A)</w:t>
      </w:r>
      <w:r>
        <w:tab/>
        <w:t>Subregulation (1) does not apply to —</w:t>
      </w:r>
    </w:p>
    <w:p>
      <w:pPr>
        <w:pStyle w:val="Indenta"/>
        <w:rPr>
          <w:snapToGrid w:val="0"/>
        </w:rPr>
      </w:pPr>
      <w:r>
        <w:tab/>
        <w:t>(a)</w:t>
      </w:r>
      <w:r>
        <w:tab/>
        <w:t xml:space="preserve">a member of the </w:t>
      </w:r>
      <w:r>
        <w:rPr>
          <w:snapToGrid w:val="0"/>
        </w:rPr>
        <w:t>Police Force in the performance of the member’s duties; or</w:t>
      </w:r>
    </w:p>
    <w:p>
      <w:pPr>
        <w:pStyle w:val="Indenta"/>
      </w:pPr>
      <w:r>
        <w:tab/>
        <w:t>(b)</w:t>
      </w:r>
      <w:r>
        <w:tab/>
        <w:t>an employee of the Department in the performance of the employee’s duties; or</w:t>
      </w:r>
    </w:p>
    <w:p>
      <w:pPr>
        <w:pStyle w:val="Indenta"/>
      </w:pPr>
      <w:r>
        <w:tab/>
        <w:t>(c)</w:t>
      </w:r>
      <w:r>
        <w:tab/>
        <w:t>a member of the police force of another State or a Territory in the performance of the member’s duties; or</w:t>
      </w:r>
    </w:p>
    <w:p>
      <w:pPr>
        <w:pStyle w:val="Indenta"/>
      </w:pPr>
      <w:r>
        <w:tab/>
        <w:t>(d)</w:t>
      </w:r>
      <w:r>
        <w:tab/>
        <w:t>a member of the Australian Federal Police in the performance of the member’s duties.</w:t>
      </w:r>
    </w:p>
    <w:p>
      <w:pPr>
        <w:pStyle w:val="Subsection"/>
        <w:rPr>
          <w:snapToGrid w:val="0"/>
        </w:rPr>
      </w:pPr>
      <w:r>
        <w:rPr>
          <w:snapToGrid w:val="0"/>
        </w:rPr>
        <w:lastRenderedPageBreak/>
        <w:tab/>
        <w:t>(2)</w:t>
      </w:r>
      <w:r>
        <w:rPr>
          <w:snapToGrid w:val="0"/>
        </w:rPr>
        <w:tab/>
      </w:r>
      <w:r>
        <w:t xml:space="preserve">Subregulation (1) </w:t>
      </w:r>
      <w:r>
        <w:rPr>
          <w:snapToGrid w:val="0"/>
        </w:rPr>
        <w:t xml:space="preserve">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Subsection"/>
      </w:pPr>
      <w:r>
        <w:tab/>
        <w:t>(2AA)</w:t>
      </w:r>
      <w:r>
        <w:tab/>
        <w:t>Subregulation (1) does not apply to a firearm (other than a category D firearm), major firearm part, sound suppressor or ammunition specified in Schedule 2A if —</w:t>
      </w:r>
    </w:p>
    <w:p>
      <w:pPr>
        <w:pStyle w:val="Indenta"/>
      </w:pPr>
      <w:r>
        <w:tab/>
        <w:t>(a)</w:t>
      </w:r>
      <w:r>
        <w:tab/>
        <w:t xml:space="preserve">the firearm, major firearm part, sound suppressor or ammunition </w:t>
      </w:r>
      <w:r>
        <w:rPr>
          <w:snapToGrid w:val="0"/>
        </w:rPr>
        <w:t>is named and identified in a licence issued to a Government department approved under section 16D of the Act</w:t>
      </w:r>
      <w:r>
        <w:t>; and</w:t>
      </w:r>
    </w:p>
    <w:p>
      <w:pPr>
        <w:pStyle w:val="Indenta"/>
      </w:pPr>
      <w:r>
        <w:tab/>
        <w:t>(b)</w:t>
      </w:r>
      <w:r>
        <w:tab/>
        <w:t>the firearm, major firearm part, sound suppressor or ammunition is acquired, sold, possessed or used (as the case requires) in accordance with the licence.</w:t>
      </w:r>
    </w:p>
    <w:p>
      <w:pPr>
        <w:pStyle w:val="Subsection"/>
        <w:keepNext/>
      </w:pPr>
      <w:r>
        <w:tab/>
        <w:t>(2A)</w:t>
      </w:r>
      <w:r>
        <w:tab/>
        <w:t xml:space="preserve">Subregulation (1) does not apply to a category D firearm if — </w:t>
      </w:r>
    </w:p>
    <w:p>
      <w:pPr>
        <w:pStyle w:val="Indenta"/>
      </w:pPr>
      <w:r>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the firearm is acquired, sold, possessed or used (as the case requires) in accordance with the licence.</w:t>
      </w:r>
    </w:p>
    <w:p>
      <w:pPr>
        <w:pStyle w:val="Subsection"/>
        <w:keepNext/>
      </w:pPr>
      <w:r>
        <w:tab/>
        <w:t>(2BA)</w:t>
      </w:r>
      <w:r>
        <w:tab/>
        <w:t xml:space="preserve">Subregulation (1)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lastRenderedPageBreak/>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Subregulation (1) does not apply to the holder of a dealer’s licence who is authorised by the Commissioner to acquire the firearm or major firearm part for the purpose of selling it — </w:t>
      </w:r>
    </w:p>
    <w:p>
      <w:pPr>
        <w:pStyle w:val="Indenta"/>
      </w:pPr>
      <w:r>
        <w:tab/>
        <w:t>(a)</w:t>
      </w:r>
      <w:r>
        <w:tab/>
        <w:t>to a person referred to in subregulation (1A) or (2); or</w:t>
      </w:r>
    </w:p>
    <w:p>
      <w:pPr>
        <w:pStyle w:val="Indenta"/>
      </w:pPr>
      <w:r>
        <w:tab/>
        <w:t>(b)</w:t>
      </w:r>
      <w:r>
        <w:tab/>
        <w:t>to the holder of a licence for the firearm or major firearm part.</w:t>
      </w:r>
    </w:p>
    <w:p>
      <w:pPr>
        <w:pStyle w:val="Subsection"/>
        <w:keepNext/>
      </w:pPr>
      <w:r>
        <w:tab/>
        <w:t>(2BC)</w:t>
      </w:r>
      <w:r>
        <w:tab/>
        <w:t xml:space="preserve">Subregulation (1)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keepNext/>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keepNext/>
        <w:rPr>
          <w:snapToGrid w:val="0"/>
        </w:rPr>
      </w:pPr>
      <w:r>
        <w:rPr>
          <w:snapToGrid w:val="0"/>
        </w:rPr>
        <w:lastRenderedPageBreak/>
        <w:tab/>
        <w:t>(3)</w:t>
      </w:r>
      <w:r>
        <w:rPr>
          <w:snapToGrid w:val="0"/>
        </w:rPr>
        <w:tab/>
        <w:t>Any firearm, major firearm part, sound suppressor or ammunition the subject of an offence against this regulation is forfeited to the Crown.</w:t>
      </w:r>
    </w:p>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SL 2023/46 r. 6; SL 2023/91 r. 4.] </w:t>
      </w:r>
    </w:p>
    <w:p>
      <w:pPr>
        <w:pStyle w:val="Ednotesection"/>
        <w:spacing w:before="260"/>
      </w:pPr>
      <w:r>
        <w:t>[</w:t>
      </w:r>
      <w:r>
        <w:rPr>
          <w:b/>
        </w:rPr>
        <w:t>26A.</w:t>
      </w:r>
      <w:r>
        <w:rPr>
          <w:b/>
        </w:rPr>
        <w:tab/>
      </w:r>
      <w:r>
        <w:t xml:space="preserve">Deleted: Gazette 6 Dec 1996 p. 6810.] </w:t>
      </w:r>
    </w:p>
    <w:p>
      <w:pPr>
        <w:pStyle w:val="Heading5"/>
        <w:spacing w:before="260"/>
      </w:pPr>
      <w:bookmarkStart w:id="50" w:name="_Toc155081047"/>
      <w:r>
        <w:rPr>
          <w:rStyle w:val="CharSectno"/>
        </w:rPr>
        <w:t>26B</w:t>
      </w:r>
      <w:r>
        <w:t>.</w:t>
      </w:r>
      <w:r>
        <w:tab/>
        <w:t>Certain licences, permits and approvals not to be issued, granted or given</w:t>
      </w:r>
      <w:bookmarkEnd w:id="50"/>
    </w:p>
    <w:p>
      <w:pPr>
        <w:pStyle w:val="Subsection"/>
        <w:keepNext/>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keepNext/>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lastRenderedPageBreak/>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keepNext/>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Lines w:val="0"/>
        <w:rPr>
          <w:snapToGrid w:val="0"/>
        </w:rPr>
      </w:pPr>
      <w:bookmarkStart w:id="51" w:name="_Toc155081048"/>
      <w:r>
        <w:rPr>
          <w:rStyle w:val="CharSectno"/>
        </w:rPr>
        <w:lastRenderedPageBreak/>
        <w:t>27</w:t>
      </w:r>
      <w:r>
        <w:rPr>
          <w:snapToGrid w:val="0"/>
        </w:rPr>
        <w:t>.</w:t>
      </w:r>
      <w:r>
        <w:rPr>
          <w:snapToGrid w:val="0"/>
        </w:rPr>
        <w:tab/>
        <w:t>Infringement notices (Act s. 19A)</w:t>
      </w:r>
      <w:bookmarkEnd w:id="51"/>
    </w:p>
    <w:p>
      <w:pPr>
        <w:pStyle w:val="Subsection"/>
        <w:keepNext/>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2" w:name="_Toc155081049"/>
      <w:r>
        <w:rPr>
          <w:rStyle w:val="CharSchNo"/>
        </w:rPr>
        <w:lastRenderedPageBreak/>
        <w:t>Schedule 1</w:t>
      </w:r>
      <w:r>
        <w:rPr>
          <w:rStyle w:val="CharSDivNo"/>
        </w:rPr>
        <w:t> </w:t>
      </w:r>
      <w:r>
        <w:t>—</w:t>
      </w:r>
      <w:r>
        <w:rPr>
          <w:rStyle w:val="CharSDivText"/>
        </w:rPr>
        <w:t> </w:t>
      </w:r>
      <w:r>
        <w:rPr>
          <w:rStyle w:val="CharSchText"/>
        </w:rPr>
        <w:t>Forms</w:t>
      </w:r>
      <w:bookmarkEnd w:id="52"/>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53" w:name="_Toc155081050"/>
      <w:r>
        <w:rPr>
          <w:rStyle w:val="CharSClsNo"/>
        </w:rPr>
        <w:lastRenderedPageBreak/>
        <w:t>9</w:t>
      </w:r>
      <w:r>
        <w:t>.</w:t>
      </w:r>
      <w:r>
        <w:rPr>
          <w:b w:val="0"/>
        </w:rPr>
        <w:tab/>
      </w:r>
      <w:r>
        <w:rPr>
          <w:bCs/>
          <w:iCs/>
        </w:rPr>
        <w:t>Firearm licence</w:t>
      </w:r>
      <w:bookmarkEnd w:id="53"/>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54" w:name="_Toc155081051"/>
      <w:r>
        <w:rPr>
          <w:rStyle w:val="CharSClsNo"/>
        </w:rPr>
        <w:lastRenderedPageBreak/>
        <w:t>10</w:t>
      </w:r>
      <w:r>
        <w:t>.</w:t>
      </w:r>
      <w:r>
        <w:rPr>
          <w:b w:val="0"/>
        </w:rPr>
        <w:tab/>
      </w:r>
      <w:r>
        <w:rPr>
          <w:bCs/>
          <w:iCs/>
        </w:rPr>
        <w:t>Firearm collector’s licence</w:t>
      </w:r>
      <w:bookmarkEnd w:id="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lastRenderedPageBreak/>
        <w:tab/>
        <w:t>[Form 10 inserted: Gazette 16 Nov 2007 p. 5757</w:t>
      </w:r>
      <w:r>
        <w:noBreakHyphen/>
        <w:t>8; amended: SL 2022/190 r. 32(3).]</w:t>
      </w:r>
    </w:p>
    <w:p>
      <w:pPr>
        <w:pStyle w:val="yHeading5"/>
        <w:pageBreakBefore/>
        <w:spacing w:before="120" w:after="120"/>
      </w:pPr>
      <w:bookmarkStart w:id="55" w:name="_Toc155081052"/>
      <w:r>
        <w:rPr>
          <w:rStyle w:val="CharSClsNo"/>
        </w:rPr>
        <w:lastRenderedPageBreak/>
        <w:t>11</w:t>
      </w:r>
      <w:r>
        <w:t>.</w:t>
      </w:r>
      <w:r>
        <w:rPr>
          <w:b w:val="0"/>
        </w:rPr>
        <w:tab/>
      </w:r>
      <w:r>
        <w:rPr>
          <w:bCs/>
          <w:iCs/>
        </w:rPr>
        <w:t>Corporate licence</w:t>
      </w:r>
      <w:bookmarkEnd w:id="55"/>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56" w:name="_Toc155081053"/>
      <w:r>
        <w:rPr>
          <w:rStyle w:val="CharSClsNo"/>
        </w:rPr>
        <w:lastRenderedPageBreak/>
        <w:t>12</w:t>
      </w:r>
      <w:r>
        <w:t>.</w:t>
      </w:r>
      <w:r>
        <w:rPr>
          <w:b w:val="0"/>
        </w:rPr>
        <w:tab/>
      </w:r>
      <w:r>
        <w:rPr>
          <w:bCs/>
          <w:iCs/>
        </w:rPr>
        <w:t>Dealer’s licence</w:t>
      </w:r>
      <w:bookmarkEnd w:id="5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57" w:name="_Toc155081054"/>
      <w:r>
        <w:rPr>
          <w:rStyle w:val="CharSClsNo"/>
        </w:rPr>
        <w:lastRenderedPageBreak/>
        <w:t>13</w:t>
      </w:r>
      <w:r>
        <w:t>.</w:t>
      </w:r>
      <w:r>
        <w:rPr>
          <w:b w:val="0"/>
        </w:rPr>
        <w:tab/>
      </w:r>
      <w:r>
        <w:rPr>
          <w:bCs/>
          <w:iCs/>
        </w:rPr>
        <w:t>Repairer’s licence</w:t>
      </w:r>
      <w:bookmarkEnd w:id="5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lastRenderedPageBreak/>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58" w:name="_Toc155081055"/>
      <w:r>
        <w:rPr>
          <w:rStyle w:val="CharSClsNo"/>
        </w:rPr>
        <w:lastRenderedPageBreak/>
        <w:t>14</w:t>
      </w:r>
      <w:r>
        <w:t>.</w:t>
      </w:r>
      <w:r>
        <w:rPr>
          <w:b w:val="0"/>
        </w:rPr>
        <w:tab/>
      </w:r>
      <w:r>
        <w:rPr>
          <w:bCs/>
          <w:iCs/>
        </w:rPr>
        <w:t>Manufacturer’s licence</w:t>
      </w:r>
      <w:bookmarkEnd w:id="5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lastRenderedPageBreak/>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59" w:name="_Toc155081056"/>
      <w:r>
        <w:rPr>
          <w:rStyle w:val="CharSClsNo"/>
        </w:rPr>
        <w:lastRenderedPageBreak/>
        <w:t>15</w:t>
      </w:r>
      <w:r>
        <w:t>.</w:t>
      </w:r>
      <w:r>
        <w:rPr>
          <w:b w:val="0"/>
        </w:rPr>
        <w:tab/>
      </w:r>
      <w:r>
        <w:rPr>
          <w:bCs/>
          <w:iCs/>
        </w:rPr>
        <w:t>Shooting gallery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60" w:name="_Toc155081057"/>
      <w:r>
        <w:rPr>
          <w:rStyle w:val="CharSClsNo"/>
        </w:rPr>
        <w:lastRenderedPageBreak/>
        <w:t>16</w:t>
      </w:r>
      <w:r>
        <w:t>.</w:t>
      </w:r>
      <w:r>
        <w:rPr>
          <w:b w:val="0"/>
        </w:rPr>
        <w:tab/>
      </w:r>
      <w:r>
        <w:rPr>
          <w:bCs/>
          <w:iCs/>
        </w:rPr>
        <w:t>Ammunition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61" w:name="_Toc155081058"/>
      <w:r>
        <w:rPr>
          <w:rStyle w:val="CharSClsNo"/>
        </w:rPr>
        <w:lastRenderedPageBreak/>
        <w:t>17</w:t>
      </w:r>
      <w:r>
        <w:t>.</w:t>
      </w:r>
      <w:r>
        <w:rPr>
          <w:b w:val="0"/>
        </w:rPr>
        <w:tab/>
      </w:r>
      <w:r>
        <w:rPr>
          <w:bCs/>
        </w:rPr>
        <w:t>Pe</w:t>
      </w:r>
      <w:r>
        <w:rPr>
          <w:bCs/>
          <w:iCs/>
        </w:rPr>
        <w:t>rmit (Act s. 17)</w:t>
      </w:r>
      <w:bookmarkEnd w:id="61"/>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62" w:name="_Toc155081059"/>
      <w:r>
        <w:rPr>
          <w:rStyle w:val="CharSClsNo"/>
        </w:rPr>
        <w:lastRenderedPageBreak/>
        <w:t>18</w:t>
      </w:r>
      <w:r>
        <w:t>.</w:t>
      </w:r>
      <w:r>
        <w:rPr>
          <w:b w:val="0"/>
        </w:rPr>
        <w:tab/>
      </w:r>
      <w:r>
        <w:rPr>
          <w:bCs/>
          <w:iCs/>
        </w:rPr>
        <w:t>Interstate group permit (Act s. 17A)</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63" w:name="_Toc155081060"/>
      <w:r>
        <w:rPr>
          <w:rStyle w:val="CharSClsNo"/>
        </w:rPr>
        <w:lastRenderedPageBreak/>
        <w:t>22</w:t>
      </w:r>
      <w:r>
        <w:rPr>
          <w:bCs/>
          <w:iCs/>
        </w:rPr>
        <w:t>.</w:t>
      </w:r>
      <w:r>
        <w:rPr>
          <w:bCs/>
          <w:iCs/>
        </w:rPr>
        <w:tab/>
        <w:t>Storage statement (r. 11C)</w:t>
      </w:r>
      <w:bookmarkEnd w:id="6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lastRenderedPageBreak/>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64" w:name="_Toc155081061"/>
      <w:r>
        <w:rPr>
          <w:rStyle w:val="CharSClsNo"/>
        </w:rPr>
        <w:lastRenderedPageBreak/>
        <w:t>23</w:t>
      </w:r>
      <w:r>
        <w:t>.</w:t>
      </w:r>
      <w:r>
        <w:rPr>
          <w:b w:val="0"/>
        </w:rPr>
        <w:tab/>
      </w:r>
      <w:r>
        <w:rPr>
          <w:bCs/>
          <w:iCs/>
        </w:rPr>
        <w:t>Infringement notice (Act s. 19A)</w:t>
      </w:r>
      <w:bookmarkEnd w:id="6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65" w:name="_Toc155081062"/>
      <w:r>
        <w:rPr>
          <w:rStyle w:val="CharSClsNo"/>
        </w:rPr>
        <w:lastRenderedPageBreak/>
        <w:t>24</w:t>
      </w:r>
      <w:r>
        <w:t>.</w:t>
      </w:r>
      <w:r>
        <w:rPr>
          <w:b w:val="0"/>
        </w:rPr>
        <w:tab/>
      </w:r>
      <w:r>
        <w:rPr>
          <w:bCs/>
          <w:iCs/>
        </w:rPr>
        <w:t>Infringement notice withdrawal (Act s. 19A)</w:t>
      </w:r>
      <w:bookmarkEnd w:id="6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66" w:name="_Toc155081063"/>
      <w:r>
        <w:rPr>
          <w:rStyle w:val="CharSClsNo"/>
        </w:rPr>
        <w:lastRenderedPageBreak/>
        <w:t>25</w:t>
      </w:r>
      <w:r>
        <w:t>.</w:t>
      </w:r>
      <w:r>
        <w:rPr>
          <w:b w:val="0"/>
        </w:rPr>
        <w:tab/>
      </w:r>
      <w:r>
        <w:rPr>
          <w:bCs/>
          <w:iCs/>
        </w:rPr>
        <w:t>Application for search warrant (Act s. 26(1))</w:t>
      </w:r>
      <w:bookmarkEnd w:id="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lastRenderedPageBreak/>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67" w:name="_Toc155081064"/>
      <w:r>
        <w:rPr>
          <w:rStyle w:val="CharSClsNo"/>
        </w:rPr>
        <w:lastRenderedPageBreak/>
        <w:t>26</w:t>
      </w:r>
      <w:r>
        <w:t>.</w:t>
      </w:r>
      <w:r>
        <w:rPr>
          <w:b w:val="0"/>
        </w:rPr>
        <w:tab/>
      </w:r>
      <w:r>
        <w:rPr>
          <w:bCs/>
          <w:iCs/>
        </w:rPr>
        <w:t>Application for search warrant (Act s. 26(2))</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68" w:name="_Toc155081065"/>
      <w:r>
        <w:rPr>
          <w:rStyle w:val="CharSClsNo"/>
        </w:rPr>
        <w:lastRenderedPageBreak/>
        <w:t>27</w:t>
      </w:r>
      <w:r>
        <w:t>.</w:t>
      </w:r>
      <w:r>
        <w:rPr>
          <w:b w:val="0"/>
        </w:rPr>
        <w:tab/>
      </w:r>
      <w:r>
        <w:rPr>
          <w:bCs/>
          <w:iCs/>
        </w:rPr>
        <w:t>Search warrant (Act s. 26(1))</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69" w:name="_Toc155081066"/>
      <w:r>
        <w:rPr>
          <w:rStyle w:val="CharSClsNo"/>
        </w:rPr>
        <w:lastRenderedPageBreak/>
        <w:t>28</w:t>
      </w:r>
      <w:r>
        <w:t>.</w:t>
      </w:r>
      <w:r>
        <w:rPr>
          <w:b w:val="0"/>
        </w:rPr>
        <w:tab/>
      </w:r>
      <w:r>
        <w:rPr>
          <w:bCs/>
          <w:iCs/>
        </w:rPr>
        <w:t>Search warrant (Act s. 26(2))</w:t>
      </w:r>
      <w:bookmarkEnd w:id="6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lastRenderedPageBreak/>
        <w:tab/>
        <w:t>[Form 28 inserted: Gazette 16 Nov 2007 p. 5776</w:t>
      </w:r>
      <w:r>
        <w:noBreakHyphen/>
        <w:t>7; amended: SL 2022/190 r. 32(16).]</w:t>
      </w:r>
    </w:p>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71" w:name="_Toc155081067"/>
      <w:r>
        <w:rPr>
          <w:rStyle w:val="CharSchNo"/>
        </w:rPr>
        <w:lastRenderedPageBreak/>
        <w:t>Schedule 1A</w:t>
      </w:r>
      <w:r>
        <w:t> — </w:t>
      </w:r>
      <w:r>
        <w:rPr>
          <w:rStyle w:val="CharSchText"/>
        </w:rPr>
        <w:t>Fees</w:t>
      </w:r>
      <w:bookmarkEnd w:id="71"/>
    </w:p>
    <w:p>
      <w:pPr>
        <w:pStyle w:val="yShoulderClause"/>
      </w:pPr>
      <w:r>
        <w:t>[r. 2(1)]</w:t>
      </w:r>
    </w:p>
    <w:p>
      <w:pPr>
        <w:pStyle w:val="yFootnoteheading"/>
        <w:spacing w:after="60"/>
      </w:pPr>
      <w:r>
        <w:tab/>
        <w:t>[Heading inserted: SL 2023/74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noWrap/>
          </w:tcPr>
          <w:p>
            <w:pPr>
              <w:pStyle w:val="yTableNAm"/>
              <w:jc w:val="center"/>
              <w:rPr>
                <w:b/>
              </w:rPr>
            </w:pPr>
            <w:r>
              <w:rPr>
                <w:b/>
              </w:rPr>
              <w:t>Item</w:t>
            </w:r>
          </w:p>
        </w:tc>
        <w:tc>
          <w:tcPr>
            <w:tcW w:w="5520" w:type="dxa"/>
            <w:tcBorders>
              <w:left w:val="nil"/>
              <w:bottom w:val="single" w:sz="4" w:space="0" w:color="auto"/>
              <w:right w:val="nil"/>
            </w:tcBorders>
            <w:noWrap/>
          </w:tcPr>
          <w:p>
            <w:pPr>
              <w:pStyle w:val="yTableNAm"/>
              <w:jc w:val="center"/>
              <w:rPr>
                <w:b/>
              </w:rPr>
            </w:pPr>
            <w:r>
              <w:rPr>
                <w:b/>
              </w:rPr>
              <w:t>Fee for</w:t>
            </w:r>
          </w:p>
        </w:tc>
        <w:tc>
          <w:tcPr>
            <w:tcW w:w="840" w:type="dxa"/>
            <w:gridSpan w:val="2"/>
            <w:tcBorders>
              <w:left w:val="nil"/>
              <w:bottom w:val="single" w:sz="4" w:space="0" w:color="auto"/>
              <w:right w:val="nil"/>
            </w:tcBorders>
            <w:noWrap/>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noWrap/>
          </w:tcPr>
          <w:p>
            <w:pPr>
              <w:pStyle w:val="yTableNAm"/>
            </w:pPr>
            <w:r>
              <w:t>1.</w:t>
            </w:r>
          </w:p>
        </w:tc>
        <w:tc>
          <w:tcPr>
            <w:tcW w:w="5520" w:type="dxa"/>
            <w:tcBorders>
              <w:left w:val="nil"/>
              <w:bottom w:val="nil"/>
              <w:right w:val="nil"/>
            </w:tcBorders>
            <w:noWrap/>
          </w:tcPr>
          <w:p>
            <w:pPr>
              <w:pStyle w:val="yTableNAm"/>
            </w:pPr>
            <w:r>
              <w:t xml:space="preserve">Application for firearm licence (r. 3A, 3B) — </w:t>
            </w:r>
          </w:p>
        </w:tc>
        <w:tc>
          <w:tcPr>
            <w:tcW w:w="829" w:type="dxa"/>
            <w:tcBorders>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396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75</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285</w:t>
            </w:r>
          </w:p>
        </w:tc>
      </w:tr>
      <w:tr>
        <w:trPr>
          <w:gridAfter w:val="2"/>
          <w:wAfter w:w="19" w:type="dxa"/>
          <w:cantSplit/>
          <w:trHeight w:val="234"/>
        </w:trPr>
        <w:tc>
          <w:tcPr>
            <w:tcW w:w="720" w:type="dxa"/>
            <w:tcBorders>
              <w:top w:val="nil"/>
              <w:left w:val="nil"/>
              <w:bottom w:val="nil"/>
              <w:right w:val="nil"/>
            </w:tcBorders>
            <w:noWrap/>
          </w:tcPr>
          <w:p>
            <w:pPr>
              <w:pStyle w:val="yTableNAm"/>
            </w:pPr>
            <w:r>
              <w:t>2.</w:t>
            </w:r>
          </w:p>
        </w:tc>
        <w:tc>
          <w:tcPr>
            <w:tcW w:w="5520" w:type="dxa"/>
            <w:tcBorders>
              <w:top w:val="nil"/>
              <w:left w:val="nil"/>
              <w:bottom w:val="nil"/>
              <w:right w:val="nil"/>
            </w:tcBorders>
            <w:noWrap/>
          </w:tcPr>
          <w:p>
            <w:pPr>
              <w:pStyle w:val="yTableNAm"/>
            </w:pPr>
            <w:r>
              <w:t>Application for firearm collector’s licence (r. 3A, 3B)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516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181</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432</w:t>
            </w:r>
          </w:p>
        </w:tc>
      </w:tr>
      <w:tr>
        <w:trPr>
          <w:gridAfter w:val="2"/>
          <w:wAfter w:w="19" w:type="dxa"/>
          <w:cantSplit/>
          <w:trHeight w:val="234"/>
        </w:trPr>
        <w:tc>
          <w:tcPr>
            <w:tcW w:w="720" w:type="dxa"/>
            <w:tcBorders>
              <w:top w:val="nil"/>
              <w:left w:val="nil"/>
              <w:bottom w:val="nil"/>
              <w:right w:val="nil"/>
            </w:tcBorders>
            <w:noWrap/>
          </w:tcPr>
          <w:p>
            <w:pPr>
              <w:pStyle w:val="yTableNAm"/>
            </w:pPr>
            <w:r>
              <w:t>3.</w:t>
            </w:r>
          </w:p>
        </w:tc>
        <w:tc>
          <w:tcPr>
            <w:tcW w:w="5520" w:type="dxa"/>
            <w:tcBorders>
              <w:top w:val="nil"/>
              <w:left w:val="nil"/>
              <w:bottom w:val="nil"/>
              <w:right w:val="nil"/>
            </w:tcBorders>
            <w:noWrap/>
          </w:tcPr>
          <w:p>
            <w:pPr>
              <w:pStyle w:val="yTableNAm"/>
            </w:pPr>
            <w:r>
              <w:t xml:space="preserve">Application for corporate licence (r. 3A, 3B) —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568</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166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432</w:t>
            </w:r>
          </w:p>
        </w:tc>
      </w:tr>
      <w:tr>
        <w:trPr>
          <w:cantSplit/>
          <w:trHeight w:val="234"/>
        </w:trPr>
        <w:tc>
          <w:tcPr>
            <w:tcW w:w="720" w:type="dxa"/>
            <w:tcBorders>
              <w:top w:val="nil"/>
              <w:left w:val="nil"/>
              <w:bottom w:val="nil"/>
              <w:right w:val="nil"/>
            </w:tcBorders>
            <w:noWrap/>
          </w:tcPr>
          <w:p>
            <w:pPr>
              <w:pStyle w:val="yTableNAm"/>
              <w:keepNext/>
            </w:pPr>
            <w:r>
              <w:t>4.</w:t>
            </w:r>
          </w:p>
        </w:tc>
        <w:tc>
          <w:tcPr>
            <w:tcW w:w="5520" w:type="dxa"/>
            <w:tcBorders>
              <w:top w:val="nil"/>
              <w:left w:val="nil"/>
              <w:bottom w:val="nil"/>
              <w:right w:val="nil"/>
            </w:tcBorders>
            <w:noWrap/>
          </w:tcPr>
          <w:p>
            <w:pPr>
              <w:pStyle w:val="yTableNAm"/>
            </w:pPr>
            <w:r>
              <w:t xml:space="preserve">Application for dealer’s licence (r. 3A, 3B) — </w:t>
            </w:r>
          </w:p>
        </w:tc>
        <w:tc>
          <w:tcPr>
            <w:tcW w:w="848" w:type="dxa"/>
            <w:gridSpan w:val="3"/>
            <w:tcBorders>
              <w:top w:val="nil"/>
              <w:left w:val="nil"/>
              <w:bottom w:val="nil"/>
              <w:right w:val="nil"/>
            </w:tcBorders>
            <w:noWrap/>
            <w:vAlign w:val="bottom"/>
          </w:tcPr>
          <w:p>
            <w:pPr>
              <w:pStyle w:val="yTableNAm"/>
              <w:jc w:val="right"/>
            </w:pPr>
          </w:p>
        </w:tc>
      </w:tr>
      <w:tr>
        <w:trPr>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8" w:type="dxa"/>
            <w:gridSpan w:val="3"/>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5.</w:t>
            </w:r>
          </w:p>
        </w:tc>
        <w:tc>
          <w:tcPr>
            <w:tcW w:w="5520" w:type="dxa"/>
            <w:tcBorders>
              <w:top w:val="nil"/>
              <w:left w:val="nil"/>
              <w:bottom w:val="nil"/>
              <w:right w:val="nil"/>
            </w:tcBorders>
            <w:noWrap/>
          </w:tcPr>
          <w:p>
            <w:pPr>
              <w:pStyle w:val="yTableNAm"/>
            </w:pPr>
            <w:r>
              <w:t xml:space="preserve">Application for repairer’s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6.</w:t>
            </w:r>
          </w:p>
        </w:tc>
        <w:tc>
          <w:tcPr>
            <w:tcW w:w="5520" w:type="dxa"/>
            <w:tcBorders>
              <w:top w:val="nil"/>
              <w:left w:val="nil"/>
              <w:bottom w:val="nil"/>
              <w:right w:val="nil"/>
            </w:tcBorders>
            <w:noWrap/>
          </w:tcPr>
          <w:p>
            <w:pPr>
              <w:pStyle w:val="yTableNAm"/>
            </w:pPr>
            <w:r>
              <w:t xml:space="preserve">Application for manufacturer’s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7.</w:t>
            </w:r>
          </w:p>
        </w:tc>
        <w:tc>
          <w:tcPr>
            <w:tcW w:w="5520" w:type="dxa"/>
            <w:tcBorders>
              <w:top w:val="nil"/>
              <w:left w:val="nil"/>
              <w:bottom w:val="nil"/>
              <w:right w:val="nil"/>
            </w:tcBorders>
            <w:noWrap/>
          </w:tcPr>
          <w:p>
            <w:pPr>
              <w:pStyle w:val="yTableNAm"/>
            </w:pPr>
            <w:r>
              <w:t xml:space="preserve">Application for shooting gallery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654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328</w:t>
            </w:r>
          </w:p>
        </w:tc>
      </w:tr>
      <w:tr>
        <w:trPr>
          <w:gridAfter w:val="1"/>
          <w:wAfter w:w="8" w:type="dxa"/>
          <w:cantSplit/>
          <w:trHeight w:val="234"/>
        </w:trPr>
        <w:tc>
          <w:tcPr>
            <w:tcW w:w="720" w:type="dxa"/>
            <w:tcBorders>
              <w:top w:val="nil"/>
              <w:left w:val="nil"/>
              <w:bottom w:val="nil"/>
              <w:right w:val="nil"/>
            </w:tcBorders>
            <w:noWrap/>
          </w:tcPr>
          <w:p>
            <w:pPr>
              <w:pStyle w:val="yTableNAm"/>
            </w:pPr>
            <w:r>
              <w:t>8.</w:t>
            </w:r>
          </w:p>
        </w:tc>
        <w:tc>
          <w:tcPr>
            <w:tcW w:w="5520" w:type="dxa"/>
            <w:tcBorders>
              <w:top w:val="nil"/>
              <w:left w:val="nil"/>
              <w:bottom w:val="nil"/>
              <w:right w:val="nil"/>
            </w:tcBorders>
            <w:noWrap/>
          </w:tcPr>
          <w:p>
            <w:pPr>
              <w:pStyle w:val="yTableNAm"/>
            </w:pPr>
            <w:r>
              <w:t xml:space="preserve">Application for ammunition collector’s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542</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220</w:t>
            </w:r>
          </w:p>
        </w:tc>
      </w:tr>
      <w:tr>
        <w:trPr>
          <w:gridAfter w:val="1"/>
          <w:wAfter w:w="8" w:type="dxa"/>
          <w:cantSplit/>
          <w:trHeight w:val="234"/>
        </w:trPr>
        <w:tc>
          <w:tcPr>
            <w:tcW w:w="720" w:type="dxa"/>
            <w:tcBorders>
              <w:top w:val="nil"/>
              <w:left w:val="nil"/>
              <w:bottom w:val="nil"/>
              <w:right w:val="nil"/>
            </w:tcBorders>
            <w:noWrap/>
          </w:tcPr>
          <w:p>
            <w:pPr>
              <w:pStyle w:val="yTableNAm"/>
            </w:pPr>
            <w:r>
              <w:t>9.</w:t>
            </w:r>
          </w:p>
        </w:tc>
        <w:tc>
          <w:tcPr>
            <w:tcW w:w="5520" w:type="dxa"/>
            <w:tcBorders>
              <w:top w:val="nil"/>
              <w:left w:val="nil"/>
              <w:bottom w:val="nil"/>
              <w:right w:val="nil"/>
            </w:tcBorders>
            <w:noWrap/>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noWrap/>
            <w:vAlign w:val="bottom"/>
          </w:tcPr>
          <w:p>
            <w:pPr>
              <w:pStyle w:val="yTableNAm"/>
              <w:jc w:val="right"/>
            </w:pPr>
            <w:r>
              <w:t>131</w:t>
            </w:r>
          </w:p>
        </w:tc>
      </w:tr>
      <w:tr>
        <w:trPr>
          <w:gridAfter w:val="1"/>
          <w:wAfter w:w="8" w:type="dxa"/>
          <w:cantSplit/>
          <w:trHeight w:val="234"/>
        </w:trPr>
        <w:tc>
          <w:tcPr>
            <w:tcW w:w="720" w:type="dxa"/>
            <w:tcBorders>
              <w:top w:val="nil"/>
              <w:left w:val="nil"/>
              <w:bottom w:val="nil"/>
              <w:right w:val="nil"/>
            </w:tcBorders>
            <w:noWrap/>
          </w:tcPr>
          <w:p>
            <w:pPr>
              <w:pStyle w:val="yTableNAm"/>
            </w:pPr>
            <w:r>
              <w:t>10.</w:t>
            </w:r>
          </w:p>
        </w:tc>
        <w:tc>
          <w:tcPr>
            <w:tcW w:w="5520" w:type="dxa"/>
            <w:tcBorders>
              <w:top w:val="nil"/>
              <w:left w:val="nil"/>
              <w:bottom w:val="nil"/>
              <w:right w:val="nil"/>
            </w:tcBorders>
            <w:noWrap/>
          </w:tcPr>
          <w:p>
            <w:pPr>
              <w:pStyle w:val="yTableNAm"/>
            </w:pPr>
            <w:r>
              <w:t>Extract of licence (r. 7A)</w:t>
            </w:r>
          </w:p>
        </w:tc>
        <w:tc>
          <w:tcPr>
            <w:tcW w:w="840" w:type="dxa"/>
            <w:gridSpan w:val="2"/>
            <w:tcBorders>
              <w:top w:val="nil"/>
              <w:left w:val="nil"/>
              <w:bottom w:val="nil"/>
              <w:right w:val="nil"/>
            </w:tcBorders>
            <w:noWrap/>
            <w:vAlign w:val="bottom"/>
          </w:tcPr>
          <w:p>
            <w:pPr>
              <w:pStyle w:val="yTableNAm"/>
              <w:jc w:val="right"/>
            </w:pPr>
            <w:r>
              <w:t>27</w:t>
            </w:r>
          </w:p>
        </w:tc>
      </w:tr>
      <w:tr>
        <w:trPr>
          <w:gridAfter w:val="1"/>
          <w:wAfter w:w="8" w:type="dxa"/>
          <w:cantSplit/>
          <w:trHeight w:val="234"/>
        </w:trPr>
        <w:tc>
          <w:tcPr>
            <w:tcW w:w="720" w:type="dxa"/>
            <w:tcBorders>
              <w:top w:val="nil"/>
              <w:left w:val="nil"/>
              <w:bottom w:val="nil"/>
              <w:right w:val="nil"/>
            </w:tcBorders>
            <w:noWrap/>
          </w:tcPr>
          <w:p>
            <w:pPr>
              <w:pStyle w:val="yTableNAm"/>
            </w:pPr>
            <w:r>
              <w:t>11.</w:t>
            </w:r>
          </w:p>
        </w:tc>
        <w:tc>
          <w:tcPr>
            <w:tcW w:w="5520" w:type="dxa"/>
            <w:tcBorders>
              <w:top w:val="nil"/>
              <w:left w:val="nil"/>
              <w:bottom w:val="nil"/>
              <w:right w:val="nil"/>
            </w:tcBorders>
            <w:noWrap/>
          </w:tcPr>
          <w:p>
            <w:pPr>
              <w:pStyle w:val="yTableNAm"/>
            </w:pPr>
            <w:r>
              <w:t>Duplicate of licence (r. 8)</w:t>
            </w:r>
          </w:p>
        </w:tc>
        <w:tc>
          <w:tcPr>
            <w:tcW w:w="840" w:type="dxa"/>
            <w:gridSpan w:val="2"/>
            <w:tcBorders>
              <w:top w:val="nil"/>
              <w:left w:val="nil"/>
              <w:bottom w:val="nil"/>
              <w:right w:val="nil"/>
            </w:tcBorders>
            <w:noWrap/>
            <w:vAlign w:val="bottom"/>
          </w:tcPr>
          <w:p>
            <w:pPr>
              <w:pStyle w:val="yTableNAm"/>
              <w:jc w:val="right"/>
            </w:pPr>
            <w:r>
              <w:t>42</w:t>
            </w:r>
          </w:p>
        </w:tc>
      </w:tr>
      <w:tr>
        <w:trPr>
          <w:gridAfter w:val="1"/>
          <w:wAfter w:w="8" w:type="dxa"/>
          <w:cantSplit/>
          <w:trHeight w:val="234"/>
        </w:trPr>
        <w:tc>
          <w:tcPr>
            <w:tcW w:w="720" w:type="dxa"/>
            <w:tcBorders>
              <w:top w:val="nil"/>
              <w:left w:val="nil"/>
              <w:bottom w:val="nil"/>
              <w:right w:val="nil"/>
            </w:tcBorders>
            <w:noWrap/>
          </w:tcPr>
          <w:p>
            <w:pPr>
              <w:pStyle w:val="yTableNAm"/>
            </w:pPr>
            <w:r>
              <w:t>12.</w:t>
            </w:r>
          </w:p>
        </w:tc>
        <w:tc>
          <w:tcPr>
            <w:tcW w:w="5520" w:type="dxa"/>
            <w:tcBorders>
              <w:top w:val="nil"/>
              <w:left w:val="nil"/>
              <w:bottom w:val="nil"/>
              <w:right w:val="nil"/>
            </w:tcBorders>
            <w:noWrap/>
          </w:tcPr>
          <w:p>
            <w:pPr>
              <w:pStyle w:val="yTableNAm"/>
            </w:pPr>
            <w:r>
              <w:t>Replacement for an extract of licence (r. 8)</w:t>
            </w:r>
          </w:p>
        </w:tc>
        <w:tc>
          <w:tcPr>
            <w:tcW w:w="840" w:type="dxa"/>
            <w:gridSpan w:val="2"/>
            <w:tcBorders>
              <w:top w:val="nil"/>
              <w:left w:val="nil"/>
              <w:bottom w:val="nil"/>
              <w:right w:val="nil"/>
            </w:tcBorders>
            <w:noWrap/>
            <w:vAlign w:val="bottom"/>
          </w:tcPr>
          <w:p>
            <w:pPr>
              <w:pStyle w:val="yTableNAm"/>
              <w:jc w:val="right"/>
            </w:pPr>
            <w:r>
              <w:t>27</w:t>
            </w:r>
          </w:p>
        </w:tc>
      </w:tr>
      <w:tr>
        <w:trPr>
          <w:gridAfter w:val="1"/>
          <w:wAfter w:w="8" w:type="dxa"/>
          <w:cantSplit/>
          <w:trHeight w:val="234"/>
        </w:trPr>
        <w:tc>
          <w:tcPr>
            <w:tcW w:w="720" w:type="dxa"/>
            <w:tcBorders>
              <w:top w:val="nil"/>
              <w:left w:val="nil"/>
              <w:bottom w:val="single" w:sz="4" w:space="0" w:color="auto"/>
              <w:right w:val="nil"/>
            </w:tcBorders>
            <w:noWrap/>
          </w:tcPr>
          <w:p>
            <w:pPr>
              <w:pStyle w:val="yTableNAm"/>
            </w:pPr>
            <w:r>
              <w:t>13.</w:t>
            </w:r>
          </w:p>
        </w:tc>
        <w:tc>
          <w:tcPr>
            <w:tcW w:w="5520" w:type="dxa"/>
            <w:tcBorders>
              <w:top w:val="nil"/>
              <w:left w:val="nil"/>
              <w:bottom w:val="single" w:sz="4" w:space="0" w:color="auto"/>
              <w:right w:val="nil"/>
            </w:tcBorders>
            <w:noWrap/>
          </w:tcPr>
          <w:p>
            <w:pPr>
              <w:pStyle w:val="yTableNAm"/>
            </w:pPr>
            <w:r>
              <w:t>Police custody of firearm, per year or part of year (r. 11)</w:t>
            </w:r>
          </w:p>
        </w:tc>
        <w:tc>
          <w:tcPr>
            <w:tcW w:w="840" w:type="dxa"/>
            <w:gridSpan w:val="2"/>
            <w:tcBorders>
              <w:top w:val="nil"/>
              <w:left w:val="nil"/>
              <w:bottom w:val="single" w:sz="4" w:space="0" w:color="auto"/>
              <w:right w:val="nil"/>
            </w:tcBorders>
            <w:noWrap/>
            <w:vAlign w:val="bottom"/>
          </w:tcPr>
          <w:p>
            <w:pPr>
              <w:pStyle w:val="yTableNAm"/>
              <w:jc w:val="right"/>
            </w:pPr>
            <w:r>
              <w:t>202</w:t>
            </w:r>
          </w:p>
        </w:tc>
      </w:tr>
    </w:tbl>
    <w:p>
      <w:pPr>
        <w:pStyle w:val="yFootnotesection"/>
      </w:pPr>
      <w:r>
        <w:tab/>
        <w:t>[Schedule 1A inserted: SL 2023/74 r. 4.]</w:t>
      </w:r>
    </w:p>
    <w:p>
      <w:pPr>
        <w:pStyle w:val="yScheduleHeading"/>
      </w:pPr>
      <w:bookmarkStart w:id="72" w:name="_Toc155081068"/>
      <w:r>
        <w:rPr>
          <w:rStyle w:val="CharSchNo"/>
        </w:rPr>
        <w:lastRenderedPageBreak/>
        <w:t>Schedule 2</w:t>
      </w:r>
      <w:r>
        <w:t> — </w:t>
      </w:r>
      <w:r>
        <w:rPr>
          <w:rStyle w:val="CharSchText"/>
        </w:rPr>
        <w:t>Descriptions of firearms for regulation 25</w:t>
      </w:r>
      <w:bookmarkEnd w:id="7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pStyle w:val="yScheduleHeading"/>
      </w:pPr>
      <w:bookmarkStart w:id="73" w:name="_Toc155081069"/>
      <w:r>
        <w:rPr>
          <w:rStyle w:val="CharSchNo"/>
        </w:rPr>
        <w:lastRenderedPageBreak/>
        <w:t>Schedule 2A</w:t>
      </w:r>
      <w:r>
        <w:t> — </w:t>
      </w:r>
      <w:r>
        <w:rPr>
          <w:rStyle w:val="CharSchText"/>
        </w:rPr>
        <w:t>Descriptions of prohibited firearms and ammunition for regulation 26</w:t>
      </w:r>
      <w:bookmarkEnd w:id="73"/>
    </w:p>
    <w:p>
      <w:pPr>
        <w:pStyle w:val="yShoulderClause"/>
      </w:pPr>
      <w:r>
        <w:t>[r. 26]</w:t>
      </w:r>
    </w:p>
    <w:p>
      <w:pPr>
        <w:pStyle w:val="yFootnoteheading"/>
      </w:pPr>
      <w:r>
        <w:tab/>
        <w:t>[Heading inserted: SL 2023/46 r. 7.]</w:t>
      </w:r>
    </w:p>
    <w:p>
      <w:pPr>
        <w:pStyle w:val="yHeading3"/>
      </w:pPr>
      <w:bookmarkStart w:id="74" w:name="_Toc155081070"/>
      <w:r>
        <w:rPr>
          <w:rStyle w:val="CharSDivNo"/>
        </w:rPr>
        <w:t>Division 1</w:t>
      </w:r>
      <w:r>
        <w:t> — </w:t>
      </w:r>
      <w:r>
        <w:rPr>
          <w:rStyle w:val="CharSDivText"/>
        </w:rPr>
        <w:t>Prohibited ammunition</w:t>
      </w:r>
      <w:bookmarkEnd w:id="74"/>
    </w:p>
    <w:p>
      <w:pPr>
        <w:pStyle w:val="yFootnoteheading"/>
      </w:pPr>
      <w:r>
        <w:tab/>
        <w:t>[Heading inserted: SL 2023/46 r. 7.]</w:t>
      </w:r>
    </w:p>
    <w:p>
      <w:pPr>
        <w:pStyle w:val="yNumberedItem"/>
      </w:pPr>
      <w:r>
        <w:t>1.</w:t>
      </w:r>
      <w:r>
        <w:tab/>
        <w:t>ammunition for a machine gun</w:t>
      </w:r>
    </w:p>
    <w:p>
      <w:pPr>
        <w:pStyle w:val="yNumberedItem"/>
      </w:pPr>
      <w:r>
        <w:t>2.</w:t>
      </w:r>
      <w:r>
        <w:tab/>
        <w:t>ammunition for a mortar gun</w:t>
      </w:r>
    </w:p>
    <w:p>
      <w:pPr>
        <w:pStyle w:val="yNumberedItem"/>
      </w:pPr>
      <w:r>
        <w:t>3.</w:t>
      </w:r>
      <w:r>
        <w:tab/>
        <w:t>ammunition for a bazooka gun</w:t>
      </w:r>
    </w:p>
    <w:p>
      <w:pPr>
        <w:pStyle w:val="yNumberedItem"/>
      </w:pPr>
      <w:r>
        <w:t>4.</w:t>
      </w:r>
      <w:r>
        <w:tab/>
        <w:t>ammunition for a firearm designed to discharge tear gas</w:t>
      </w:r>
    </w:p>
    <w:p>
      <w:pPr>
        <w:pStyle w:val="yNumberedItem"/>
      </w:pPr>
      <w:r>
        <w:t>5.</w:t>
      </w:r>
      <w:r>
        <w:tab/>
        <w:t>ammunition the missile from which includes any high explosive, smoke, chemical, lachrymatory agent, or flechettes</w:t>
      </w:r>
    </w:p>
    <w:p>
      <w:pPr>
        <w:pStyle w:val="yNumberedItem"/>
      </w:pPr>
      <w:r>
        <w:t>6.</w:t>
      </w:r>
      <w:r>
        <w:tab/>
        <w:t>tracer ammunition</w:t>
      </w:r>
    </w:p>
    <w:p>
      <w:pPr>
        <w:pStyle w:val="yNumberedItem"/>
      </w:pPr>
      <w:r>
        <w:t>7.</w:t>
      </w:r>
      <w:r>
        <w:tab/>
        <w:t xml:space="preserve">incendiary ammunition </w:t>
      </w:r>
    </w:p>
    <w:p>
      <w:pPr>
        <w:pStyle w:val="yNumberedItem"/>
      </w:pPr>
      <w:r>
        <w:t>8.</w:t>
      </w:r>
      <w:r>
        <w:tab/>
        <w:t>armour piercing (hard steel core) ammunition</w:t>
      </w:r>
    </w:p>
    <w:p>
      <w:pPr>
        <w:pStyle w:val="yNumberedItem"/>
      </w:pPr>
      <w:r>
        <w:t>9.</w:t>
      </w:r>
      <w:r>
        <w:tab/>
        <w:t>imprint free (accelerator) ammunition</w:t>
      </w:r>
    </w:p>
    <w:p>
      <w:pPr>
        <w:pStyle w:val="yNumberedItem"/>
      </w:pPr>
      <w:r>
        <w:t>10.</w:t>
      </w:r>
      <w:r>
        <w:tab/>
        <w:t>frangible ammunition</w:t>
      </w:r>
    </w:p>
    <w:p>
      <w:pPr>
        <w:pStyle w:val="yNumberedItem"/>
      </w:pPr>
      <w:r>
        <w:t>11.</w:t>
      </w:r>
      <w:r>
        <w:tab/>
        <w:t>ammunition the missile from which has a calibre of 20 mm or more</w:t>
      </w:r>
    </w:p>
    <w:p>
      <w:pPr>
        <w:pStyle w:val="yNumberedItem"/>
      </w:pPr>
      <w:r>
        <w:t>12.</w:t>
      </w:r>
      <w:r>
        <w:tab/>
        <w:t>.340 Weatherby Magnum</w:t>
      </w:r>
    </w:p>
    <w:p>
      <w:pPr>
        <w:pStyle w:val="yNumberedItem"/>
      </w:pPr>
      <w:r>
        <w:t>13.</w:t>
      </w:r>
      <w:r>
        <w:tab/>
        <w:t>.28 Nosler</w:t>
      </w:r>
    </w:p>
    <w:p>
      <w:pPr>
        <w:pStyle w:val="yNumberedItem"/>
      </w:pPr>
      <w:r>
        <w:t>14.</w:t>
      </w:r>
      <w:r>
        <w:tab/>
        <w:t>.330 Dakota</w:t>
      </w:r>
    </w:p>
    <w:p>
      <w:pPr>
        <w:pStyle w:val="yNumberedItem"/>
      </w:pPr>
      <w:r>
        <w:t>15.</w:t>
      </w:r>
      <w:r>
        <w:tab/>
        <w:t>.338 Lapua</w:t>
      </w:r>
    </w:p>
    <w:p>
      <w:pPr>
        <w:pStyle w:val="yNumberedItem"/>
      </w:pPr>
      <w:r>
        <w:t>16.</w:t>
      </w:r>
      <w:r>
        <w:tab/>
        <w:t>.300 Lapua Magnum</w:t>
      </w:r>
    </w:p>
    <w:p>
      <w:pPr>
        <w:pStyle w:val="yNumberedItem"/>
      </w:pPr>
      <w:r>
        <w:t>17.</w:t>
      </w:r>
      <w:r>
        <w:tab/>
        <w:t>.338</w:t>
      </w:r>
      <w:r>
        <w:noBreakHyphen/>
        <w:t>404 Jeffery</w:t>
      </w:r>
    </w:p>
    <w:p>
      <w:pPr>
        <w:pStyle w:val="yNumberedItem"/>
      </w:pPr>
      <w:r>
        <w:t>18.</w:t>
      </w:r>
      <w:r>
        <w:tab/>
        <w:t>.338 Norma Magnum</w:t>
      </w:r>
    </w:p>
    <w:p>
      <w:pPr>
        <w:pStyle w:val="yNumberedItem"/>
      </w:pPr>
      <w:r>
        <w:t>19.</w:t>
      </w:r>
      <w:r>
        <w:tab/>
        <w:t>.338</w:t>
      </w:r>
      <w:r>
        <w:noBreakHyphen/>
        <w:t>378 Weatherby Magnum</w:t>
      </w:r>
    </w:p>
    <w:p>
      <w:pPr>
        <w:pStyle w:val="yNumberedItem"/>
      </w:pPr>
      <w:r>
        <w:t>20.</w:t>
      </w:r>
      <w:r>
        <w:tab/>
        <w:t>.338 Edge</w:t>
      </w:r>
    </w:p>
    <w:p>
      <w:pPr>
        <w:pStyle w:val="yNumberedItem"/>
      </w:pPr>
      <w:r>
        <w:lastRenderedPageBreak/>
        <w:t>21.</w:t>
      </w:r>
      <w:r>
        <w:tab/>
        <w:t>.30</w:t>
      </w:r>
      <w:r>
        <w:noBreakHyphen/>
        <w:t>378 Weatherby Magnum</w:t>
      </w:r>
    </w:p>
    <w:p>
      <w:pPr>
        <w:pStyle w:val="yNumberedItem"/>
      </w:pPr>
      <w:r>
        <w:t>22.</w:t>
      </w:r>
      <w:r>
        <w:tab/>
        <w:t>.300 Norma Magnum</w:t>
      </w:r>
    </w:p>
    <w:p>
      <w:pPr>
        <w:pStyle w:val="yNumberedItem"/>
      </w:pPr>
      <w:r>
        <w:t>23.</w:t>
      </w:r>
      <w:r>
        <w:tab/>
        <w:t>.375 A</w:t>
      </w:r>
      <w:r>
        <w:noBreakHyphen/>
        <w:t>Square</w:t>
      </w:r>
    </w:p>
    <w:p>
      <w:pPr>
        <w:pStyle w:val="yNumberedItem"/>
      </w:pPr>
      <w:r>
        <w:t>24.</w:t>
      </w:r>
      <w:r>
        <w:tab/>
        <w:t>.375 Gibbs</w:t>
      </w:r>
    </w:p>
    <w:p>
      <w:pPr>
        <w:pStyle w:val="yNumberedItem"/>
      </w:pPr>
      <w:r>
        <w:t>25.</w:t>
      </w:r>
      <w:r>
        <w:tab/>
        <w:t>.460 Steyr</w:t>
      </w:r>
    </w:p>
    <w:p>
      <w:pPr>
        <w:pStyle w:val="yNumberedItem"/>
      </w:pPr>
      <w:r>
        <w:t>26.</w:t>
      </w:r>
      <w:r>
        <w:tab/>
        <w:t>.375 CheyTac</w:t>
      </w:r>
    </w:p>
    <w:p>
      <w:pPr>
        <w:pStyle w:val="yNumberedItem"/>
      </w:pPr>
      <w:r>
        <w:t>27.</w:t>
      </w:r>
      <w:r>
        <w:tab/>
        <w:t>.416 Barrett</w:t>
      </w:r>
    </w:p>
    <w:p>
      <w:pPr>
        <w:pStyle w:val="yNumberedItem"/>
      </w:pPr>
      <w:r>
        <w:t>28.</w:t>
      </w:r>
      <w:r>
        <w:tab/>
        <w:t>.408 CheyTac</w:t>
      </w:r>
    </w:p>
    <w:p>
      <w:pPr>
        <w:pStyle w:val="yNumberedItem"/>
      </w:pPr>
      <w:r>
        <w:t>29.</w:t>
      </w:r>
      <w:r>
        <w:tab/>
        <w:t>.50 BMG</w:t>
      </w:r>
    </w:p>
    <w:p>
      <w:pPr>
        <w:pStyle w:val="yNumberedItem"/>
      </w:pPr>
      <w:r>
        <w:t>30.</w:t>
      </w:r>
      <w:r>
        <w:tab/>
        <w:t>.55 Boys</w:t>
      </w:r>
    </w:p>
    <w:p>
      <w:pPr>
        <w:pStyle w:val="yFootnotesection"/>
      </w:pPr>
      <w:r>
        <w:tab/>
        <w:t>[Division 1 inserted: SL 2023/46 r. 7.]</w:t>
      </w:r>
    </w:p>
    <w:p>
      <w:pPr>
        <w:pStyle w:val="yHeading3"/>
      </w:pPr>
      <w:bookmarkStart w:id="75" w:name="_Toc155081071"/>
      <w:r>
        <w:rPr>
          <w:rStyle w:val="CharSDivNo"/>
        </w:rPr>
        <w:t>Division 2</w:t>
      </w:r>
      <w:r>
        <w:t> — </w:t>
      </w:r>
      <w:r>
        <w:rPr>
          <w:rStyle w:val="CharSDivText"/>
        </w:rPr>
        <w:t>Prohibited firearms</w:t>
      </w:r>
      <w:bookmarkEnd w:id="75"/>
    </w:p>
    <w:p>
      <w:pPr>
        <w:pStyle w:val="yFootnoteheading"/>
      </w:pPr>
      <w:r>
        <w:tab/>
        <w:t>[Heading inserted: SL 2023/46 r. 7.]</w:t>
      </w:r>
    </w:p>
    <w:p>
      <w:pPr>
        <w:pStyle w:val="yHeading4"/>
      </w:pPr>
      <w:bookmarkStart w:id="76" w:name="_Toc155081072"/>
      <w:r>
        <w:t>Subdivision 1 — Prohibited firearms</w:t>
      </w:r>
      <w:bookmarkEnd w:id="76"/>
    </w:p>
    <w:p>
      <w:pPr>
        <w:pStyle w:val="yFootnoteheading"/>
      </w:pPr>
      <w:r>
        <w:tab/>
        <w:t>[Heading inserted: SL 2023/46 r. 7.]</w:t>
      </w:r>
    </w:p>
    <w:p>
      <w:pPr>
        <w:pStyle w:val="yNumberedItem"/>
      </w:pPr>
      <w:r>
        <w:t>1.</w:t>
      </w:r>
      <w:r>
        <w:tab/>
        <w:t>a category D firearm</w:t>
      </w:r>
    </w:p>
    <w:p>
      <w:pPr>
        <w:pStyle w:val="yNumberedItem"/>
      </w:pPr>
      <w:r>
        <w:t>2.</w:t>
      </w:r>
      <w:r>
        <w:tab/>
        <w:t>a machine gun</w:t>
      </w:r>
    </w:p>
    <w:p>
      <w:pPr>
        <w:pStyle w:val="yNumberedItem"/>
      </w:pPr>
      <w:r>
        <w:t>3.</w:t>
      </w:r>
      <w:r>
        <w:tab/>
        <w:t>a hand grenade</w:t>
      </w:r>
    </w:p>
    <w:p>
      <w:pPr>
        <w:pStyle w:val="yNumberedItem"/>
      </w:pPr>
      <w:r>
        <w:t>4.</w:t>
      </w:r>
      <w:r>
        <w:tab/>
        <w:t>a mortar gun</w:t>
      </w:r>
    </w:p>
    <w:p>
      <w:pPr>
        <w:pStyle w:val="yNumberedItem"/>
      </w:pPr>
      <w:r>
        <w:t>5.</w:t>
      </w:r>
      <w:r>
        <w:tab/>
        <w:t>a bazooka gun</w:t>
      </w:r>
    </w:p>
    <w:p>
      <w:pPr>
        <w:pStyle w:val="yNumberedItem"/>
      </w:pPr>
      <w:r>
        <w:t>6.</w:t>
      </w:r>
      <w:r>
        <w:tab/>
        <w:t>a fully automatic firearm</w:t>
      </w:r>
    </w:p>
    <w:p>
      <w:pPr>
        <w:pStyle w:val="yNumberedItem"/>
      </w:pPr>
      <w:r>
        <w:t>7.</w:t>
      </w:r>
      <w:r>
        <w:tab/>
        <w:t>a firearm designed to discharge tear gas</w:t>
      </w:r>
    </w:p>
    <w:p>
      <w:pPr>
        <w:pStyle w:val="yNumberedItem"/>
      </w:pPr>
      <w:r>
        <w:t>8.</w:t>
      </w:r>
      <w:r>
        <w:tab/>
        <w:t>a “forward venting” blank firing imitation firearm</w:t>
      </w:r>
    </w:p>
    <w:p>
      <w:pPr>
        <w:pStyle w:val="yHeading4"/>
      </w:pPr>
      <w:bookmarkStart w:id="77" w:name="_Toc155081073"/>
      <w:r>
        <w:lastRenderedPageBreak/>
        <w:t>Subdivision 2 — Prohibited firearms (cartridged)</w:t>
      </w:r>
      <w:bookmarkEnd w:id="77"/>
    </w:p>
    <w:p>
      <w:pPr>
        <w:pStyle w:val="yFootnoteheading"/>
        <w:keepNext/>
      </w:pPr>
      <w:r>
        <w:tab/>
        <w:t>[Heading inserted: SL 2023/46 r. 7.]</w:t>
      </w:r>
    </w:p>
    <w:p>
      <w:pPr>
        <w:pStyle w:val="ySubsection"/>
      </w:pPr>
      <w:r>
        <w:tab/>
      </w:r>
      <w:r>
        <w:tab/>
        <w:t>Any of the firearms of the make and model listed in the table below that is chambered for any of the cartridges listed in item 12 to 30 of Division 1 of this Schedule.</w:t>
      </w:r>
    </w:p>
    <w:p>
      <w:pPr>
        <w:pStyle w:val="yTHeadingNAm"/>
      </w:pPr>
      <w:r>
        <w:t>Table</w:t>
      </w:r>
    </w:p>
    <w:tbl>
      <w:tblPr>
        <w:tblW w:w="61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3"/>
        <w:gridCol w:w="2977"/>
        <w:gridCol w:w="1985"/>
      </w:tblGrid>
      <w:tr>
        <w:trPr>
          <w:tblHeader/>
        </w:trPr>
        <w:tc>
          <w:tcPr>
            <w:tcW w:w="1163" w:type="dxa"/>
            <w:noWrap/>
          </w:tcPr>
          <w:p>
            <w:pPr>
              <w:pStyle w:val="yTableNAm"/>
              <w:rPr>
                <w:b/>
              </w:rPr>
            </w:pPr>
            <w:r>
              <w:rPr>
                <w:b/>
              </w:rPr>
              <w:t>Item</w:t>
            </w:r>
          </w:p>
        </w:tc>
        <w:tc>
          <w:tcPr>
            <w:tcW w:w="2977" w:type="dxa"/>
            <w:noWrap/>
          </w:tcPr>
          <w:p>
            <w:pPr>
              <w:pStyle w:val="yTableNAm"/>
              <w:rPr>
                <w:b/>
              </w:rPr>
            </w:pPr>
            <w:r>
              <w:rPr>
                <w:b/>
              </w:rPr>
              <w:t>Make</w:t>
            </w:r>
          </w:p>
        </w:tc>
        <w:tc>
          <w:tcPr>
            <w:tcW w:w="1985" w:type="dxa"/>
            <w:noWrap/>
          </w:tcPr>
          <w:p>
            <w:pPr>
              <w:pStyle w:val="yTableNAm"/>
              <w:rPr>
                <w:b/>
              </w:rPr>
            </w:pPr>
            <w:r>
              <w:rPr>
                <w:b/>
              </w:rPr>
              <w:t>Model</w:t>
            </w:r>
          </w:p>
        </w:tc>
      </w:tr>
      <w:tr>
        <w:tc>
          <w:tcPr>
            <w:tcW w:w="1163" w:type="dxa"/>
            <w:noWrap/>
          </w:tcPr>
          <w:p>
            <w:pPr>
              <w:pStyle w:val="yTableNAm"/>
            </w:pPr>
            <w:r>
              <w:t>1.</w:t>
            </w:r>
          </w:p>
        </w:tc>
        <w:tc>
          <w:tcPr>
            <w:tcW w:w="2977" w:type="dxa"/>
            <w:noWrap/>
          </w:tcPr>
          <w:p>
            <w:pPr>
              <w:pStyle w:val="yTableNAm"/>
            </w:pPr>
            <w:r>
              <w:t>Accuracy International</w:t>
            </w:r>
          </w:p>
        </w:tc>
        <w:tc>
          <w:tcPr>
            <w:tcW w:w="1985" w:type="dxa"/>
            <w:noWrap/>
          </w:tcPr>
          <w:p>
            <w:pPr>
              <w:pStyle w:val="yTableNAm"/>
            </w:pPr>
            <w:r>
              <w:t>AXMC</w:t>
            </w:r>
          </w:p>
        </w:tc>
      </w:tr>
      <w:tr>
        <w:tc>
          <w:tcPr>
            <w:tcW w:w="1163" w:type="dxa"/>
            <w:noWrap/>
          </w:tcPr>
          <w:p>
            <w:pPr>
              <w:pStyle w:val="yTableNAm"/>
            </w:pPr>
            <w:r>
              <w:t>2.</w:t>
            </w:r>
          </w:p>
        </w:tc>
        <w:tc>
          <w:tcPr>
            <w:tcW w:w="2977" w:type="dxa"/>
            <w:noWrap/>
          </w:tcPr>
          <w:p>
            <w:pPr>
              <w:pStyle w:val="yTableNAm"/>
            </w:pPr>
            <w:r>
              <w:t>APRS</w:t>
            </w:r>
          </w:p>
        </w:tc>
        <w:tc>
          <w:tcPr>
            <w:tcW w:w="1985" w:type="dxa"/>
            <w:noWrap/>
          </w:tcPr>
          <w:p>
            <w:pPr>
              <w:pStyle w:val="yTableNAm"/>
            </w:pPr>
            <w:r>
              <w:t>Target</w:t>
            </w:r>
          </w:p>
        </w:tc>
      </w:tr>
      <w:tr>
        <w:tc>
          <w:tcPr>
            <w:tcW w:w="1163" w:type="dxa"/>
            <w:noWrap/>
          </w:tcPr>
          <w:p>
            <w:pPr>
              <w:pStyle w:val="yTableNAm"/>
            </w:pPr>
            <w:r>
              <w:t>3.</w:t>
            </w:r>
          </w:p>
        </w:tc>
        <w:tc>
          <w:tcPr>
            <w:tcW w:w="2977" w:type="dxa"/>
            <w:noWrap/>
          </w:tcPr>
          <w:p>
            <w:pPr>
              <w:pStyle w:val="yTableNAm"/>
            </w:pPr>
            <w:r>
              <w:t>Armalite</w:t>
            </w:r>
          </w:p>
        </w:tc>
        <w:tc>
          <w:tcPr>
            <w:tcW w:w="1985" w:type="dxa"/>
            <w:noWrap/>
          </w:tcPr>
          <w:p>
            <w:pPr>
              <w:pStyle w:val="yTableNAm"/>
              <w:rPr>
                <w:rStyle w:val="DraftersNotes"/>
                <w:b w:val="0"/>
                <w:i w:val="0"/>
              </w:rPr>
            </w:pPr>
            <w:r>
              <w:t>AR</w:t>
            </w:r>
            <w:r>
              <w:noBreakHyphen/>
              <w:t>30</w:t>
            </w:r>
          </w:p>
        </w:tc>
      </w:tr>
      <w:tr>
        <w:tc>
          <w:tcPr>
            <w:tcW w:w="1163" w:type="dxa"/>
            <w:noWrap/>
          </w:tcPr>
          <w:p>
            <w:pPr>
              <w:pStyle w:val="yTableNAm"/>
            </w:pPr>
            <w:r>
              <w:t>4.</w:t>
            </w:r>
          </w:p>
        </w:tc>
        <w:tc>
          <w:tcPr>
            <w:tcW w:w="2977" w:type="dxa"/>
            <w:noWrap/>
          </w:tcPr>
          <w:p>
            <w:pPr>
              <w:pStyle w:val="yTableNAm"/>
            </w:pPr>
            <w:r>
              <w:t>Armalite</w:t>
            </w:r>
          </w:p>
        </w:tc>
        <w:tc>
          <w:tcPr>
            <w:tcW w:w="1985" w:type="dxa"/>
            <w:noWrap/>
          </w:tcPr>
          <w:p>
            <w:pPr>
              <w:pStyle w:val="yTableNAm"/>
            </w:pPr>
            <w:r>
              <w:t>AR</w:t>
            </w:r>
            <w:r>
              <w:noBreakHyphen/>
              <w:t>50</w:t>
            </w:r>
          </w:p>
        </w:tc>
      </w:tr>
      <w:tr>
        <w:tc>
          <w:tcPr>
            <w:tcW w:w="1163" w:type="dxa"/>
            <w:noWrap/>
          </w:tcPr>
          <w:p>
            <w:pPr>
              <w:pStyle w:val="yTableNAm"/>
            </w:pPr>
            <w:r>
              <w:t>5.</w:t>
            </w:r>
          </w:p>
        </w:tc>
        <w:tc>
          <w:tcPr>
            <w:tcW w:w="2977" w:type="dxa"/>
            <w:noWrap/>
          </w:tcPr>
          <w:p>
            <w:pPr>
              <w:pStyle w:val="yTableNAm"/>
              <w:rPr>
                <w:rStyle w:val="DraftersNotes"/>
                <w:b w:val="0"/>
                <w:i w:val="0"/>
              </w:rPr>
            </w:pPr>
            <w:r>
              <w:t>Badger Ordnance</w:t>
            </w:r>
          </w:p>
        </w:tc>
        <w:tc>
          <w:tcPr>
            <w:tcW w:w="1985" w:type="dxa"/>
            <w:noWrap/>
          </w:tcPr>
          <w:p>
            <w:pPr>
              <w:pStyle w:val="yTableNAm"/>
            </w:pPr>
            <w:r>
              <w:t>2013</w:t>
            </w:r>
          </w:p>
        </w:tc>
      </w:tr>
      <w:tr>
        <w:tc>
          <w:tcPr>
            <w:tcW w:w="1163" w:type="dxa"/>
            <w:noWrap/>
          </w:tcPr>
          <w:p>
            <w:pPr>
              <w:pStyle w:val="yTableNAm"/>
            </w:pPr>
            <w:r>
              <w:t>6.</w:t>
            </w:r>
          </w:p>
        </w:tc>
        <w:tc>
          <w:tcPr>
            <w:tcW w:w="2977" w:type="dxa"/>
            <w:noWrap/>
          </w:tcPr>
          <w:p>
            <w:pPr>
              <w:pStyle w:val="yTableNAm"/>
            </w:pPr>
            <w:r>
              <w:t>Barnard</w:t>
            </w:r>
          </w:p>
        </w:tc>
        <w:tc>
          <w:tcPr>
            <w:tcW w:w="1985" w:type="dxa"/>
            <w:noWrap/>
          </w:tcPr>
          <w:p>
            <w:pPr>
              <w:pStyle w:val="yTableNAm"/>
            </w:pPr>
            <w:r>
              <w:t>GP</w:t>
            </w:r>
          </w:p>
        </w:tc>
      </w:tr>
      <w:tr>
        <w:tc>
          <w:tcPr>
            <w:tcW w:w="1163" w:type="dxa"/>
            <w:noWrap/>
          </w:tcPr>
          <w:p>
            <w:pPr>
              <w:pStyle w:val="yTableNAm"/>
            </w:pPr>
            <w:r>
              <w:t>7.</w:t>
            </w:r>
          </w:p>
        </w:tc>
        <w:tc>
          <w:tcPr>
            <w:tcW w:w="2977" w:type="dxa"/>
            <w:noWrap/>
          </w:tcPr>
          <w:p>
            <w:pPr>
              <w:pStyle w:val="yTableNAm"/>
            </w:pPr>
            <w:r>
              <w:t>Barnard</w:t>
            </w:r>
          </w:p>
        </w:tc>
        <w:tc>
          <w:tcPr>
            <w:tcW w:w="1985" w:type="dxa"/>
            <w:noWrap/>
          </w:tcPr>
          <w:p>
            <w:pPr>
              <w:pStyle w:val="yTableNAm"/>
            </w:pPr>
            <w:r>
              <w:t>P</w:t>
            </w:r>
            <w:r>
              <w:noBreakHyphen/>
              <w:t>CHEY</w:t>
            </w:r>
          </w:p>
        </w:tc>
      </w:tr>
      <w:tr>
        <w:tc>
          <w:tcPr>
            <w:tcW w:w="1163" w:type="dxa"/>
            <w:noWrap/>
          </w:tcPr>
          <w:p>
            <w:pPr>
              <w:pStyle w:val="yTableNAm"/>
            </w:pPr>
            <w:r>
              <w:t>8.</w:t>
            </w:r>
          </w:p>
        </w:tc>
        <w:tc>
          <w:tcPr>
            <w:tcW w:w="2977" w:type="dxa"/>
            <w:noWrap/>
          </w:tcPr>
          <w:p>
            <w:pPr>
              <w:pStyle w:val="yTableNAm"/>
            </w:pPr>
            <w:r>
              <w:t>Barnard</w:t>
            </w:r>
          </w:p>
        </w:tc>
        <w:tc>
          <w:tcPr>
            <w:tcW w:w="1985" w:type="dxa"/>
            <w:noWrap/>
          </w:tcPr>
          <w:p>
            <w:pPr>
              <w:pStyle w:val="yTableNAm"/>
            </w:pPr>
            <w:r>
              <w:t>PL</w:t>
            </w:r>
          </w:p>
        </w:tc>
      </w:tr>
      <w:tr>
        <w:tc>
          <w:tcPr>
            <w:tcW w:w="1163" w:type="dxa"/>
            <w:noWrap/>
          </w:tcPr>
          <w:p>
            <w:pPr>
              <w:pStyle w:val="yTableNAm"/>
            </w:pPr>
            <w:r>
              <w:t>9.</w:t>
            </w:r>
          </w:p>
        </w:tc>
        <w:tc>
          <w:tcPr>
            <w:tcW w:w="2977" w:type="dxa"/>
            <w:noWrap/>
          </w:tcPr>
          <w:p>
            <w:pPr>
              <w:pStyle w:val="yTableNAm"/>
            </w:pPr>
            <w:r>
              <w:t>Barrett</w:t>
            </w:r>
          </w:p>
        </w:tc>
        <w:tc>
          <w:tcPr>
            <w:tcW w:w="1985" w:type="dxa"/>
            <w:noWrap/>
          </w:tcPr>
          <w:p>
            <w:pPr>
              <w:pStyle w:val="yTableNAm"/>
            </w:pPr>
            <w:r>
              <w:t>98B</w:t>
            </w:r>
          </w:p>
        </w:tc>
      </w:tr>
      <w:tr>
        <w:tc>
          <w:tcPr>
            <w:tcW w:w="1163" w:type="dxa"/>
            <w:noWrap/>
          </w:tcPr>
          <w:p>
            <w:pPr>
              <w:pStyle w:val="yTableNAm"/>
            </w:pPr>
            <w:r>
              <w:t>10.</w:t>
            </w:r>
          </w:p>
        </w:tc>
        <w:tc>
          <w:tcPr>
            <w:tcW w:w="2977" w:type="dxa"/>
            <w:noWrap/>
          </w:tcPr>
          <w:p>
            <w:pPr>
              <w:pStyle w:val="yTableNAm"/>
            </w:pPr>
            <w:r>
              <w:t>BAT Machine</w:t>
            </w:r>
          </w:p>
        </w:tc>
        <w:tc>
          <w:tcPr>
            <w:tcW w:w="1985" w:type="dxa"/>
            <w:noWrap/>
          </w:tcPr>
          <w:p>
            <w:pPr>
              <w:pStyle w:val="yTableNAm"/>
            </w:pPr>
            <w:r>
              <w:t>HR</w:t>
            </w:r>
          </w:p>
        </w:tc>
      </w:tr>
      <w:tr>
        <w:tc>
          <w:tcPr>
            <w:tcW w:w="1163" w:type="dxa"/>
            <w:noWrap/>
          </w:tcPr>
          <w:p>
            <w:pPr>
              <w:pStyle w:val="yTableNAm"/>
            </w:pPr>
            <w:r>
              <w:t>11.</w:t>
            </w:r>
          </w:p>
        </w:tc>
        <w:tc>
          <w:tcPr>
            <w:tcW w:w="2977" w:type="dxa"/>
            <w:noWrap/>
          </w:tcPr>
          <w:p>
            <w:pPr>
              <w:pStyle w:val="yTableNAm"/>
            </w:pPr>
            <w:r>
              <w:t>BAT Machine</w:t>
            </w:r>
          </w:p>
        </w:tc>
        <w:tc>
          <w:tcPr>
            <w:tcW w:w="1985" w:type="dxa"/>
            <w:noWrap/>
          </w:tcPr>
          <w:p>
            <w:pPr>
              <w:pStyle w:val="yTableNAm"/>
            </w:pPr>
            <w:r>
              <w:t>M</w:t>
            </w:r>
          </w:p>
        </w:tc>
      </w:tr>
      <w:tr>
        <w:tc>
          <w:tcPr>
            <w:tcW w:w="1163" w:type="dxa"/>
            <w:noWrap/>
          </w:tcPr>
          <w:p>
            <w:pPr>
              <w:pStyle w:val="yTableNAm"/>
            </w:pPr>
            <w:r>
              <w:t>12.</w:t>
            </w:r>
          </w:p>
        </w:tc>
        <w:tc>
          <w:tcPr>
            <w:tcW w:w="2977" w:type="dxa"/>
            <w:noWrap/>
          </w:tcPr>
          <w:p>
            <w:pPr>
              <w:pStyle w:val="yTableNAm"/>
            </w:pPr>
            <w:r>
              <w:t>Blaser</w:t>
            </w:r>
          </w:p>
        </w:tc>
        <w:tc>
          <w:tcPr>
            <w:tcW w:w="1985" w:type="dxa"/>
            <w:noWrap/>
          </w:tcPr>
          <w:p>
            <w:pPr>
              <w:pStyle w:val="yTableNAm"/>
            </w:pPr>
            <w:r>
              <w:t>R8</w:t>
            </w:r>
          </w:p>
        </w:tc>
      </w:tr>
      <w:tr>
        <w:tc>
          <w:tcPr>
            <w:tcW w:w="1163" w:type="dxa"/>
            <w:noWrap/>
          </w:tcPr>
          <w:p>
            <w:pPr>
              <w:pStyle w:val="yTableNAm"/>
            </w:pPr>
            <w:r>
              <w:t>13.</w:t>
            </w:r>
          </w:p>
        </w:tc>
        <w:tc>
          <w:tcPr>
            <w:tcW w:w="2977" w:type="dxa"/>
            <w:noWrap/>
          </w:tcPr>
          <w:p>
            <w:pPr>
              <w:pStyle w:val="yTableNAm"/>
            </w:pPr>
            <w:r>
              <w:t>Blaser</w:t>
            </w:r>
          </w:p>
        </w:tc>
        <w:tc>
          <w:tcPr>
            <w:tcW w:w="1985" w:type="dxa"/>
            <w:noWrap/>
          </w:tcPr>
          <w:p>
            <w:pPr>
              <w:pStyle w:val="yTableNAm"/>
            </w:pPr>
            <w:r>
              <w:t>R93 Tactical</w:t>
            </w:r>
          </w:p>
        </w:tc>
      </w:tr>
      <w:tr>
        <w:tc>
          <w:tcPr>
            <w:tcW w:w="1163" w:type="dxa"/>
            <w:noWrap/>
          </w:tcPr>
          <w:p>
            <w:pPr>
              <w:pStyle w:val="yTableNAm"/>
            </w:pPr>
            <w:r>
              <w:t>14.</w:t>
            </w:r>
          </w:p>
        </w:tc>
        <w:tc>
          <w:tcPr>
            <w:tcW w:w="2977" w:type="dxa"/>
            <w:noWrap/>
          </w:tcPr>
          <w:p>
            <w:pPr>
              <w:pStyle w:val="yTableNAm"/>
            </w:pPr>
            <w:r>
              <w:t>Browning</w:t>
            </w:r>
          </w:p>
        </w:tc>
        <w:tc>
          <w:tcPr>
            <w:tcW w:w="1985" w:type="dxa"/>
            <w:noWrap/>
          </w:tcPr>
          <w:p>
            <w:pPr>
              <w:pStyle w:val="yTableNAm"/>
            </w:pPr>
            <w:r>
              <w:t>X</w:t>
            </w:r>
            <w:r>
              <w:noBreakHyphen/>
              <w:t>Bolt</w:t>
            </w:r>
          </w:p>
        </w:tc>
      </w:tr>
      <w:tr>
        <w:tc>
          <w:tcPr>
            <w:tcW w:w="1163" w:type="dxa"/>
            <w:noWrap/>
          </w:tcPr>
          <w:p>
            <w:pPr>
              <w:pStyle w:val="yTableNAm"/>
            </w:pPr>
            <w:r>
              <w:t>15.</w:t>
            </w:r>
          </w:p>
        </w:tc>
        <w:tc>
          <w:tcPr>
            <w:tcW w:w="2977" w:type="dxa"/>
            <w:noWrap/>
          </w:tcPr>
          <w:p>
            <w:pPr>
              <w:pStyle w:val="yTableNAm"/>
              <w:rPr>
                <w:rStyle w:val="DraftersNotes"/>
                <w:b w:val="0"/>
                <w:i w:val="0"/>
              </w:rPr>
            </w:pPr>
            <w:r>
              <w:t>CheyTac</w:t>
            </w:r>
          </w:p>
        </w:tc>
        <w:tc>
          <w:tcPr>
            <w:tcW w:w="1985" w:type="dxa"/>
            <w:noWrap/>
          </w:tcPr>
          <w:p>
            <w:pPr>
              <w:pStyle w:val="yTableNAm"/>
            </w:pPr>
            <w:r>
              <w:t>M200</w:t>
            </w:r>
          </w:p>
        </w:tc>
      </w:tr>
      <w:tr>
        <w:tc>
          <w:tcPr>
            <w:tcW w:w="1163" w:type="dxa"/>
            <w:noWrap/>
          </w:tcPr>
          <w:p>
            <w:pPr>
              <w:pStyle w:val="yTableNAm"/>
            </w:pPr>
            <w:r>
              <w:lastRenderedPageBreak/>
              <w:t>16.</w:t>
            </w:r>
          </w:p>
        </w:tc>
        <w:tc>
          <w:tcPr>
            <w:tcW w:w="2977" w:type="dxa"/>
            <w:noWrap/>
          </w:tcPr>
          <w:p>
            <w:pPr>
              <w:pStyle w:val="yTableNAm"/>
            </w:pPr>
            <w:r>
              <w:t>Defiance</w:t>
            </w:r>
          </w:p>
        </w:tc>
        <w:tc>
          <w:tcPr>
            <w:tcW w:w="1985" w:type="dxa"/>
            <w:noWrap/>
          </w:tcPr>
          <w:p>
            <w:pPr>
              <w:pStyle w:val="yTableNAm"/>
            </w:pPr>
            <w:r>
              <w:t>Deviant Tactical</w:t>
            </w:r>
          </w:p>
        </w:tc>
      </w:tr>
      <w:tr>
        <w:tc>
          <w:tcPr>
            <w:tcW w:w="1163" w:type="dxa"/>
            <w:noWrap/>
          </w:tcPr>
          <w:p>
            <w:pPr>
              <w:pStyle w:val="yTableNAm"/>
            </w:pPr>
            <w:r>
              <w:t>17.</w:t>
            </w:r>
          </w:p>
        </w:tc>
        <w:tc>
          <w:tcPr>
            <w:tcW w:w="2977" w:type="dxa"/>
            <w:noWrap/>
          </w:tcPr>
          <w:p>
            <w:pPr>
              <w:pStyle w:val="yTableNAm"/>
            </w:pPr>
            <w:r>
              <w:t>Desert Tech</w:t>
            </w:r>
          </w:p>
        </w:tc>
        <w:tc>
          <w:tcPr>
            <w:tcW w:w="1985" w:type="dxa"/>
            <w:noWrap/>
          </w:tcPr>
          <w:p>
            <w:pPr>
              <w:pStyle w:val="yTableNAm"/>
            </w:pPr>
            <w:r>
              <w:t>HTI</w:t>
            </w:r>
          </w:p>
        </w:tc>
      </w:tr>
      <w:tr>
        <w:tc>
          <w:tcPr>
            <w:tcW w:w="1163" w:type="dxa"/>
            <w:noWrap/>
          </w:tcPr>
          <w:p>
            <w:pPr>
              <w:pStyle w:val="yTableNAm"/>
            </w:pPr>
            <w:r>
              <w:t>18.</w:t>
            </w:r>
          </w:p>
        </w:tc>
        <w:tc>
          <w:tcPr>
            <w:tcW w:w="2977" w:type="dxa"/>
            <w:noWrap/>
          </w:tcPr>
          <w:p>
            <w:pPr>
              <w:pStyle w:val="yTableNAm"/>
            </w:pPr>
            <w:r>
              <w:t>Gunwerks</w:t>
            </w:r>
          </w:p>
        </w:tc>
        <w:tc>
          <w:tcPr>
            <w:tcW w:w="1985" w:type="dxa"/>
            <w:noWrap/>
          </w:tcPr>
          <w:p>
            <w:pPr>
              <w:pStyle w:val="yTableNAm"/>
            </w:pPr>
            <w:r>
              <w:t>Verdict LR1500</w:t>
            </w:r>
          </w:p>
        </w:tc>
      </w:tr>
      <w:tr>
        <w:tc>
          <w:tcPr>
            <w:tcW w:w="1163" w:type="dxa"/>
            <w:noWrap/>
          </w:tcPr>
          <w:p>
            <w:pPr>
              <w:pStyle w:val="yTableNAm"/>
            </w:pPr>
            <w:r>
              <w:t>19.</w:t>
            </w:r>
          </w:p>
        </w:tc>
        <w:tc>
          <w:tcPr>
            <w:tcW w:w="2977" w:type="dxa"/>
            <w:noWrap/>
          </w:tcPr>
          <w:p>
            <w:pPr>
              <w:pStyle w:val="yTableNAm"/>
            </w:pPr>
            <w:r>
              <w:t>Howa</w:t>
            </w:r>
          </w:p>
        </w:tc>
        <w:tc>
          <w:tcPr>
            <w:tcW w:w="1985" w:type="dxa"/>
            <w:noWrap/>
          </w:tcPr>
          <w:p>
            <w:pPr>
              <w:pStyle w:val="yTableNAm"/>
            </w:pPr>
            <w:r>
              <w:t>1500</w:t>
            </w:r>
          </w:p>
        </w:tc>
      </w:tr>
      <w:tr>
        <w:tc>
          <w:tcPr>
            <w:tcW w:w="1163" w:type="dxa"/>
            <w:noWrap/>
          </w:tcPr>
          <w:p>
            <w:pPr>
              <w:pStyle w:val="yTableNAm"/>
            </w:pPr>
            <w:r>
              <w:t>20.</w:t>
            </w:r>
          </w:p>
        </w:tc>
        <w:tc>
          <w:tcPr>
            <w:tcW w:w="2977" w:type="dxa"/>
            <w:noWrap/>
          </w:tcPr>
          <w:p>
            <w:pPr>
              <w:pStyle w:val="yTableNAm"/>
            </w:pPr>
            <w:r>
              <w:t>H</w:t>
            </w:r>
            <w:r>
              <w:noBreakHyphen/>
              <w:t>S Precision</w:t>
            </w:r>
          </w:p>
        </w:tc>
        <w:tc>
          <w:tcPr>
            <w:tcW w:w="1985" w:type="dxa"/>
            <w:noWrap/>
          </w:tcPr>
          <w:p>
            <w:pPr>
              <w:pStyle w:val="yTableNAm"/>
            </w:pPr>
            <w:r>
              <w:t>HTR</w:t>
            </w:r>
          </w:p>
        </w:tc>
      </w:tr>
      <w:tr>
        <w:tc>
          <w:tcPr>
            <w:tcW w:w="1163" w:type="dxa"/>
            <w:noWrap/>
          </w:tcPr>
          <w:p>
            <w:pPr>
              <w:pStyle w:val="yTableNAm"/>
            </w:pPr>
            <w:r>
              <w:t>21.</w:t>
            </w:r>
          </w:p>
        </w:tc>
        <w:tc>
          <w:tcPr>
            <w:tcW w:w="2977" w:type="dxa"/>
            <w:noWrap/>
          </w:tcPr>
          <w:p>
            <w:pPr>
              <w:pStyle w:val="yTableNAm"/>
            </w:pPr>
            <w:r>
              <w:t>McMillan</w:t>
            </w:r>
          </w:p>
        </w:tc>
        <w:tc>
          <w:tcPr>
            <w:tcW w:w="1985" w:type="dxa"/>
            <w:noWrap/>
          </w:tcPr>
          <w:p>
            <w:pPr>
              <w:pStyle w:val="yTableNAm"/>
            </w:pPr>
            <w:r>
              <w:t>G30</w:t>
            </w:r>
          </w:p>
        </w:tc>
      </w:tr>
      <w:tr>
        <w:tc>
          <w:tcPr>
            <w:tcW w:w="1163" w:type="dxa"/>
            <w:noWrap/>
          </w:tcPr>
          <w:p>
            <w:pPr>
              <w:pStyle w:val="yTableNAm"/>
            </w:pPr>
            <w:r>
              <w:t>22.</w:t>
            </w:r>
          </w:p>
        </w:tc>
        <w:tc>
          <w:tcPr>
            <w:tcW w:w="2977" w:type="dxa"/>
            <w:noWrap/>
          </w:tcPr>
          <w:p>
            <w:pPr>
              <w:pStyle w:val="yTableNAm"/>
            </w:pPr>
            <w:r>
              <w:t>McMillan</w:t>
            </w:r>
          </w:p>
        </w:tc>
        <w:tc>
          <w:tcPr>
            <w:tcW w:w="1985" w:type="dxa"/>
            <w:noWrap/>
          </w:tcPr>
          <w:p>
            <w:pPr>
              <w:pStyle w:val="yTableNAm"/>
            </w:pPr>
            <w:r>
              <w:t>MCRT</w:t>
            </w:r>
          </w:p>
        </w:tc>
      </w:tr>
      <w:tr>
        <w:tc>
          <w:tcPr>
            <w:tcW w:w="1163" w:type="dxa"/>
            <w:noWrap/>
          </w:tcPr>
          <w:p>
            <w:pPr>
              <w:pStyle w:val="yTableNAm"/>
            </w:pPr>
            <w:r>
              <w:t>23.</w:t>
            </w:r>
          </w:p>
        </w:tc>
        <w:tc>
          <w:tcPr>
            <w:tcW w:w="2977" w:type="dxa"/>
            <w:noWrap/>
          </w:tcPr>
          <w:p>
            <w:pPr>
              <w:pStyle w:val="yTableNAm"/>
            </w:pPr>
            <w:r>
              <w:t>McMillan</w:t>
            </w:r>
          </w:p>
        </w:tc>
        <w:tc>
          <w:tcPr>
            <w:tcW w:w="1985" w:type="dxa"/>
            <w:noWrap/>
          </w:tcPr>
          <w:p>
            <w:pPr>
              <w:pStyle w:val="yTableNAm"/>
            </w:pPr>
            <w:r>
              <w:t>TAC</w:t>
            </w:r>
            <w:r>
              <w:noBreakHyphen/>
              <w:t>338</w:t>
            </w:r>
          </w:p>
        </w:tc>
      </w:tr>
      <w:tr>
        <w:tc>
          <w:tcPr>
            <w:tcW w:w="1163" w:type="dxa"/>
            <w:noWrap/>
          </w:tcPr>
          <w:p>
            <w:pPr>
              <w:pStyle w:val="yTableNAm"/>
            </w:pPr>
            <w:r>
              <w:t>24.</w:t>
            </w:r>
          </w:p>
        </w:tc>
        <w:tc>
          <w:tcPr>
            <w:tcW w:w="2977" w:type="dxa"/>
            <w:noWrap/>
          </w:tcPr>
          <w:p>
            <w:pPr>
              <w:pStyle w:val="yTableNAm"/>
              <w:rPr>
                <w:rStyle w:val="DraftersNotes"/>
                <w:b w:val="0"/>
                <w:i w:val="0"/>
              </w:rPr>
            </w:pPr>
            <w:r>
              <w:t>McMillan</w:t>
            </w:r>
          </w:p>
        </w:tc>
        <w:tc>
          <w:tcPr>
            <w:tcW w:w="1985" w:type="dxa"/>
            <w:noWrap/>
          </w:tcPr>
          <w:p>
            <w:pPr>
              <w:pStyle w:val="yTableNAm"/>
            </w:pPr>
            <w:r>
              <w:t>TAC</w:t>
            </w:r>
            <w:r>
              <w:noBreakHyphen/>
              <w:t>416</w:t>
            </w:r>
          </w:p>
        </w:tc>
      </w:tr>
      <w:tr>
        <w:tc>
          <w:tcPr>
            <w:tcW w:w="1163" w:type="dxa"/>
            <w:noWrap/>
          </w:tcPr>
          <w:p>
            <w:pPr>
              <w:pStyle w:val="yTableNAm"/>
            </w:pPr>
            <w:r>
              <w:t>25.</w:t>
            </w:r>
          </w:p>
        </w:tc>
        <w:tc>
          <w:tcPr>
            <w:tcW w:w="2977" w:type="dxa"/>
            <w:noWrap/>
          </w:tcPr>
          <w:p>
            <w:pPr>
              <w:pStyle w:val="yTableNAm"/>
            </w:pPr>
            <w:r>
              <w:t>McMillan</w:t>
            </w:r>
          </w:p>
        </w:tc>
        <w:tc>
          <w:tcPr>
            <w:tcW w:w="1985" w:type="dxa"/>
            <w:noWrap/>
          </w:tcPr>
          <w:p>
            <w:pPr>
              <w:pStyle w:val="yTableNAm"/>
            </w:pPr>
            <w:r>
              <w:t>TAC</w:t>
            </w:r>
            <w:r>
              <w:noBreakHyphen/>
              <w:t>50</w:t>
            </w:r>
          </w:p>
        </w:tc>
      </w:tr>
      <w:tr>
        <w:tc>
          <w:tcPr>
            <w:tcW w:w="1163" w:type="dxa"/>
            <w:noWrap/>
          </w:tcPr>
          <w:p>
            <w:pPr>
              <w:pStyle w:val="yTableNAm"/>
            </w:pPr>
            <w:r>
              <w:t>26.</w:t>
            </w:r>
          </w:p>
        </w:tc>
        <w:tc>
          <w:tcPr>
            <w:tcW w:w="2977" w:type="dxa"/>
            <w:noWrap/>
          </w:tcPr>
          <w:p>
            <w:pPr>
              <w:pStyle w:val="yTableNAm"/>
            </w:pPr>
            <w:r>
              <w:t>Nesika</w:t>
            </w:r>
          </w:p>
        </w:tc>
        <w:tc>
          <w:tcPr>
            <w:tcW w:w="1985" w:type="dxa"/>
            <w:noWrap/>
          </w:tcPr>
          <w:p>
            <w:pPr>
              <w:pStyle w:val="yTableNAm"/>
            </w:pPr>
            <w:r>
              <w:t>MT</w:t>
            </w:r>
          </w:p>
        </w:tc>
      </w:tr>
      <w:tr>
        <w:tc>
          <w:tcPr>
            <w:tcW w:w="1163" w:type="dxa"/>
            <w:noWrap/>
          </w:tcPr>
          <w:p>
            <w:pPr>
              <w:pStyle w:val="yTableNAm"/>
            </w:pPr>
            <w:r>
              <w:t>27.</w:t>
            </w:r>
          </w:p>
        </w:tc>
        <w:tc>
          <w:tcPr>
            <w:tcW w:w="2977" w:type="dxa"/>
            <w:noWrap/>
          </w:tcPr>
          <w:p>
            <w:pPr>
              <w:pStyle w:val="yTableNAm"/>
            </w:pPr>
            <w:r>
              <w:t>Pierce Engineering</w:t>
            </w:r>
          </w:p>
        </w:tc>
        <w:tc>
          <w:tcPr>
            <w:tcW w:w="1985" w:type="dxa"/>
            <w:noWrap/>
          </w:tcPr>
          <w:p>
            <w:pPr>
              <w:pStyle w:val="yTableNAm"/>
            </w:pPr>
            <w:r>
              <w:t>Titanium</w:t>
            </w:r>
          </w:p>
        </w:tc>
      </w:tr>
      <w:tr>
        <w:tc>
          <w:tcPr>
            <w:tcW w:w="1163" w:type="dxa"/>
            <w:noWrap/>
          </w:tcPr>
          <w:p>
            <w:pPr>
              <w:pStyle w:val="yTableNAm"/>
            </w:pPr>
            <w:r>
              <w:t>28.</w:t>
            </w:r>
          </w:p>
        </w:tc>
        <w:tc>
          <w:tcPr>
            <w:tcW w:w="2977" w:type="dxa"/>
            <w:noWrap/>
          </w:tcPr>
          <w:p>
            <w:pPr>
              <w:pStyle w:val="yTableNAm"/>
            </w:pPr>
            <w:r>
              <w:t>Remington</w:t>
            </w:r>
          </w:p>
        </w:tc>
        <w:tc>
          <w:tcPr>
            <w:tcW w:w="1985" w:type="dxa"/>
            <w:noWrap/>
          </w:tcPr>
          <w:p>
            <w:pPr>
              <w:pStyle w:val="yTableNAm"/>
            </w:pPr>
            <w:r>
              <w:t>40 X TARGET</w:t>
            </w:r>
          </w:p>
        </w:tc>
      </w:tr>
      <w:tr>
        <w:tc>
          <w:tcPr>
            <w:tcW w:w="1163" w:type="dxa"/>
            <w:noWrap/>
          </w:tcPr>
          <w:p>
            <w:pPr>
              <w:pStyle w:val="yTableNAm"/>
            </w:pPr>
            <w:r>
              <w:t>29.</w:t>
            </w:r>
          </w:p>
        </w:tc>
        <w:tc>
          <w:tcPr>
            <w:tcW w:w="2977" w:type="dxa"/>
            <w:noWrap/>
          </w:tcPr>
          <w:p>
            <w:pPr>
              <w:pStyle w:val="yTableNAm"/>
            </w:pPr>
            <w:r>
              <w:t>Remington</w:t>
            </w:r>
          </w:p>
        </w:tc>
        <w:tc>
          <w:tcPr>
            <w:tcW w:w="1985" w:type="dxa"/>
            <w:noWrap/>
          </w:tcPr>
          <w:p>
            <w:pPr>
              <w:pStyle w:val="yTableNAm"/>
            </w:pPr>
            <w:r>
              <w:t>700</w:t>
            </w:r>
          </w:p>
        </w:tc>
      </w:tr>
      <w:tr>
        <w:tc>
          <w:tcPr>
            <w:tcW w:w="1163" w:type="dxa"/>
            <w:noWrap/>
          </w:tcPr>
          <w:p>
            <w:pPr>
              <w:pStyle w:val="yTableNAm"/>
            </w:pPr>
            <w:r>
              <w:t>30.</w:t>
            </w:r>
          </w:p>
        </w:tc>
        <w:tc>
          <w:tcPr>
            <w:tcW w:w="2977" w:type="dxa"/>
            <w:noWrap/>
          </w:tcPr>
          <w:p>
            <w:pPr>
              <w:pStyle w:val="yTableNAm"/>
            </w:pPr>
            <w:r>
              <w:t>Sako</w:t>
            </w:r>
          </w:p>
        </w:tc>
        <w:tc>
          <w:tcPr>
            <w:tcW w:w="1985" w:type="dxa"/>
            <w:noWrap/>
          </w:tcPr>
          <w:p>
            <w:pPr>
              <w:pStyle w:val="yTableNAm"/>
            </w:pPr>
            <w:r>
              <w:t>M995</w:t>
            </w:r>
          </w:p>
        </w:tc>
      </w:tr>
      <w:tr>
        <w:tc>
          <w:tcPr>
            <w:tcW w:w="1163" w:type="dxa"/>
            <w:noWrap/>
          </w:tcPr>
          <w:p>
            <w:pPr>
              <w:pStyle w:val="yTableNAm"/>
            </w:pPr>
            <w:r>
              <w:t>31.</w:t>
            </w:r>
          </w:p>
        </w:tc>
        <w:tc>
          <w:tcPr>
            <w:tcW w:w="2977" w:type="dxa"/>
            <w:noWrap/>
          </w:tcPr>
          <w:p>
            <w:pPr>
              <w:pStyle w:val="yTableNAm"/>
            </w:pPr>
            <w:r>
              <w:t>Sako</w:t>
            </w:r>
          </w:p>
        </w:tc>
        <w:tc>
          <w:tcPr>
            <w:tcW w:w="1985" w:type="dxa"/>
            <w:noWrap/>
          </w:tcPr>
          <w:p>
            <w:pPr>
              <w:pStyle w:val="yTableNAm"/>
            </w:pPr>
            <w:r>
              <w:t>TRG M10</w:t>
            </w:r>
          </w:p>
        </w:tc>
      </w:tr>
      <w:tr>
        <w:tc>
          <w:tcPr>
            <w:tcW w:w="1163" w:type="dxa"/>
            <w:noWrap/>
          </w:tcPr>
          <w:p>
            <w:pPr>
              <w:pStyle w:val="yTableNAm"/>
            </w:pPr>
            <w:r>
              <w:t>32.</w:t>
            </w:r>
          </w:p>
        </w:tc>
        <w:tc>
          <w:tcPr>
            <w:tcW w:w="2977" w:type="dxa"/>
            <w:noWrap/>
          </w:tcPr>
          <w:p>
            <w:pPr>
              <w:pStyle w:val="yTableNAm"/>
            </w:pPr>
            <w:r>
              <w:t>Sako</w:t>
            </w:r>
          </w:p>
        </w:tc>
        <w:tc>
          <w:tcPr>
            <w:tcW w:w="1985" w:type="dxa"/>
            <w:noWrap/>
          </w:tcPr>
          <w:p>
            <w:pPr>
              <w:pStyle w:val="yTableNAm"/>
            </w:pPr>
            <w:r>
              <w:t>TRG 42</w:t>
            </w:r>
          </w:p>
        </w:tc>
      </w:tr>
      <w:tr>
        <w:tc>
          <w:tcPr>
            <w:tcW w:w="1163" w:type="dxa"/>
            <w:noWrap/>
          </w:tcPr>
          <w:p>
            <w:pPr>
              <w:pStyle w:val="yTableNAm"/>
            </w:pPr>
            <w:r>
              <w:t>33.</w:t>
            </w:r>
          </w:p>
        </w:tc>
        <w:tc>
          <w:tcPr>
            <w:tcW w:w="2977" w:type="dxa"/>
            <w:noWrap/>
          </w:tcPr>
          <w:p>
            <w:pPr>
              <w:pStyle w:val="yTableNAm"/>
            </w:pPr>
            <w:r>
              <w:t>Sako</w:t>
            </w:r>
          </w:p>
        </w:tc>
        <w:tc>
          <w:tcPr>
            <w:tcW w:w="1985" w:type="dxa"/>
            <w:noWrap/>
          </w:tcPr>
          <w:p>
            <w:pPr>
              <w:pStyle w:val="yTableNAm"/>
            </w:pPr>
            <w:r>
              <w:t>85 LONG RANGE</w:t>
            </w:r>
          </w:p>
        </w:tc>
      </w:tr>
      <w:tr>
        <w:tc>
          <w:tcPr>
            <w:tcW w:w="1163" w:type="dxa"/>
            <w:noWrap/>
          </w:tcPr>
          <w:p>
            <w:pPr>
              <w:pStyle w:val="yTableNAm"/>
            </w:pPr>
            <w:r>
              <w:t>34.</w:t>
            </w:r>
          </w:p>
        </w:tc>
        <w:tc>
          <w:tcPr>
            <w:tcW w:w="2977" w:type="dxa"/>
            <w:noWrap/>
          </w:tcPr>
          <w:p>
            <w:pPr>
              <w:pStyle w:val="yTableNAm"/>
            </w:pPr>
            <w:r>
              <w:t>Savage</w:t>
            </w:r>
          </w:p>
        </w:tc>
        <w:tc>
          <w:tcPr>
            <w:tcW w:w="1985" w:type="dxa"/>
            <w:noWrap/>
          </w:tcPr>
          <w:p>
            <w:pPr>
              <w:pStyle w:val="yTableNAm"/>
            </w:pPr>
            <w:r>
              <w:t>10</w:t>
            </w:r>
          </w:p>
        </w:tc>
      </w:tr>
      <w:tr>
        <w:tc>
          <w:tcPr>
            <w:tcW w:w="1163" w:type="dxa"/>
            <w:noWrap/>
          </w:tcPr>
          <w:p>
            <w:pPr>
              <w:pStyle w:val="yTableNAm"/>
            </w:pPr>
            <w:r>
              <w:lastRenderedPageBreak/>
              <w:t>35.</w:t>
            </w:r>
          </w:p>
        </w:tc>
        <w:tc>
          <w:tcPr>
            <w:tcW w:w="2977" w:type="dxa"/>
            <w:noWrap/>
          </w:tcPr>
          <w:p>
            <w:pPr>
              <w:pStyle w:val="yTableNAm"/>
            </w:pPr>
            <w:r>
              <w:t>Savage</w:t>
            </w:r>
          </w:p>
        </w:tc>
        <w:tc>
          <w:tcPr>
            <w:tcW w:w="1985" w:type="dxa"/>
            <w:noWrap/>
          </w:tcPr>
          <w:p>
            <w:pPr>
              <w:pStyle w:val="yTableNAm"/>
            </w:pPr>
            <w:r>
              <w:t>110</w:t>
            </w:r>
          </w:p>
        </w:tc>
      </w:tr>
      <w:tr>
        <w:tc>
          <w:tcPr>
            <w:tcW w:w="1163" w:type="dxa"/>
            <w:noWrap/>
          </w:tcPr>
          <w:p>
            <w:pPr>
              <w:pStyle w:val="yTableNAm"/>
            </w:pPr>
            <w:r>
              <w:t>36.</w:t>
            </w:r>
          </w:p>
        </w:tc>
        <w:tc>
          <w:tcPr>
            <w:tcW w:w="2977" w:type="dxa"/>
            <w:noWrap/>
          </w:tcPr>
          <w:p>
            <w:pPr>
              <w:pStyle w:val="yTableNAm"/>
            </w:pPr>
            <w:r>
              <w:t>Savage</w:t>
            </w:r>
          </w:p>
        </w:tc>
        <w:tc>
          <w:tcPr>
            <w:tcW w:w="1985" w:type="dxa"/>
            <w:noWrap/>
          </w:tcPr>
          <w:p>
            <w:pPr>
              <w:pStyle w:val="yTableNAm"/>
            </w:pPr>
            <w:r>
              <w:t>111 Long Range Hunter</w:t>
            </w:r>
          </w:p>
        </w:tc>
      </w:tr>
      <w:tr>
        <w:tc>
          <w:tcPr>
            <w:tcW w:w="1163" w:type="dxa"/>
            <w:noWrap/>
          </w:tcPr>
          <w:p>
            <w:pPr>
              <w:pStyle w:val="yTableNAm"/>
            </w:pPr>
            <w:r>
              <w:t>37.</w:t>
            </w:r>
          </w:p>
        </w:tc>
        <w:tc>
          <w:tcPr>
            <w:tcW w:w="2977" w:type="dxa"/>
            <w:noWrap/>
          </w:tcPr>
          <w:p>
            <w:pPr>
              <w:pStyle w:val="yTableNAm"/>
            </w:pPr>
            <w:r>
              <w:t>Savage</w:t>
            </w:r>
          </w:p>
        </w:tc>
        <w:tc>
          <w:tcPr>
            <w:tcW w:w="1985" w:type="dxa"/>
            <w:noWrap/>
          </w:tcPr>
          <w:p>
            <w:pPr>
              <w:pStyle w:val="yTableNAm"/>
            </w:pPr>
            <w:r>
              <w:t>112 Magnum Target</w:t>
            </w:r>
          </w:p>
        </w:tc>
      </w:tr>
      <w:tr>
        <w:tc>
          <w:tcPr>
            <w:tcW w:w="1163" w:type="dxa"/>
            <w:noWrap/>
          </w:tcPr>
          <w:p>
            <w:pPr>
              <w:pStyle w:val="yTableNAm"/>
            </w:pPr>
            <w:r>
              <w:t>38.</w:t>
            </w:r>
          </w:p>
        </w:tc>
        <w:tc>
          <w:tcPr>
            <w:tcW w:w="2977" w:type="dxa"/>
            <w:noWrap/>
          </w:tcPr>
          <w:p>
            <w:pPr>
              <w:pStyle w:val="yTableNAm"/>
            </w:pPr>
            <w:r>
              <w:t>Serbu</w:t>
            </w:r>
          </w:p>
        </w:tc>
        <w:tc>
          <w:tcPr>
            <w:tcW w:w="1985" w:type="dxa"/>
            <w:noWrap/>
          </w:tcPr>
          <w:p>
            <w:pPr>
              <w:pStyle w:val="yTableNAm"/>
            </w:pPr>
            <w:r>
              <w:t>BFG</w:t>
            </w:r>
            <w:r>
              <w:noBreakHyphen/>
              <w:t>50</w:t>
            </w:r>
          </w:p>
        </w:tc>
      </w:tr>
      <w:tr>
        <w:tc>
          <w:tcPr>
            <w:tcW w:w="1163" w:type="dxa"/>
            <w:noWrap/>
          </w:tcPr>
          <w:p>
            <w:pPr>
              <w:pStyle w:val="yTableNAm"/>
            </w:pPr>
            <w:r>
              <w:t>39.</w:t>
            </w:r>
          </w:p>
        </w:tc>
        <w:tc>
          <w:tcPr>
            <w:tcW w:w="2977" w:type="dxa"/>
            <w:noWrap/>
          </w:tcPr>
          <w:p>
            <w:pPr>
              <w:pStyle w:val="yTableNAm"/>
            </w:pPr>
            <w:r>
              <w:t>Steyr</w:t>
            </w:r>
          </w:p>
        </w:tc>
        <w:tc>
          <w:tcPr>
            <w:tcW w:w="1985" w:type="dxa"/>
            <w:noWrap/>
          </w:tcPr>
          <w:p>
            <w:pPr>
              <w:pStyle w:val="yTableNAm"/>
            </w:pPr>
            <w:r>
              <w:t>CL II</w:t>
            </w:r>
          </w:p>
        </w:tc>
      </w:tr>
      <w:tr>
        <w:tc>
          <w:tcPr>
            <w:tcW w:w="1163" w:type="dxa"/>
            <w:noWrap/>
          </w:tcPr>
          <w:p>
            <w:pPr>
              <w:pStyle w:val="yTableNAm"/>
            </w:pPr>
            <w:r>
              <w:t>40.</w:t>
            </w:r>
          </w:p>
        </w:tc>
        <w:tc>
          <w:tcPr>
            <w:tcW w:w="2977" w:type="dxa"/>
            <w:noWrap/>
          </w:tcPr>
          <w:p>
            <w:pPr>
              <w:pStyle w:val="yTableNAm"/>
            </w:pPr>
            <w:r>
              <w:t>Steyr</w:t>
            </w:r>
          </w:p>
        </w:tc>
        <w:tc>
          <w:tcPr>
            <w:tcW w:w="1985" w:type="dxa"/>
            <w:noWrap/>
          </w:tcPr>
          <w:p>
            <w:pPr>
              <w:pStyle w:val="yTableNAm"/>
            </w:pPr>
            <w:r>
              <w:t>HS</w:t>
            </w:r>
            <w:r>
              <w:noBreakHyphen/>
              <w:t>460</w:t>
            </w:r>
          </w:p>
        </w:tc>
      </w:tr>
      <w:tr>
        <w:tc>
          <w:tcPr>
            <w:tcW w:w="1163" w:type="dxa"/>
            <w:noWrap/>
          </w:tcPr>
          <w:p>
            <w:pPr>
              <w:pStyle w:val="yTableNAm"/>
            </w:pPr>
            <w:r>
              <w:t>41.</w:t>
            </w:r>
          </w:p>
        </w:tc>
        <w:tc>
          <w:tcPr>
            <w:tcW w:w="2977" w:type="dxa"/>
            <w:noWrap/>
          </w:tcPr>
          <w:p>
            <w:pPr>
              <w:pStyle w:val="yTableNAm"/>
            </w:pPr>
            <w:r>
              <w:t>Steyr</w:t>
            </w:r>
          </w:p>
        </w:tc>
        <w:tc>
          <w:tcPr>
            <w:tcW w:w="1985" w:type="dxa"/>
            <w:noWrap/>
          </w:tcPr>
          <w:p>
            <w:pPr>
              <w:pStyle w:val="yTableNAm"/>
            </w:pPr>
            <w:r>
              <w:t>HS</w:t>
            </w:r>
            <w:r>
              <w:noBreakHyphen/>
              <w:t>50</w:t>
            </w:r>
          </w:p>
        </w:tc>
      </w:tr>
      <w:tr>
        <w:tc>
          <w:tcPr>
            <w:tcW w:w="1163" w:type="dxa"/>
            <w:noWrap/>
          </w:tcPr>
          <w:p>
            <w:pPr>
              <w:pStyle w:val="yTableNAm"/>
            </w:pPr>
            <w:r>
              <w:t>42.</w:t>
            </w:r>
          </w:p>
        </w:tc>
        <w:tc>
          <w:tcPr>
            <w:tcW w:w="2977" w:type="dxa"/>
            <w:noWrap/>
          </w:tcPr>
          <w:p>
            <w:pPr>
              <w:pStyle w:val="yTableNAm"/>
            </w:pPr>
            <w:r>
              <w:t>Steyr</w:t>
            </w:r>
          </w:p>
        </w:tc>
        <w:tc>
          <w:tcPr>
            <w:tcW w:w="1985" w:type="dxa"/>
            <w:noWrap/>
          </w:tcPr>
          <w:p>
            <w:pPr>
              <w:pStyle w:val="yTableNAm"/>
            </w:pPr>
            <w:r>
              <w:t>SSG 08</w:t>
            </w:r>
            <w:r>
              <w:noBreakHyphen/>
              <w:t>A1</w:t>
            </w:r>
          </w:p>
        </w:tc>
      </w:tr>
      <w:tr>
        <w:tc>
          <w:tcPr>
            <w:tcW w:w="1163" w:type="dxa"/>
            <w:noWrap/>
          </w:tcPr>
          <w:p>
            <w:pPr>
              <w:pStyle w:val="yTableNAm"/>
            </w:pPr>
            <w:r>
              <w:t>43.</w:t>
            </w:r>
          </w:p>
        </w:tc>
        <w:tc>
          <w:tcPr>
            <w:tcW w:w="2977" w:type="dxa"/>
            <w:noWrap/>
          </w:tcPr>
          <w:p>
            <w:pPr>
              <w:pStyle w:val="yTableNAm"/>
            </w:pPr>
            <w:r>
              <w:t>Stiller Precision Firearms</w:t>
            </w:r>
          </w:p>
        </w:tc>
        <w:tc>
          <w:tcPr>
            <w:tcW w:w="1985" w:type="dxa"/>
            <w:noWrap/>
          </w:tcPr>
          <w:p>
            <w:pPr>
              <w:pStyle w:val="yTableNAm"/>
            </w:pPr>
            <w:r>
              <w:t>APRS</w:t>
            </w:r>
          </w:p>
        </w:tc>
      </w:tr>
      <w:tr>
        <w:tc>
          <w:tcPr>
            <w:tcW w:w="1163" w:type="dxa"/>
            <w:noWrap/>
          </w:tcPr>
          <w:p>
            <w:pPr>
              <w:pStyle w:val="yTableNAm"/>
            </w:pPr>
            <w:r>
              <w:t>44.</w:t>
            </w:r>
          </w:p>
        </w:tc>
        <w:tc>
          <w:tcPr>
            <w:tcW w:w="2977" w:type="dxa"/>
            <w:noWrap/>
          </w:tcPr>
          <w:p>
            <w:pPr>
              <w:pStyle w:val="yTableNAm"/>
            </w:pPr>
            <w:r>
              <w:t>Stiller Precision Firearms</w:t>
            </w:r>
          </w:p>
        </w:tc>
        <w:tc>
          <w:tcPr>
            <w:tcW w:w="1985" w:type="dxa"/>
            <w:noWrap/>
          </w:tcPr>
          <w:p>
            <w:pPr>
              <w:pStyle w:val="yTableNAm"/>
            </w:pPr>
            <w:r>
              <w:t>Predator</w:t>
            </w:r>
          </w:p>
        </w:tc>
      </w:tr>
      <w:tr>
        <w:tc>
          <w:tcPr>
            <w:tcW w:w="1163" w:type="dxa"/>
            <w:noWrap/>
          </w:tcPr>
          <w:p>
            <w:pPr>
              <w:pStyle w:val="yTableNAm"/>
            </w:pPr>
            <w:r>
              <w:t>45.</w:t>
            </w:r>
          </w:p>
        </w:tc>
        <w:tc>
          <w:tcPr>
            <w:tcW w:w="2977" w:type="dxa"/>
            <w:noWrap/>
          </w:tcPr>
          <w:p>
            <w:pPr>
              <w:pStyle w:val="yTableNAm"/>
            </w:pPr>
            <w:r>
              <w:t>Stiller Precision Firearms</w:t>
            </w:r>
          </w:p>
        </w:tc>
        <w:tc>
          <w:tcPr>
            <w:tcW w:w="1985" w:type="dxa"/>
            <w:noWrap/>
          </w:tcPr>
          <w:p>
            <w:pPr>
              <w:pStyle w:val="yTableNAm"/>
            </w:pPr>
            <w:r>
              <w:t>TAC 338</w:t>
            </w:r>
          </w:p>
        </w:tc>
      </w:tr>
      <w:tr>
        <w:tc>
          <w:tcPr>
            <w:tcW w:w="1163" w:type="dxa"/>
            <w:noWrap/>
          </w:tcPr>
          <w:p>
            <w:pPr>
              <w:pStyle w:val="yTableNAm"/>
            </w:pPr>
            <w:r>
              <w:t>46.</w:t>
            </w:r>
          </w:p>
        </w:tc>
        <w:tc>
          <w:tcPr>
            <w:tcW w:w="2977" w:type="dxa"/>
            <w:noWrap/>
          </w:tcPr>
          <w:p>
            <w:pPr>
              <w:pStyle w:val="yTableNAm"/>
            </w:pPr>
            <w:r>
              <w:t>Stiller Precision Firearms</w:t>
            </w:r>
          </w:p>
        </w:tc>
        <w:tc>
          <w:tcPr>
            <w:tcW w:w="1985" w:type="dxa"/>
            <w:noWrap/>
          </w:tcPr>
          <w:p>
            <w:pPr>
              <w:pStyle w:val="yTableNAm"/>
            </w:pPr>
            <w:r>
              <w:t>TAC 408</w:t>
            </w:r>
          </w:p>
        </w:tc>
      </w:tr>
      <w:tr>
        <w:tc>
          <w:tcPr>
            <w:tcW w:w="1163" w:type="dxa"/>
            <w:noWrap/>
          </w:tcPr>
          <w:p>
            <w:pPr>
              <w:pStyle w:val="yTableNAm"/>
            </w:pPr>
            <w:r>
              <w:t>47.</w:t>
            </w:r>
          </w:p>
        </w:tc>
        <w:tc>
          <w:tcPr>
            <w:tcW w:w="2977" w:type="dxa"/>
            <w:noWrap/>
          </w:tcPr>
          <w:p>
            <w:pPr>
              <w:pStyle w:val="yTableNAm"/>
            </w:pPr>
            <w:r>
              <w:t>Surgeon Rifles</w:t>
            </w:r>
          </w:p>
        </w:tc>
        <w:tc>
          <w:tcPr>
            <w:tcW w:w="1985" w:type="dxa"/>
            <w:noWrap/>
          </w:tcPr>
          <w:p>
            <w:pPr>
              <w:pStyle w:val="yTableNAm"/>
            </w:pPr>
            <w:r>
              <w:t>XL Remedy</w:t>
            </w:r>
          </w:p>
        </w:tc>
      </w:tr>
      <w:tr>
        <w:tc>
          <w:tcPr>
            <w:tcW w:w="1163" w:type="dxa"/>
            <w:noWrap/>
          </w:tcPr>
          <w:p>
            <w:pPr>
              <w:pStyle w:val="yTableNAm"/>
            </w:pPr>
            <w:r>
              <w:t>48.</w:t>
            </w:r>
          </w:p>
        </w:tc>
        <w:tc>
          <w:tcPr>
            <w:tcW w:w="2977" w:type="dxa"/>
            <w:noWrap/>
          </w:tcPr>
          <w:p>
            <w:pPr>
              <w:pStyle w:val="yTableNAm"/>
            </w:pPr>
            <w:r>
              <w:t>Victrix</w:t>
            </w:r>
          </w:p>
        </w:tc>
        <w:tc>
          <w:tcPr>
            <w:tcW w:w="1985" w:type="dxa"/>
            <w:noWrap/>
          </w:tcPr>
          <w:p>
            <w:pPr>
              <w:pStyle w:val="yTableNAm"/>
            </w:pPr>
            <w:r>
              <w:t>Corvo</w:t>
            </w:r>
          </w:p>
        </w:tc>
      </w:tr>
      <w:tr>
        <w:tc>
          <w:tcPr>
            <w:tcW w:w="1163" w:type="dxa"/>
            <w:noWrap/>
          </w:tcPr>
          <w:p>
            <w:pPr>
              <w:pStyle w:val="yTableNAm"/>
            </w:pPr>
            <w:r>
              <w:t>49.</w:t>
            </w:r>
          </w:p>
        </w:tc>
        <w:tc>
          <w:tcPr>
            <w:tcW w:w="2977" w:type="dxa"/>
            <w:noWrap/>
          </w:tcPr>
          <w:p>
            <w:pPr>
              <w:pStyle w:val="yTableNAm"/>
            </w:pPr>
            <w:r>
              <w:t>Victrix</w:t>
            </w:r>
          </w:p>
        </w:tc>
        <w:tc>
          <w:tcPr>
            <w:tcW w:w="1985" w:type="dxa"/>
            <w:noWrap/>
          </w:tcPr>
          <w:p>
            <w:pPr>
              <w:pStyle w:val="yTableNAm"/>
            </w:pPr>
            <w:r>
              <w:t>Scorpio</w:t>
            </w:r>
          </w:p>
        </w:tc>
      </w:tr>
      <w:tr>
        <w:tc>
          <w:tcPr>
            <w:tcW w:w="1163" w:type="dxa"/>
            <w:noWrap/>
          </w:tcPr>
          <w:p>
            <w:pPr>
              <w:pStyle w:val="yTableNAm"/>
            </w:pPr>
            <w:r>
              <w:t>50.</w:t>
            </w:r>
          </w:p>
        </w:tc>
        <w:tc>
          <w:tcPr>
            <w:tcW w:w="2977" w:type="dxa"/>
            <w:noWrap/>
          </w:tcPr>
          <w:p>
            <w:pPr>
              <w:pStyle w:val="yTableNAm"/>
            </w:pPr>
            <w:r>
              <w:t>Victrix</w:t>
            </w:r>
          </w:p>
        </w:tc>
        <w:tc>
          <w:tcPr>
            <w:tcW w:w="1985" w:type="dxa"/>
            <w:noWrap/>
          </w:tcPr>
          <w:p>
            <w:pPr>
              <w:pStyle w:val="yTableNAm"/>
            </w:pPr>
            <w:r>
              <w:t>Tormento</w:t>
            </w:r>
          </w:p>
        </w:tc>
      </w:tr>
      <w:tr>
        <w:tc>
          <w:tcPr>
            <w:tcW w:w="1163" w:type="dxa"/>
            <w:noWrap/>
          </w:tcPr>
          <w:p>
            <w:pPr>
              <w:pStyle w:val="yTableNAm"/>
            </w:pPr>
            <w:r>
              <w:t>51.</w:t>
            </w:r>
          </w:p>
        </w:tc>
        <w:tc>
          <w:tcPr>
            <w:tcW w:w="2977" w:type="dxa"/>
            <w:noWrap/>
          </w:tcPr>
          <w:p>
            <w:pPr>
              <w:pStyle w:val="yTableNAm"/>
            </w:pPr>
            <w:r>
              <w:t>Voere</w:t>
            </w:r>
          </w:p>
        </w:tc>
        <w:tc>
          <w:tcPr>
            <w:tcW w:w="1985" w:type="dxa"/>
            <w:noWrap/>
          </w:tcPr>
          <w:p>
            <w:pPr>
              <w:pStyle w:val="yTableNAm"/>
            </w:pPr>
            <w:r>
              <w:t>M2</w:t>
            </w:r>
          </w:p>
        </w:tc>
      </w:tr>
      <w:tr>
        <w:tc>
          <w:tcPr>
            <w:tcW w:w="1163" w:type="dxa"/>
            <w:noWrap/>
          </w:tcPr>
          <w:p>
            <w:pPr>
              <w:pStyle w:val="yTableNAm"/>
              <w:keepNext/>
            </w:pPr>
            <w:r>
              <w:lastRenderedPageBreak/>
              <w:t>52.</w:t>
            </w:r>
          </w:p>
        </w:tc>
        <w:tc>
          <w:tcPr>
            <w:tcW w:w="2977" w:type="dxa"/>
            <w:noWrap/>
          </w:tcPr>
          <w:p>
            <w:pPr>
              <w:pStyle w:val="yTableNAm"/>
              <w:keepNext/>
            </w:pPr>
            <w:r>
              <w:t>Weatherby</w:t>
            </w:r>
          </w:p>
        </w:tc>
        <w:tc>
          <w:tcPr>
            <w:tcW w:w="1985" w:type="dxa"/>
            <w:noWrap/>
          </w:tcPr>
          <w:p>
            <w:pPr>
              <w:pStyle w:val="yTableNAm"/>
              <w:keepNext/>
            </w:pPr>
            <w:r>
              <w:t>Mark V</w:t>
            </w:r>
          </w:p>
        </w:tc>
      </w:tr>
    </w:tbl>
    <w:p>
      <w:pPr>
        <w:pStyle w:val="yFootnotesection"/>
      </w:pPr>
      <w:r>
        <w:tab/>
        <w:t>[Division 2 inserted: SL 2023/46 r. 7.]</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78" w:name="_Toc155081074"/>
      <w:r>
        <w:rPr>
          <w:rStyle w:val="CharSchNo"/>
        </w:rPr>
        <w:lastRenderedPageBreak/>
        <w:t>Schedule 3</w:t>
      </w:r>
      <w:r>
        <w:t> — </w:t>
      </w:r>
      <w:r>
        <w:rPr>
          <w:rStyle w:val="CharSchText"/>
        </w:rPr>
        <w:t>Categories of firearms</w:t>
      </w:r>
      <w:bookmarkEnd w:id="78"/>
    </w:p>
    <w:p>
      <w:pPr>
        <w:pStyle w:val="yShoulderClause"/>
      </w:pPr>
      <w:r>
        <w:t>[r. 6A]</w:t>
      </w:r>
    </w:p>
    <w:p>
      <w:pPr>
        <w:pStyle w:val="yHeading3"/>
      </w:pPr>
      <w:bookmarkStart w:id="79" w:name="_Toc155081075"/>
      <w:r>
        <w:rPr>
          <w:rStyle w:val="CharSDivNo"/>
        </w:rPr>
        <w:t>Division 1</w:t>
      </w:r>
      <w:r>
        <w:rPr>
          <w:b w:val="0"/>
        </w:rPr>
        <w:t> — </w:t>
      </w:r>
      <w:r>
        <w:rPr>
          <w:rStyle w:val="CharSDivText"/>
        </w:rPr>
        <w:t>Category A</w:t>
      </w:r>
      <w:bookmarkEnd w:id="79"/>
    </w:p>
    <w:p>
      <w:pPr>
        <w:pStyle w:val="yFootnoteheading"/>
      </w:pPr>
      <w:r>
        <w:tab/>
        <w:t>[Heading inserted: Gazette 31 Aug 2010 p. 4185.]</w:t>
      </w:r>
    </w:p>
    <w:p>
      <w:pPr>
        <w:pStyle w:val="yHeading5"/>
      </w:pPr>
      <w:bookmarkStart w:id="80" w:name="_Toc155081076"/>
      <w:r>
        <w:rPr>
          <w:rStyle w:val="CharSClsNo"/>
        </w:rPr>
        <w:t>1</w:t>
      </w:r>
      <w:r>
        <w:t>.</w:t>
      </w:r>
      <w:r>
        <w:rPr>
          <w:b w:val="0"/>
        </w:rPr>
        <w:tab/>
      </w:r>
      <w:r>
        <w:t>Category A firearms</w:t>
      </w:r>
      <w:bookmarkEnd w:id="8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81" w:name="_Toc155081077"/>
      <w:r>
        <w:rPr>
          <w:rStyle w:val="CharSDivNo"/>
        </w:rPr>
        <w:lastRenderedPageBreak/>
        <w:t>Division 2</w:t>
      </w:r>
      <w:r>
        <w:rPr>
          <w:b w:val="0"/>
        </w:rPr>
        <w:t> — </w:t>
      </w:r>
      <w:r>
        <w:rPr>
          <w:rStyle w:val="CharSDivText"/>
        </w:rPr>
        <w:t>Category B</w:t>
      </w:r>
      <w:bookmarkEnd w:id="81"/>
    </w:p>
    <w:p>
      <w:pPr>
        <w:pStyle w:val="yFootnoteheading"/>
        <w:keepNext/>
        <w:keepLines/>
      </w:pPr>
      <w:r>
        <w:tab/>
        <w:t>[Heading inserted: Gazette 31 Aug 2010 p. 4185.]</w:t>
      </w:r>
    </w:p>
    <w:p>
      <w:pPr>
        <w:pStyle w:val="yHeading5"/>
      </w:pPr>
      <w:bookmarkStart w:id="82" w:name="_Toc155081078"/>
      <w:r>
        <w:rPr>
          <w:rStyle w:val="CharSClsNo"/>
        </w:rPr>
        <w:t>2</w:t>
      </w:r>
      <w:r>
        <w:t>.</w:t>
      </w:r>
      <w:r>
        <w:rPr>
          <w:b w:val="0"/>
        </w:rPr>
        <w:tab/>
      </w:r>
      <w:r>
        <w:t>Category B firearms</w:t>
      </w:r>
      <w:bookmarkEnd w:id="8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83" w:name="_Toc155081079"/>
      <w:r>
        <w:rPr>
          <w:rStyle w:val="CharSClsNo"/>
        </w:rPr>
        <w:t>3</w:t>
      </w:r>
      <w:r>
        <w:t>.</w:t>
      </w:r>
      <w:r>
        <w:rPr>
          <w:b w:val="0"/>
        </w:rPr>
        <w:tab/>
      </w:r>
      <w:r>
        <w:t>Genuine need test for category B</w:t>
      </w:r>
      <w:bookmarkEnd w:id="8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84" w:name="_Toc155081080"/>
      <w:r>
        <w:rPr>
          <w:rStyle w:val="CharSDivNo"/>
        </w:rPr>
        <w:lastRenderedPageBreak/>
        <w:t>Division 3</w:t>
      </w:r>
      <w:r>
        <w:rPr>
          <w:b w:val="0"/>
        </w:rPr>
        <w:t> — </w:t>
      </w:r>
      <w:r>
        <w:rPr>
          <w:rStyle w:val="CharSDivText"/>
        </w:rPr>
        <w:t>Category C</w:t>
      </w:r>
      <w:bookmarkEnd w:id="84"/>
    </w:p>
    <w:p>
      <w:pPr>
        <w:pStyle w:val="yFootnoteheading"/>
        <w:keepNext/>
        <w:keepLines/>
        <w:jc w:val="both"/>
      </w:pPr>
      <w:r>
        <w:tab/>
        <w:t>[Heading inserted: Gazette 31 Aug 2010 p. 4186.]</w:t>
      </w:r>
    </w:p>
    <w:p>
      <w:pPr>
        <w:pStyle w:val="yHeading5"/>
        <w:jc w:val="both"/>
      </w:pPr>
      <w:bookmarkStart w:id="85" w:name="_Toc155081081"/>
      <w:r>
        <w:rPr>
          <w:rStyle w:val="CharSClsNo"/>
        </w:rPr>
        <w:t>4</w:t>
      </w:r>
      <w:r>
        <w:t>.</w:t>
      </w:r>
      <w:r>
        <w:rPr>
          <w:b w:val="0"/>
        </w:rPr>
        <w:tab/>
      </w:r>
      <w:r>
        <w:t>Category C firearms</w:t>
      </w:r>
      <w:bookmarkEnd w:id="8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86" w:name="_Toc155081082"/>
      <w:r>
        <w:rPr>
          <w:rStyle w:val="CharSClsNo"/>
        </w:rPr>
        <w:t>5</w:t>
      </w:r>
      <w:r>
        <w:t>.</w:t>
      </w:r>
      <w:r>
        <w:rPr>
          <w:b w:val="0"/>
        </w:rPr>
        <w:tab/>
      </w:r>
      <w:r>
        <w:t>Genuine need test for category C</w:t>
      </w:r>
      <w:bookmarkEnd w:id="8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87" w:name="_Toc155081083"/>
      <w:r>
        <w:rPr>
          <w:rStyle w:val="CharSClsNo"/>
        </w:rPr>
        <w:lastRenderedPageBreak/>
        <w:t>6</w:t>
      </w:r>
      <w:r>
        <w:t>.</w:t>
      </w:r>
      <w:r>
        <w:rPr>
          <w:b w:val="0"/>
        </w:rPr>
        <w:tab/>
      </w:r>
      <w:r>
        <w:t>Restrictions for category C</w:t>
      </w:r>
      <w:bookmarkEnd w:id="87"/>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88" w:name="_Toc155081084"/>
      <w:r>
        <w:rPr>
          <w:rStyle w:val="CharSDivNo"/>
        </w:rPr>
        <w:lastRenderedPageBreak/>
        <w:t>Division 4</w:t>
      </w:r>
      <w:r>
        <w:rPr>
          <w:b w:val="0"/>
        </w:rPr>
        <w:t> — </w:t>
      </w:r>
      <w:r>
        <w:rPr>
          <w:rStyle w:val="CharSDivText"/>
        </w:rPr>
        <w:t>Category D</w:t>
      </w:r>
      <w:bookmarkEnd w:id="88"/>
    </w:p>
    <w:p>
      <w:pPr>
        <w:pStyle w:val="yFootnoteheading"/>
        <w:keepNext/>
        <w:keepLines/>
        <w:spacing w:before="80"/>
      </w:pPr>
      <w:r>
        <w:tab/>
        <w:t>[Heading inserted: Gazette 31 Aug 2010 p. 4186.]</w:t>
      </w:r>
    </w:p>
    <w:p>
      <w:pPr>
        <w:pStyle w:val="yHeading5"/>
        <w:spacing w:before="160"/>
      </w:pPr>
      <w:bookmarkStart w:id="89" w:name="_Toc155081085"/>
      <w:r>
        <w:rPr>
          <w:rStyle w:val="CharSClsNo"/>
        </w:rPr>
        <w:t>7</w:t>
      </w:r>
      <w:r>
        <w:t>.</w:t>
      </w:r>
      <w:r>
        <w:rPr>
          <w:b w:val="0"/>
        </w:rPr>
        <w:tab/>
      </w:r>
      <w:r>
        <w:t>Category D firearms</w:t>
      </w:r>
      <w:bookmarkEnd w:id="8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90" w:name="_Toc155081086"/>
      <w:r>
        <w:rPr>
          <w:rStyle w:val="CharSClsNo"/>
        </w:rPr>
        <w:lastRenderedPageBreak/>
        <w:t>8</w:t>
      </w:r>
      <w:r>
        <w:t>.</w:t>
      </w:r>
      <w:r>
        <w:tab/>
        <w:t>Genuine need test for category D</w:t>
      </w:r>
      <w:bookmarkEnd w:id="90"/>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91" w:name="_Toc155081087"/>
      <w:r>
        <w:rPr>
          <w:rStyle w:val="CharSDivNo"/>
        </w:rPr>
        <w:t>Division 5</w:t>
      </w:r>
      <w:r>
        <w:rPr>
          <w:b w:val="0"/>
        </w:rPr>
        <w:t> — </w:t>
      </w:r>
      <w:r>
        <w:rPr>
          <w:rStyle w:val="CharSDivText"/>
        </w:rPr>
        <w:t>Category E</w:t>
      </w:r>
      <w:bookmarkEnd w:id="91"/>
    </w:p>
    <w:p>
      <w:pPr>
        <w:pStyle w:val="yFootnoteheading"/>
      </w:pPr>
      <w:r>
        <w:tab/>
        <w:t>[Heading inserted: Gazette 31 Aug 2010 p. 4186.]</w:t>
      </w:r>
    </w:p>
    <w:p>
      <w:pPr>
        <w:pStyle w:val="yHeading5"/>
      </w:pPr>
      <w:bookmarkStart w:id="92" w:name="_Toc155081088"/>
      <w:r>
        <w:rPr>
          <w:rStyle w:val="CharSClsNo"/>
        </w:rPr>
        <w:t>9</w:t>
      </w:r>
      <w:r>
        <w:t>.</w:t>
      </w:r>
      <w:r>
        <w:rPr>
          <w:b w:val="0"/>
        </w:rPr>
        <w:tab/>
      </w:r>
      <w:r>
        <w:t>Category E firearms</w:t>
      </w:r>
      <w:bookmarkEnd w:id="9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93" w:name="_Toc155081089"/>
      <w:r>
        <w:rPr>
          <w:rStyle w:val="CharSDivNo"/>
        </w:rPr>
        <w:lastRenderedPageBreak/>
        <w:t>Division 6</w:t>
      </w:r>
      <w:r>
        <w:rPr>
          <w:b w:val="0"/>
        </w:rPr>
        <w:t> — </w:t>
      </w:r>
      <w:r>
        <w:rPr>
          <w:rStyle w:val="CharSDivText"/>
        </w:rPr>
        <w:t>Category H</w:t>
      </w:r>
      <w:bookmarkEnd w:id="93"/>
    </w:p>
    <w:p>
      <w:pPr>
        <w:pStyle w:val="yFootnoteheading"/>
        <w:keepNext/>
      </w:pPr>
      <w:r>
        <w:tab/>
        <w:t>[Heading inserted: Gazette 31 Aug 2010 p. 4187.]</w:t>
      </w:r>
    </w:p>
    <w:p>
      <w:pPr>
        <w:pStyle w:val="yHeading5"/>
      </w:pPr>
      <w:bookmarkStart w:id="94" w:name="_Toc155081090"/>
      <w:r>
        <w:rPr>
          <w:rStyle w:val="CharSClsNo"/>
        </w:rPr>
        <w:t>10</w:t>
      </w:r>
      <w:r>
        <w:t>.</w:t>
      </w:r>
      <w:r>
        <w:rPr>
          <w:b w:val="0"/>
        </w:rPr>
        <w:tab/>
      </w:r>
      <w:r>
        <w:t>Category H firearms</w:t>
      </w:r>
      <w:bookmarkEnd w:id="94"/>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95" w:name="_Toc155081091"/>
      <w:r>
        <w:rPr>
          <w:rStyle w:val="CharSClsNo"/>
        </w:rPr>
        <w:t>11</w:t>
      </w:r>
      <w:r>
        <w:t>.</w:t>
      </w:r>
      <w:r>
        <w:rPr>
          <w:b w:val="0"/>
        </w:rPr>
        <w:tab/>
      </w:r>
      <w:r>
        <w:t>Genuine need test for category H</w:t>
      </w:r>
      <w:bookmarkEnd w:id="9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lastRenderedPageBreak/>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96" w:name="_Toc155081092"/>
      <w:r>
        <w:rPr>
          <w:rStyle w:val="CharSClsNo"/>
        </w:rPr>
        <w:t>12</w:t>
      </w:r>
      <w:r>
        <w:t>.</w:t>
      </w:r>
      <w:r>
        <w:rPr>
          <w:b w:val="0"/>
        </w:rPr>
        <w:tab/>
      </w:r>
      <w:r>
        <w:t>Restrictions for category H</w:t>
      </w:r>
      <w:bookmarkEnd w:id="96"/>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keepNext/>
        <w:tabs>
          <w:tab w:val="left" w:pos="360"/>
          <w:tab w:val="left" w:pos="840"/>
          <w:tab w:val="left" w:pos="1320"/>
          <w:tab w:val="left" w:pos="1800"/>
        </w:tabs>
        <w:ind w:left="840" w:hanging="840"/>
      </w:pPr>
      <w:r>
        <w:lastRenderedPageBreak/>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lastRenderedPageBreak/>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lastRenderedPageBreak/>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97" w:name="_Toc155081093"/>
      <w:r>
        <w:rPr>
          <w:rStyle w:val="CharSchNo"/>
        </w:rPr>
        <w:lastRenderedPageBreak/>
        <w:t>Schedule 4</w:t>
      </w:r>
      <w:r>
        <w:t> — </w:t>
      </w:r>
      <w:r>
        <w:rPr>
          <w:rStyle w:val="CharSchText"/>
        </w:rPr>
        <w:t>Specifications for storage cabinets or containers</w:t>
      </w:r>
      <w:bookmarkEnd w:id="97"/>
    </w:p>
    <w:p>
      <w:pPr>
        <w:pStyle w:val="yFootnoteheading"/>
      </w:pPr>
      <w:r>
        <w:tab/>
        <w:t>[Heading inserted: Gazette 6 Dec 1996 p. 6847.]</w:t>
      </w:r>
    </w:p>
    <w:p>
      <w:pPr>
        <w:pStyle w:val="yShoulderClause"/>
      </w:pPr>
      <w:r>
        <w:t>[r. 11A(2)]</w:t>
      </w:r>
    </w:p>
    <w:p>
      <w:pPr>
        <w:pStyle w:val="yHeading5"/>
        <w:outlineLvl w:val="9"/>
      </w:pPr>
      <w:bookmarkStart w:id="98" w:name="_Toc155081094"/>
      <w:r>
        <w:rPr>
          <w:rStyle w:val="CharSClsNo"/>
        </w:rPr>
        <w:t>1</w:t>
      </w:r>
      <w:r>
        <w:t>.</w:t>
      </w:r>
      <w:r>
        <w:tab/>
        <w:t>Construction</w:t>
      </w:r>
      <w:bookmarkEnd w:id="9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99" w:name="_Toc155081095"/>
      <w:r>
        <w:rPr>
          <w:rStyle w:val="CharSClsNo"/>
        </w:rPr>
        <w:t>2</w:t>
      </w:r>
      <w:r>
        <w:t>.</w:t>
      </w:r>
      <w:r>
        <w:tab/>
        <w:t>Doors</w:t>
      </w:r>
      <w:bookmarkEnd w:id="9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00" w:name="_Toc155081096"/>
      <w:r>
        <w:rPr>
          <w:rStyle w:val="CharSClsNo"/>
        </w:rPr>
        <w:lastRenderedPageBreak/>
        <w:t>3</w:t>
      </w:r>
      <w:r>
        <w:t>.</w:t>
      </w:r>
      <w:r>
        <w:tab/>
        <w:t>Hinging mechanisms</w:t>
      </w:r>
      <w:bookmarkEnd w:id="10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01" w:name="_Toc155081097"/>
      <w:r>
        <w:rPr>
          <w:rStyle w:val="CharSClsNo"/>
        </w:rPr>
        <w:t>4</w:t>
      </w:r>
      <w:r>
        <w:t>.</w:t>
      </w:r>
      <w:r>
        <w:tab/>
        <w:t>Locks and locking points</w:t>
      </w:r>
      <w:bookmarkEnd w:id="10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lastRenderedPageBreak/>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02" w:name="_Toc155081098"/>
      <w:r>
        <w:rPr>
          <w:rStyle w:val="CharSClsNo"/>
        </w:rPr>
        <w:t>5</w:t>
      </w:r>
      <w:r>
        <w:t>.</w:t>
      </w:r>
      <w:r>
        <w:tab/>
        <w:t>Anchoring</w:t>
      </w:r>
      <w:bookmarkEnd w:id="10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103" w:name="_Toc155081099"/>
      <w:r>
        <w:lastRenderedPageBreak/>
        <w:t>Notes</w:t>
      </w:r>
      <w:bookmarkEnd w:id="103"/>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p>
    <w:p>
      <w:pPr>
        <w:pStyle w:val="nHeading3"/>
      </w:pPr>
      <w:bookmarkStart w:id="104" w:name="_Toc155081100"/>
      <w:r>
        <w:t>Compilation table</w:t>
      </w:r>
      <w:bookmarkEnd w:id="10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lastRenderedPageBreak/>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lastRenderedPageBreak/>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lastRenderedPageBreak/>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lastRenderedPageBreak/>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lastRenderedPageBreak/>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lastRenderedPageBreak/>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Pr>
          <w:p>
            <w:pPr>
              <w:pStyle w:val="nTable"/>
              <w:spacing w:after="40"/>
              <w:rPr>
                <w:i/>
              </w:rPr>
            </w:pPr>
            <w:r>
              <w:rPr>
                <w:i/>
              </w:rPr>
              <w:t>Firearms Amendment Regulations 2023</w:t>
            </w:r>
          </w:p>
        </w:tc>
        <w:tc>
          <w:tcPr>
            <w:tcW w:w="1276" w:type="dxa"/>
          </w:tcPr>
          <w:p>
            <w:pPr>
              <w:pStyle w:val="nTable"/>
              <w:spacing w:after="40"/>
            </w:pPr>
            <w:r>
              <w:t>SL 2023/1 13 Jan 2023</w:t>
            </w:r>
          </w:p>
        </w:tc>
        <w:tc>
          <w:tcPr>
            <w:tcW w:w="2693" w:type="dxa"/>
          </w:tcPr>
          <w:p>
            <w:pPr>
              <w:pStyle w:val="nTable"/>
              <w:spacing w:after="40"/>
            </w:pPr>
            <w:r>
              <w:t>r. 1 and 2: 13 Jan 2023 (see r. 2(a));</w:t>
            </w:r>
            <w:r>
              <w:br/>
              <w:t>Regulations other than r. 1 and 2: 14 Jan 2023 (see r. 2(b))</w:t>
            </w:r>
          </w:p>
        </w:tc>
      </w:tr>
      <w:tr>
        <w:trPr>
          <w:cantSplit/>
        </w:trPr>
        <w:tc>
          <w:tcPr>
            <w:tcW w:w="3118" w:type="dxa"/>
          </w:tcPr>
          <w:p>
            <w:pPr>
              <w:pStyle w:val="nTable"/>
              <w:spacing w:after="40"/>
              <w:rPr>
                <w:i/>
              </w:rPr>
            </w:pPr>
            <w:r>
              <w:rPr>
                <w:i/>
              </w:rPr>
              <w:t>Firearms Amendment Regulations (No. 2) 2023</w:t>
            </w:r>
          </w:p>
        </w:tc>
        <w:tc>
          <w:tcPr>
            <w:tcW w:w="1276" w:type="dxa"/>
          </w:tcPr>
          <w:p>
            <w:pPr>
              <w:pStyle w:val="nTable"/>
              <w:spacing w:after="40"/>
            </w:pPr>
            <w:r>
              <w:t>SL 2023/46 19 May 2023</w:t>
            </w:r>
          </w:p>
        </w:tc>
        <w:tc>
          <w:tcPr>
            <w:tcW w:w="2693" w:type="dxa"/>
          </w:tcPr>
          <w:p>
            <w:pPr>
              <w:pStyle w:val="nTable"/>
              <w:spacing w:after="40"/>
            </w:pPr>
            <w:r>
              <w:t>r. 1 and 2: 19 May 2023 (see r. 2(a));</w:t>
            </w:r>
            <w:r>
              <w:br/>
              <w:t>Regulations other than r. 1 and 2: 1 Jul 2023 (see r. 2(b))</w:t>
            </w:r>
          </w:p>
        </w:tc>
      </w:tr>
      <w:tr>
        <w:trPr>
          <w:cantSplit/>
        </w:trPr>
        <w:tc>
          <w:tcPr>
            <w:tcW w:w="3118" w:type="dxa"/>
          </w:tcPr>
          <w:p>
            <w:pPr>
              <w:pStyle w:val="nTable"/>
              <w:spacing w:after="40"/>
              <w:rPr>
                <w:i/>
              </w:rPr>
            </w:pPr>
            <w:r>
              <w:rPr>
                <w:i/>
              </w:rPr>
              <w:t xml:space="preserve">Police Regulations Amendment (Fees and Charges) Regulations 2023 </w:t>
            </w:r>
            <w:r>
              <w:t>Pt. 2</w:t>
            </w:r>
          </w:p>
        </w:tc>
        <w:tc>
          <w:tcPr>
            <w:tcW w:w="1276" w:type="dxa"/>
          </w:tcPr>
          <w:p>
            <w:pPr>
              <w:pStyle w:val="nTable"/>
              <w:spacing w:after="40"/>
            </w:pPr>
            <w:r>
              <w:t>SL 2023/74 16 Jun 2023</w:t>
            </w:r>
          </w:p>
        </w:tc>
        <w:tc>
          <w:tcPr>
            <w:tcW w:w="2693" w:type="dxa"/>
          </w:tcPr>
          <w:p>
            <w:pPr>
              <w:pStyle w:val="nTable"/>
              <w:spacing w:after="40"/>
            </w:pPr>
            <w:r>
              <w:t>1 Jul 2023 (see r. 2(b))</w:t>
            </w:r>
          </w:p>
        </w:tc>
      </w:tr>
      <w:tr>
        <w:trPr>
          <w:cantSplit/>
        </w:trPr>
        <w:tc>
          <w:tcPr>
            <w:tcW w:w="3118" w:type="dxa"/>
            <w:tcBorders>
              <w:bottom w:val="single" w:sz="4" w:space="0" w:color="auto"/>
            </w:tcBorders>
          </w:tcPr>
          <w:p>
            <w:pPr>
              <w:pStyle w:val="nTable"/>
              <w:spacing w:after="40"/>
              <w:rPr>
                <w:i/>
              </w:rPr>
            </w:pPr>
            <w:r>
              <w:rPr>
                <w:i/>
              </w:rPr>
              <w:lastRenderedPageBreak/>
              <w:t>Firearms Amendment Regulations (No. 4) 2023</w:t>
            </w:r>
          </w:p>
        </w:tc>
        <w:tc>
          <w:tcPr>
            <w:tcW w:w="1276" w:type="dxa"/>
            <w:tcBorders>
              <w:bottom w:val="single" w:sz="4" w:space="0" w:color="auto"/>
            </w:tcBorders>
          </w:tcPr>
          <w:p>
            <w:pPr>
              <w:pStyle w:val="nTable"/>
              <w:spacing w:after="40"/>
            </w:pPr>
            <w:r>
              <w:t>SL 2023/91 30 Jun 2023</w:t>
            </w:r>
          </w:p>
        </w:tc>
        <w:tc>
          <w:tcPr>
            <w:tcW w:w="2693" w:type="dxa"/>
            <w:tcBorders>
              <w:bottom w:val="single" w:sz="4" w:space="0" w:color="auto"/>
            </w:tcBorders>
          </w:tcPr>
          <w:p>
            <w:pPr>
              <w:pStyle w:val="nTable"/>
              <w:spacing w:after="40"/>
            </w:pPr>
            <w:r>
              <w:t>r. 1 and 2: 30 Jun 2023 (see r. 2(a));</w:t>
            </w:r>
            <w:r>
              <w:br/>
              <w:t>Regulations other than r. 1 and 2: 1 Jul 2023 (see r. 2(b))</w:t>
            </w:r>
          </w:p>
        </w:tc>
      </w:tr>
    </w:tbl>
    <w:p>
      <w:pPr>
        <w:pStyle w:val="nHeading3"/>
      </w:pPr>
      <w:bookmarkStart w:id="105" w:name="_Toc155081101"/>
      <w:r>
        <w:t>Other notes</w:t>
      </w:r>
      <w:bookmarkEnd w:id="105"/>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07" w:name="_Toc155081102"/>
      <w:r>
        <w:rPr>
          <w:sz w:val="28"/>
        </w:rPr>
        <w:lastRenderedPageBreak/>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item</w:t>
      </w:r>
      <w:r>
        <w:tab/>
        <w:t>2(1)</w:t>
      </w:r>
    </w:p>
    <w:p>
      <w:pPr>
        <w:pStyle w:val="DefinedTerms"/>
      </w:pPr>
      <w:r>
        <w:t>firearm part</w:t>
      </w:r>
      <w:r>
        <w:tab/>
        <w:t>18(1A)</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pastoral lease</w:t>
      </w:r>
      <w:r>
        <w:tab/>
        <w:t>Sch. 3 cl. 12(7B)</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D0C7B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994CE4F" w14:textId="4EB3BCBD" w:rsidR="005519A7" w:rsidRDefault="005519A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CBB57A2" w14:textId="77777777" w:rsidR="005519A7" w:rsidRDefault="005519A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A1DBEC4" w14:textId="1018A503" w:rsidR="005519A7" w:rsidRDefault="005519A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2C21AB" w14:textId="77777777" w:rsidR="005519A7" w:rsidRDefault="005519A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prohibited firearms and ammunition for regulation 26</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Prohibited firearms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prohibited firearms and ammunition for regulation 26</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Prohibited firearms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945"/>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 w:name="WAFER_20230613153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3823_GUID" w:val="717cd635-1dbb-4e86-ac5c-69c9251b600a"/>
    <w:docVar w:name="WAFER_20230626164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4056_GUID" w:val="dc1a211d-5830-4a00-a3bc-05cdf0c2f82b"/>
    <w:docVar w:name="WAFER_20231228113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945_GUID" w:val="e2556098-34e5-4883-a3f7-72a2bd9e8b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21310</Words>
  <Characters>100373</Characters>
  <Application>Microsoft Office Word</Application>
  <DocSecurity>0</DocSecurity>
  <Lines>4182</Lines>
  <Paragraphs>2829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1974 - 09-u0-01</dc:title>
  <dc:subject/>
  <dc:creator/>
  <cp:keywords/>
  <dc:description/>
  <cp:lastModifiedBy>Master Repository Process</cp:lastModifiedBy>
  <cp:revision>4</cp:revision>
  <cp:lastPrinted>2016-08-05T02:16:00Z</cp:lastPrinted>
  <dcterms:created xsi:type="dcterms:W3CDTF">2024-01-02T01:43:00Z</dcterms:created>
  <dcterms:modified xsi:type="dcterms:W3CDTF">2024-01-02T01:43:00Z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Jul 2023</vt:lpwstr>
  </property>
  <property fmtid="{D5CDD505-2E9C-101B-9397-08002B2CF9AE}" pid="8" name="Suffix">
    <vt:lpwstr>09-u0-01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