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_Toc138857747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_Toc138857748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_Toc138857749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_Toc138857751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_Toc138857752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_Toc138857753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_Toc138857754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_Toc138857755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_Toc138857756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_Toc138857758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_Toc138857759 \h </w:instrText>
      </w:r>
      <w:r>
        <w:fldChar w:fldCharType="separate"/>
      </w:r>
      <w:r>
        <w:t>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_Toc138857760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_Toc138857762 \h </w:instrText>
      </w:r>
      <w:r>
        <w:fldChar w:fldCharType="separate"/>
      </w:r>
      <w:r>
        <w:t>10</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_Toc138857763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_Toc138857764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_Toc138857765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_Toc138857767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_Toc138857768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_Toc138857769 \h </w:instrText>
      </w:r>
      <w:r>
        <w:fldChar w:fldCharType="separate"/>
      </w:r>
      <w:r>
        <w:t>23</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_Toc138857770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_Toc138857772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8"/>
        <w:rPr>
          <w:rFonts w:asciiTheme="minorHAnsi" w:eastAsiaTheme="minorEastAsia" w:hAnsiTheme="minorHAnsi" w:cstheme="minorBidi"/>
          <w:szCs w:val="22"/>
        </w:rPr>
      </w:pPr>
      <w:r>
        <w:t>33.</w:t>
      </w:r>
      <w:r>
        <w:tab/>
        <w:t xml:space="preserve">Transitional provisions relating to </w:t>
      </w:r>
      <w:r>
        <w:rPr>
          <w:i/>
        </w:rPr>
        <w:t>Pawnbrokers and Second</w:t>
      </w:r>
      <w:r>
        <w:rPr>
          <w:i/>
        </w:rPr>
        <w:noBreakHyphen/>
        <w:t>hand Dealers Amendment Regulations 2020</w:t>
      </w:r>
      <w:r>
        <w:tab/>
      </w:r>
      <w:r>
        <w:fldChar w:fldCharType="begin"/>
      </w:r>
      <w:r>
        <w:instrText xml:space="preserve"> PAGEREF _Toc138857774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_Toc138857776 \h </w:instrText>
      </w:r>
      <w:r>
        <w:fldChar w:fldCharType="separate"/>
      </w:r>
      <w:r>
        <w:t>28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_Toc138857777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138691682"/>
      <w:bookmarkStart w:id="4" w:name="_Toc138691986"/>
      <w:bookmarkStart w:id="5" w:name="_Toc138856991"/>
      <w:bookmarkStart w:id="6" w:name="_Toc13885774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38857747"/>
      <w:r>
        <w:rPr>
          <w:rStyle w:val="CharSectno"/>
        </w:rPr>
        <w:t>1</w:t>
      </w:r>
      <w:r>
        <w:rPr>
          <w:snapToGrid w:val="0"/>
        </w:rPr>
        <w:t>.</w:t>
      </w:r>
      <w:r>
        <w:rPr>
          <w:snapToGrid w:val="0"/>
        </w:rPr>
        <w:tab/>
        <w:t>Citation</w:t>
      </w:r>
      <w:bookmarkEnd w:id="7"/>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pPr>
        <w:pStyle w:val="Heading5"/>
        <w:rPr>
          <w:snapToGrid w:val="0"/>
        </w:rPr>
      </w:pPr>
      <w:bookmarkStart w:id="8" w:name="_Toc138857748"/>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9" w:name="_Toc138857749"/>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an authorised deposit</w:t>
      </w:r>
      <w:r>
        <w:noBreakHyphen/>
        <w:t xml:space="preserve">taking institution as defined in the </w:t>
      </w:r>
      <w:r>
        <w:rPr>
          <w:i/>
        </w:rPr>
        <w:t>Banking Act 1959</w:t>
      </w:r>
      <w:r>
        <w:t xml:space="preserve"> (Commonwealth) section 5(1); or</w:t>
      </w:r>
    </w:p>
    <w:p>
      <w:pPr>
        <w:pStyle w:val="Defpara"/>
      </w:pPr>
      <w:r>
        <w:tab/>
        <w:t>(aa)</w:t>
      </w:r>
      <w:r>
        <w:tab/>
        <w:t>a bank constituted by a law of a State, a Territory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State agency</w:t>
      </w:r>
      <w:r>
        <w:t xml:space="preserve"> has the meaning given in the </w:t>
      </w:r>
      <w:r>
        <w:rPr>
          <w:i/>
        </w:rPr>
        <w:t xml:space="preserve">Procurement Act 2020 </w:t>
      </w:r>
      <w:r>
        <w:t>section 5(1);</w:t>
      </w:r>
    </w:p>
    <w:p>
      <w:pPr>
        <w:pStyle w:val="Defstart"/>
      </w:pPr>
      <w:r>
        <w:lastRenderedPageBreak/>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 SL 2020/147 r. 4; SL 2020/248 r. 6.]</w:t>
      </w:r>
    </w:p>
    <w:p>
      <w:pPr>
        <w:pStyle w:val="Heading2"/>
      </w:pPr>
      <w:bookmarkStart w:id="10" w:name="_Toc138691686"/>
      <w:bookmarkStart w:id="11" w:name="_Toc138691990"/>
      <w:bookmarkStart w:id="12" w:name="_Toc138856995"/>
      <w:bookmarkStart w:id="13" w:name="_Toc138857750"/>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10"/>
      <w:bookmarkEnd w:id="11"/>
      <w:bookmarkEnd w:id="12"/>
      <w:bookmarkEnd w:id="13"/>
    </w:p>
    <w:p>
      <w:pPr>
        <w:pStyle w:val="Heading5"/>
        <w:rPr>
          <w:snapToGrid w:val="0"/>
        </w:rPr>
      </w:pPr>
      <w:bookmarkStart w:id="14" w:name="_Toc138857751"/>
      <w:r>
        <w:rPr>
          <w:rStyle w:val="CharSectno"/>
        </w:rPr>
        <w:t>4</w:t>
      </w:r>
      <w:r>
        <w:rPr>
          <w:snapToGrid w:val="0"/>
        </w:rPr>
        <w:t>.</w:t>
      </w:r>
      <w:r>
        <w:rPr>
          <w:snapToGrid w:val="0"/>
        </w:rPr>
        <w:tab/>
        <w:t>Provisions prescribed for financial bodies (Act s. 4(3))</w:t>
      </w:r>
      <w:bookmarkEnd w:id="14"/>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15" w:name="_Toc138857752"/>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5"/>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silver, copper or copper alloy (including bronze and brass)).</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lastRenderedPageBreak/>
              <w:t>9.</w:t>
            </w:r>
          </w:p>
        </w:tc>
        <w:tc>
          <w:tcPr>
            <w:tcW w:w="5811" w:type="dxa"/>
          </w:tcPr>
          <w:p>
            <w:pPr>
              <w:pStyle w:val="Table"/>
              <w:spacing w:before="0"/>
              <w:ind w:right="-156"/>
            </w:pPr>
            <w:r>
              <w:t>Household soft furnishings, including rugs, curtains and manchester.</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lastRenderedPageBreak/>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 SL 2020/147 r. 5.]</w:t>
      </w:r>
    </w:p>
    <w:p>
      <w:pPr>
        <w:pStyle w:val="Heading5"/>
        <w:rPr>
          <w:snapToGrid w:val="0"/>
        </w:rPr>
      </w:pPr>
      <w:bookmarkStart w:id="16" w:name="_Toc138857753"/>
      <w:r>
        <w:rPr>
          <w:rStyle w:val="CharSectno"/>
        </w:rPr>
        <w:t>6</w:t>
      </w:r>
      <w:r>
        <w:rPr>
          <w:snapToGrid w:val="0"/>
        </w:rPr>
        <w:t>.</w:t>
      </w:r>
      <w:r>
        <w:rPr>
          <w:snapToGrid w:val="0"/>
        </w:rPr>
        <w:tab/>
        <w:t>Act s. 38(a) does not apply to sales to minors (Act s. 4(3))</w:t>
      </w:r>
      <w:bookmarkEnd w:id="16"/>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17" w:name="_Toc138857754"/>
      <w:r>
        <w:rPr>
          <w:rStyle w:val="CharSectno"/>
        </w:rPr>
        <w:t>7</w:t>
      </w:r>
      <w:r>
        <w:rPr>
          <w:snapToGrid w:val="0"/>
        </w:rPr>
        <w:t>.</w:t>
      </w:r>
      <w:r>
        <w:rPr>
          <w:snapToGrid w:val="0"/>
        </w:rPr>
        <w:tab/>
        <w:t>Act s. 39 does not apply in some cases (Act s. 4(3))</w:t>
      </w:r>
      <w:bookmarkEnd w:id="17"/>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from outside of Western Australia; or</w:t>
      </w:r>
    </w:p>
    <w:p>
      <w:pPr>
        <w:pStyle w:val="Indenta"/>
        <w:spacing w:before="70"/>
        <w:rPr>
          <w:snapToGrid w:val="0"/>
        </w:rPr>
      </w:pPr>
      <w:r>
        <w:rPr>
          <w:snapToGrid w:val="0"/>
        </w:rPr>
        <w:lastRenderedPageBreak/>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State agency.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 SL 2020/248 r. 7.]</w:t>
      </w:r>
    </w:p>
    <w:p>
      <w:pPr>
        <w:pStyle w:val="Heading5"/>
        <w:rPr>
          <w:snapToGrid w:val="0"/>
        </w:rPr>
      </w:pPr>
      <w:bookmarkStart w:id="18" w:name="_Toc138857755"/>
      <w:r>
        <w:rPr>
          <w:rStyle w:val="CharSectno"/>
        </w:rPr>
        <w:t>8</w:t>
      </w:r>
      <w:r>
        <w:rPr>
          <w:snapToGrid w:val="0"/>
        </w:rPr>
        <w:t>.</w:t>
      </w:r>
      <w:r>
        <w:rPr>
          <w:snapToGrid w:val="0"/>
        </w:rPr>
        <w:tab/>
        <w:t>Amount prescribed (Act s. 59(2)(b))</w:t>
      </w:r>
      <w:bookmarkEnd w:id="18"/>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19" w:name="_Toc138857756"/>
      <w:r>
        <w:rPr>
          <w:rStyle w:val="CharSectno"/>
        </w:rPr>
        <w:t>9</w:t>
      </w:r>
      <w:r>
        <w:rPr>
          <w:snapToGrid w:val="0"/>
        </w:rPr>
        <w:t>.</w:t>
      </w:r>
      <w:r>
        <w:rPr>
          <w:snapToGrid w:val="0"/>
        </w:rPr>
        <w:tab/>
        <w:t>Act s. 61 does not apply to certain goods (Act s. 4(3))</w:t>
      </w:r>
      <w:bookmarkEnd w:id="19"/>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State agency.</w:t>
      </w:r>
    </w:p>
    <w:p>
      <w:pPr>
        <w:pStyle w:val="Footnotesection"/>
      </w:pPr>
      <w:r>
        <w:tab/>
        <w:t>[Regulation 9 amended: Gazette 28 Jul 2000 p. 4020; SL 2020/248 r. 8.]</w:t>
      </w:r>
    </w:p>
    <w:p>
      <w:pPr>
        <w:pStyle w:val="Heading2"/>
      </w:pPr>
      <w:bookmarkStart w:id="20" w:name="_Toc138691693"/>
      <w:bookmarkStart w:id="21" w:name="_Toc138691997"/>
      <w:bookmarkStart w:id="22" w:name="_Toc138857002"/>
      <w:bookmarkStart w:id="23" w:name="_Toc138857757"/>
      <w:r>
        <w:rPr>
          <w:rStyle w:val="CharPartNo"/>
        </w:rPr>
        <w:lastRenderedPageBreak/>
        <w:t>Part 3</w:t>
      </w:r>
      <w:r>
        <w:rPr>
          <w:rStyle w:val="CharDivNo"/>
        </w:rPr>
        <w:t> </w:t>
      </w:r>
      <w:r>
        <w:t>—</w:t>
      </w:r>
      <w:r>
        <w:rPr>
          <w:rStyle w:val="CharDivText"/>
        </w:rPr>
        <w:t> </w:t>
      </w:r>
      <w:r>
        <w:rPr>
          <w:rStyle w:val="CharPartText"/>
        </w:rPr>
        <w:t>Matters prescribed for licence applications</w:t>
      </w:r>
      <w:bookmarkEnd w:id="20"/>
      <w:bookmarkEnd w:id="21"/>
      <w:bookmarkEnd w:id="22"/>
      <w:bookmarkEnd w:id="23"/>
    </w:p>
    <w:p>
      <w:pPr>
        <w:pStyle w:val="Heading5"/>
        <w:spacing w:before="180"/>
        <w:rPr>
          <w:snapToGrid w:val="0"/>
        </w:rPr>
      </w:pPr>
      <w:bookmarkStart w:id="24" w:name="_Toc138857758"/>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24"/>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25" w:name="_Toc138857759"/>
      <w:r>
        <w:rPr>
          <w:rStyle w:val="CharSectno"/>
        </w:rPr>
        <w:t>11</w:t>
      </w:r>
      <w:r>
        <w:rPr>
          <w:snapToGrid w:val="0"/>
        </w:rPr>
        <w:t>.</w:t>
      </w:r>
      <w:r>
        <w:rPr>
          <w:snapToGrid w:val="0"/>
        </w:rPr>
        <w:tab/>
        <w:t xml:space="preserve">Other evidence to accompany applications prescribed </w:t>
      </w:r>
      <w:r>
        <w:rPr>
          <w:snapToGrid w:val="0"/>
          <w:spacing w:val="-4"/>
        </w:rPr>
        <w:t>(Act s. 14(f))</w:t>
      </w:r>
      <w:bookmarkEnd w:id="25"/>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 xml:space="preserve">each of which shows a frontal view of the applicant’s head and shoulders without sunglasses, tinted spectacles, </w:t>
      </w:r>
      <w:r>
        <w:rPr>
          <w:snapToGrid w:val="0"/>
        </w:rPr>
        <w:lastRenderedPageBreak/>
        <w:t>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26" w:name="_Toc138857760"/>
      <w:r>
        <w:rPr>
          <w:rStyle w:val="CharSectno"/>
        </w:rPr>
        <w:t>12</w:t>
      </w:r>
      <w:r>
        <w:rPr>
          <w:snapToGrid w:val="0"/>
        </w:rPr>
        <w:t>.</w:t>
      </w:r>
      <w:r>
        <w:rPr>
          <w:snapToGrid w:val="0"/>
        </w:rPr>
        <w:tab/>
        <w:t xml:space="preserve">Evidence to accompany renewal applications prescribed </w:t>
      </w:r>
      <w:r>
        <w:rPr>
          <w:snapToGrid w:val="0"/>
          <w:spacing w:val="-4"/>
        </w:rPr>
        <w:t>(Act s. 16)</w:t>
      </w:r>
      <w:bookmarkEnd w:id="26"/>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lastRenderedPageBreak/>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27" w:name="_Toc138691697"/>
      <w:bookmarkStart w:id="28" w:name="_Toc138692001"/>
      <w:bookmarkStart w:id="29" w:name="_Toc138857006"/>
      <w:bookmarkStart w:id="30" w:name="_Toc138857761"/>
      <w:r>
        <w:rPr>
          <w:rStyle w:val="CharPartNo"/>
        </w:rPr>
        <w:lastRenderedPageBreak/>
        <w:t>Part 4</w:t>
      </w:r>
      <w:r>
        <w:rPr>
          <w:rStyle w:val="CharDivNo"/>
        </w:rPr>
        <w:t> </w:t>
      </w:r>
      <w:r>
        <w:t>—</w:t>
      </w:r>
      <w:r>
        <w:rPr>
          <w:rStyle w:val="CharDivText"/>
        </w:rPr>
        <w:t> </w:t>
      </w:r>
      <w:r>
        <w:rPr>
          <w:rStyle w:val="CharPartText"/>
        </w:rPr>
        <w:t>Matters prescribed for verification of identity, records and provision of information</w:t>
      </w:r>
      <w:bookmarkEnd w:id="27"/>
      <w:bookmarkEnd w:id="28"/>
      <w:bookmarkEnd w:id="29"/>
      <w:bookmarkEnd w:id="30"/>
    </w:p>
    <w:p>
      <w:pPr>
        <w:pStyle w:val="Heading5"/>
        <w:rPr>
          <w:snapToGrid w:val="0"/>
        </w:rPr>
      </w:pPr>
      <w:bookmarkStart w:id="31" w:name="_Toc138857762"/>
      <w:r>
        <w:rPr>
          <w:rStyle w:val="CharSectno"/>
        </w:rPr>
        <w:t>13</w:t>
      </w:r>
      <w:r>
        <w:rPr>
          <w:snapToGrid w:val="0"/>
        </w:rPr>
        <w:t>.</w:t>
      </w:r>
      <w:r>
        <w:rPr>
          <w:snapToGrid w:val="0"/>
        </w:rPr>
        <w:tab/>
        <w:t xml:space="preserve">Means of verifying person’s identity prescribed </w:t>
      </w:r>
      <w:r>
        <w:rPr>
          <w:snapToGrid w:val="0"/>
          <w:spacing w:val="-4"/>
        </w:rPr>
        <w:t>(Act s. 39(b))</w:t>
      </w:r>
      <w:bookmarkEnd w:id="31"/>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lastRenderedPageBreak/>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lastRenderedPageBreak/>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w:t>
            </w:r>
            <w:r>
              <w:rPr>
                <w:szCs w:val="22"/>
              </w:rPr>
              <w:t>State agency</w:t>
            </w:r>
            <w:r>
              <w:t xml:space="preserve">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lastRenderedPageBreak/>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 SL 2020/248 r. 9.]</w:t>
      </w:r>
    </w:p>
    <w:p>
      <w:pPr>
        <w:pStyle w:val="Heading5"/>
      </w:pPr>
      <w:bookmarkStart w:id="32" w:name="_Toc138857763"/>
      <w:r>
        <w:rPr>
          <w:rStyle w:val="CharSectno"/>
        </w:rPr>
        <w:lastRenderedPageBreak/>
        <w:t>13A</w:t>
      </w:r>
      <w:r>
        <w:t>.</w:t>
      </w:r>
      <w:r>
        <w:tab/>
        <w:t>Transaction cards, form and issue of</w:t>
      </w:r>
      <w:bookmarkEnd w:id="32"/>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pPr>
      <w:r>
        <w:tab/>
        <w:t>(a)</w:t>
      </w:r>
      <w:r>
        <w:tab/>
        <w:t>bears the person’s photograph, full name, signature and date of birth; and</w:t>
      </w:r>
    </w:p>
    <w:p>
      <w:pPr>
        <w:pStyle w:val="Indenta"/>
      </w:pPr>
      <w:r>
        <w:tab/>
        <w:t>(aa)</w:t>
      </w:r>
      <w:r>
        <w:tab/>
        <w:t>bears the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 amended: SL 2020/147 r. 6.]</w:t>
      </w:r>
    </w:p>
    <w:p>
      <w:pPr>
        <w:pStyle w:val="Heading5"/>
        <w:rPr>
          <w:snapToGrid w:val="0"/>
        </w:rPr>
      </w:pPr>
      <w:bookmarkStart w:id="33" w:name="_Toc138857764"/>
      <w:r>
        <w:rPr>
          <w:rStyle w:val="CharSectno"/>
        </w:rPr>
        <w:t>14</w:t>
      </w:r>
      <w:r>
        <w:rPr>
          <w:snapToGrid w:val="0"/>
        </w:rPr>
        <w:t>.</w:t>
      </w:r>
      <w:r>
        <w:rPr>
          <w:snapToGrid w:val="0"/>
        </w:rPr>
        <w:tab/>
        <w:t xml:space="preserve">Manner of keeping records prescribed </w:t>
      </w:r>
      <w:r>
        <w:rPr>
          <w:snapToGrid w:val="0"/>
          <w:spacing w:val="-4"/>
        </w:rPr>
        <w:t>(Act s. 45)</w:t>
      </w:r>
      <w:bookmarkEnd w:id="33"/>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34" w:name="_Toc138857765"/>
      <w:r>
        <w:rPr>
          <w:rStyle w:val="CharSectno"/>
        </w:rPr>
        <w:lastRenderedPageBreak/>
        <w:t>15</w:t>
      </w:r>
      <w:r>
        <w:rPr>
          <w:snapToGrid w:val="0"/>
        </w:rPr>
        <w:t>.</w:t>
      </w:r>
      <w:r>
        <w:rPr>
          <w:snapToGrid w:val="0"/>
        </w:rPr>
        <w:tab/>
      </w:r>
      <w:r>
        <w:rPr>
          <w:snapToGrid w:val="0"/>
          <w:spacing w:val="-4"/>
        </w:rPr>
        <w:t>Information prescribed (Act s. 79)</w:t>
      </w:r>
      <w:bookmarkEnd w:id="34"/>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State agency.</w:t>
      </w:r>
    </w:p>
    <w:p>
      <w:pPr>
        <w:pStyle w:val="Subsection"/>
      </w:pPr>
      <w:r>
        <w:tab/>
        <w:t>(4)</w:t>
      </w:r>
      <w:r>
        <w:tab/>
        <w:t>For the purposes of section 79(c), a pawnbroker or second</w:t>
      </w:r>
      <w:r>
        <w:noBreakHyphen/>
        <w:t xml:space="preserve">hand dealer is to give the information referred to in subregulation (1) or (2), as the case requires, to the Commissioner — </w:t>
      </w:r>
    </w:p>
    <w:p>
      <w:pPr>
        <w:pStyle w:val="Indenta"/>
      </w:pPr>
      <w:r>
        <w:tab/>
        <w:t>(a)</w:t>
      </w:r>
      <w:r>
        <w:tab/>
        <w:t xml:space="preserve">by submitting the information through an electronic system — </w:t>
      </w:r>
    </w:p>
    <w:p>
      <w:pPr>
        <w:pStyle w:val="Indenti"/>
      </w:pPr>
      <w:r>
        <w:tab/>
        <w:t>(i)</w:t>
      </w:r>
      <w:r>
        <w:tab/>
        <w:t>approved by the Commissioner to receive information given under section 79; and</w:t>
      </w:r>
    </w:p>
    <w:p>
      <w:pPr>
        <w:pStyle w:val="Indenti"/>
      </w:pPr>
      <w:r>
        <w:tab/>
        <w:t>(ii)</w:t>
      </w:r>
      <w:r>
        <w:tab/>
        <w:t>notified to the pawnbroker or second</w:t>
      </w:r>
      <w:r>
        <w:noBreakHyphen/>
        <w:t>hand dealer by the Commissioner;</w:t>
      </w:r>
    </w:p>
    <w:p>
      <w:pPr>
        <w:pStyle w:val="Indenta"/>
      </w:pPr>
      <w:r>
        <w:tab/>
      </w:r>
      <w:r>
        <w:tab/>
        <w:t>or</w:t>
      </w:r>
    </w:p>
    <w:p>
      <w:pPr>
        <w:pStyle w:val="Indenta"/>
      </w:pPr>
      <w:r>
        <w:tab/>
        <w:t>(b)</w:t>
      </w:r>
      <w:r>
        <w:tab/>
        <w:t>if the system referred to in paragraph (a) is unavailable at the time the information is intended to be given — by emailing the information to an email address notified to the pawnbroker or second</w:t>
      </w:r>
      <w:r>
        <w:noBreakHyphen/>
        <w:t>hand dealer by the Commissioner; or</w:t>
      </w:r>
    </w:p>
    <w:p>
      <w:pPr>
        <w:pStyle w:val="Indenta"/>
      </w:pPr>
      <w:r>
        <w:lastRenderedPageBreak/>
        <w:tab/>
        <w:t>(c)</w:t>
      </w:r>
      <w:r>
        <w:tab/>
        <w:t>by giving the information by a means that the Commissioner has allowed in the case of the pawnbroker or second</w:t>
      </w:r>
      <w:r>
        <w:noBreakHyphen/>
        <w:t>hand dealer because of special circumstances.</w:t>
      </w:r>
    </w:p>
    <w:p>
      <w:pPr>
        <w:pStyle w:val="Subsection"/>
        <w:keepNext/>
      </w:pPr>
      <w:r>
        <w:tab/>
        <w:t>(5)</w:t>
      </w:r>
      <w:r>
        <w:tab/>
        <w:t>For the purposes of section 79(d), a pawnbroker or second</w:t>
      </w:r>
      <w:r>
        <w:noBreakHyphen/>
        <w:t xml:space="preserve">hand dealer is to give the information referred to in subregulation (1) or (2), as the case requires, to the Commissioner — </w:t>
      </w:r>
    </w:p>
    <w:p>
      <w:pPr>
        <w:pStyle w:val="Indenta"/>
      </w:pPr>
      <w:r>
        <w:tab/>
        <w:t>(a)</w:t>
      </w:r>
      <w:r>
        <w:tab/>
        <w:t>if the pawnbroker or second</w:t>
      </w:r>
      <w:r>
        <w:noBreakHyphen/>
        <w:t>hand dealer gives the information by the means described in subregulation (4)(a) — as soon as the information becomes available to the pawnbroker or second</w:t>
      </w:r>
      <w:r>
        <w:noBreakHyphen/>
        <w:t>hand dealer; or</w:t>
      </w:r>
    </w:p>
    <w:p>
      <w:pPr>
        <w:pStyle w:val="Indenta"/>
      </w:pPr>
      <w:r>
        <w:tab/>
        <w:t>(b)</w:t>
      </w:r>
      <w:r>
        <w:tab/>
        <w:t>if the pawnbroker or second</w:t>
      </w:r>
      <w:r>
        <w:noBreakHyphen/>
        <w:t>hand dealer gives the information by the means described in subregulation (4)(b) or (c) — as soon as practicable, but no later than 24 hours, after the information becomes available to the pawnbroker or second</w:t>
      </w:r>
      <w:r>
        <w:noBreakHyphen/>
        <w:t>hand dealer.</w:t>
      </w:r>
    </w:p>
    <w:p>
      <w:pPr>
        <w:pStyle w:val="Ednotesubsection"/>
        <w:tabs>
          <w:tab w:val="clear" w:pos="879"/>
          <w:tab w:val="left" w:pos="938"/>
        </w:tabs>
      </w:pPr>
      <w:r>
        <w:tab/>
        <w:t>[(5a)-(6)</w:t>
      </w:r>
      <w:r>
        <w:tab/>
      </w:r>
      <w:r>
        <w:tab/>
        <w:t>deleted]</w:t>
      </w:r>
    </w:p>
    <w:p>
      <w:pPr>
        <w:pStyle w:val="Footnotesection"/>
      </w:pPr>
      <w:r>
        <w:tab/>
        <w:t>[Regulation 15 amended: Gazette 28 Jul 2000 p. 4023</w:t>
      </w:r>
      <w:r>
        <w:noBreakHyphen/>
        <w:t>4; 8 Jan 2015 p. 152; SL 2020/147 r. 7; SL 2020/248 r. 10.]</w:t>
      </w:r>
    </w:p>
    <w:p>
      <w:pPr>
        <w:pStyle w:val="Ednotepart"/>
      </w:pPr>
      <w:r>
        <w:t>[Part 5 (r. 16-27) deleted: Gazette 30 Dec 2004 p. 6975.]</w:t>
      </w:r>
    </w:p>
    <w:p>
      <w:pPr>
        <w:pStyle w:val="Heading2"/>
      </w:pPr>
      <w:bookmarkStart w:id="35" w:name="_Toc138691702"/>
      <w:bookmarkStart w:id="36" w:name="_Toc138692006"/>
      <w:bookmarkStart w:id="37" w:name="_Toc138857011"/>
      <w:bookmarkStart w:id="38" w:name="_Toc138857766"/>
      <w:r>
        <w:rPr>
          <w:rStyle w:val="CharPartNo"/>
        </w:rPr>
        <w:lastRenderedPageBreak/>
        <w:t>Part 6</w:t>
      </w:r>
      <w:r>
        <w:rPr>
          <w:rStyle w:val="CharDivNo"/>
        </w:rPr>
        <w:t> </w:t>
      </w:r>
      <w:r>
        <w:t>—</w:t>
      </w:r>
      <w:r>
        <w:rPr>
          <w:rStyle w:val="CharDivText"/>
        </w:rPr>
        <w:t> </w:t>
      </w:r>
      <w:r>
        <w:rPr>
          <w:rStyle w:val="CharPartText"/>
        </w:rPr>
        <w:t>Fees</w:t>
      </w:r>
      <w:bookmarkEnd w:id="35"/>
      <w:bookmarkEnd w:id="36"/>
      <w:bookmarkEnd w:id="37"/>
      <w:bookmarkEnd w:id="38"/>
    </w:p>
    <w:p>
      <w:pPr>
        <w:pStyle w:val="Heading5"/>
        <w:rPr>
          <w:snapToGrid w:val="0"/>
        </w:rPr>
      </w:pPr>
      <w:bookmarkStart w:id="39" w:name="_Toc138857767"/>
      <w:r>
        <w:rPr>
          <w:rStyle w:val="CharSectno"/>
        </w:rPr>
        <w:t>28</w:t>
      </w:r>
      <w:r>
        <w:rPr>
          <w:snapToGrid w:val="0"/>
        </w:rPr>
        <w:t>.</w:t>
      </w:r>
      <w:r>
        <w:rPr>
          <w:snapToGrid w:val="0"/>
        </w:rPr>
        <w:tab/>
        <w:t>Fees prescribed for applications for licences (Act s. 13(b))</w:t>
      </w:r>
      <w:bookmarkEnd w:id="39"/>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pPr>
      <w:r>
        <w:tab/>
        <w:t>(2)</w:t>
      </w:r>
      <w:r>
        <w:tab/>
        <w:t>The fee to accompany an application for the issue of a second</w:t>
      </w:r>
      <w:r>
        <w:noBreakHyphen/>
        <w:t>hand dealer’s licence only is set out in item 2 of the Table to this regulation.</w:t>
      </w:r>
    </w:p>
    <w:p>
      <w:pPr>
        <w:pStyle w:val="Ednotesubsection"/>
      </w:pPr>
      <w:r>
        <w:tab/>
        <w:t>[(3)</w:t>
      </w:r>
      <w:r>
        <w:tab/>
        <w:t>deleted]</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 xml:space="preserve">hand dealer’s licence to be issued in respect of the same person, the single fee to accompany the applications is set out in </w:t>
      </w:r>
      <w:r>
        <w:t xml:space="preserve">item 3 </w:t>
      </w:r>
      <w:r>
        <w:rPr>
          <w:snapToGrid w:val="0"/>
          <w:spacing w:val="-4"/>
        </w:rPr>
        <w:t>of the Table to this regulation.</w:t>
      </w:r>
    </w:p>
    <w:p>
      <w:pPr>
        <w:pStyle w:val="Subsection"/>
      </w:pPr>
      <w:r>
        <w:tab/>
        <w:t>(5)</w:t>
      </w:r>
      <w:r>
        <w:tab/>
        <w:t>For the purposes of calculating a fee set out in item 1, 2 or 3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lastRenderedPageBreak/>
        <w:t>Table — Fees for application for licences</w:t>
      </w:r>
    </w:p>
    <w:tbl>
      <w:tblPr>
        <w:tblW w:w="47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0"/>
        <w:gridCol w:w="1702"/>
        <w:gridCol w:w="1420"/>
        <w:gridCol w:w="1419"/>
        <w:gridCol w:w="1419"/>
      </w:tblGrid>
      <w:tr>
        <w:trPr>
          <w:cantSplit/>
          <w:tblHeader/>
        </w:trPr>
        <w:tc>
          <w:tcPr>
            <w:tcW w:w="739" w:type="dxa"/>
            <w:noWrap/>
          </w:tcPr>
          <w:p>
            <w:pPr>
              <w:pStyle w:val="TableNAm"/>
              <w:jc w:val="center"/>
              <w:rPr>
                <w:b/>
              </w:rPr>
            </w:pPr>
            <w:r>
              <w:rPr>
                <w:b/>
              </w:rPr>
              <w:t>Item</w:t>
            </w:r>
          </w:p>
        </w:tc>
        <w:tc>
          <w:tcPr>
            <w:tcW w:w="1700" w:type="dxa"/>
            <w:noWrap/>
          </w:tcPr>
          <w:p>
            <w:pPr>
              <w:pStyle w:val="TableNAm"/>
              <w:jc w:val="center"/>
              <w:rPr>
                <w:b/>
              </w:rPr>
            </w:pPr>
            <w:r>
              <w:rPr>
                <w:b/>
              </w:rPr>
              <w:t>Licence</w:t>
            </w:r>
          </w:p>
        </w:tc>
        <w:tc>
          <w:tcPr>
            <w:tcW w:w="1418" w:type="dxa"/>
            <w:noWrap/>
          </w:tcPr>
          <w:p>
            <w:pPr>
              <w:pStyle w:val="TableNAm"/>
              <w:jc w:val="center"/>
              <w:rPr>
                <w:b/>
              </w:rPr>
            </w:pPr>
            <w:r>
              <w:rPr>
                <w:b/>
              </w:rPr>
              <w:t>For period not exceeding 1 year</w:t>
            </w:r>
            <w:r>
              <w:rPr>
                <w:b/>
              </w:rPr>
              <w:br/>
            </w:r>
            <w:r>
              <w:rPr>
                <w:b/>
              </w:rPr>
              <w:br/>
            </w:r>
            <w:r>
              <w:rPr>
                <w:b/>
              </w:rPr>
              <w:br/>
              <w:t>$</w:t>
            </w:r>
          </w:p>
        </w:tc>
        <w:tc>
          <w:tcPr>
            <w:tcW w:w="1417" w:type="dxa"/>
            <w:noWrap/>
          </w:tcPr>
          <w:p>
            <w:pPr>
              <w:pStyle w:val="TableNAm"/>
              <w:jc w:val="center"/>
              <w:rPr>
                <w:b/>
              </w:rPr>
            </w:pPr>
            <w:r>
              <w:rPr>
                <w:b/>
              </w:rPr>
              <w:t>For period not exceeding 2 years but longer than 1 year</w:t>
            </w:r>
            <w:r>
              <w:rPr>
                <w:b/>
              </w:rPr>
              <w:br/>
              <w:t>$</w:t>
            </w:r>
          </w:p>
        </w:tc>
        <w:tc>
          <w:tcPr>
            <w:tcW w:w="1417" w:type="dxa"/>
            <w:noWrap/>
          </w:tcPr>
          <w:p>
            <w:pPr>
              <w:pStyle w:val="TableNAm"/>
              <w:jc w:val="center"/>
              <w:rPr>
                <w:b/>
              </w:rPr>
            </w:pPr>
            <w:r>
              <w:rPr>
                <w:b/>
              </w:rPr>
              <w:t>For period not exceeding 3 years but longer than 2 years</w:t>
            </w:r>
            <w:r>
              <w:rPr>
                <w:b/>
              </w:rPr>
              <w:br/>
              <w:t>$</w:t>
            </w:r>
          </w:p>
        </w:tc>
      </w:tr>
      <w:tr>
        <w:trPr>
          <w:cantSplit/>
        </w:trPr>
        <w:tc>
          <w:tcPr>
            <w:tcW w:w="739" w:type="dxa"/>
            <w:noWrap/>
          </w:tcPr>
          <w:p>
            <w:pPr>
              <w:pStyle w:val="TableNAm"/>
              <w:keepNext/>
              <w:rPr>
                <w:b/>
              </w:rPr>
            </w:pPr>
            <w:r>
              <w:rPr>
                <w:b/>
              </w:rPr>
              <w:t>1.</w:t>
            </w:r>
          </w:p>
        </w:tc>
        <w:tc>
          <w:tcPr>
            <w:tcW w:w="1700" w:type="dxa"/>
            <w:noWrap/>
          </w:tcPr>
          <w:p>
            <w:pPr>
              <w:pStyle w:val="TableNAm"/>
              <w:keepNext/>
              <w:rPr>
                <w:b/>
              </w:rPr>
            </w:pPr>
            <w:r>
              <w:rPr>
                <w:b/>
              </w:rPr>
              <w:t>Pawnbroker’s licence only</w:t>
            </w:r>
          </w:p>
        </w:tc>
        <w:tc>
          <w:tcPr>
            <w:tcW w:w="1418" w:type="dxa"/>
            <w:noWrap/>
          </w:tcPr>
          <w:p>
            <w:pPr>
              <w:pStyle w:val="TableNAm"/>
              <w:keepNext/>
            </w:pPr>
          </w:p>
        </w:tc>
        <w:tc>
          <w:tcPr>
            <w:tcW w:w="1417" w:type="dxa"/>
            <w:noWrap/>
          </w:tcPr>
          <w:p>
            <w:pPr>
              <w:pStyle w:val="TableNAm"/>
              <w:keepNext/>
            </w:pPr>
          </w:p>
        </w:tc>
        <w:tc>
          <w:tcPr>
            <w:tcW w:w="1417" w:type="dxa"/>
            <w:noWrap/>
          </w:tcPr>
          <w:p>
            <w:pPr>
              <w:pStyle w:val="TableNAm"/>
              <w:keepNext/>
            </w:pPr>
          </w:p>
        </w:tc>
      </w:tr>
      <w:tr>
        <w:trPr>
          <w:cantSplit/>
        </w:trPr>
        <w:tc>
          <w:tcPr>
            <w:tcW w:w="739" w:type="dxa"/>
            <w:noWrap/>
          </w:tcPr>
          <w:p>
            <w:pPr>
              <w:pStyle w:val="TableNAm"/>
              <w:jc w:val="center"/>
            </w:pPr>
            <w:r>
              <w:t>(a)</w:t>
            </w:r>
          </w:p>
        </w:tc>
        <w:tc>
          <w:tcPr>
            <w:tcW w:w="1700" w:type="dxa"/>
            <w:noWrap/>
          </w:tcPr>
          <w:p>
            <w:pPr>
              <w:pStyle w:val="TableNAm"/>
            </w:pPr>
            <w:r>
              <w:t>150 or more transactions in a year</w:t>
            </w:r>
          </w:p>
        </w:tc>
        <w:tc>
          <w:tcPr>
            <w:tcW w:w="1418" w:type="dxa"/>
            <w:noWrap/>
            <w:vAlign w:val="bottom"/>
          </w:tcPr>
          <w:p>
            <w:pPr>
              <w:pStyle w:val="TableNAm"/>
              <w:ind w:right="346"/>
              <w:jc w:val="right"/>
            </w:pPr>
            <w:r>
              <w:t>5 442</w:t>
            </w:r>
          </w:p>
        </w:tc>
        <w:tc>
          <w:tcPr>
            <w:tcW w:w="1417" w:type="dxa"/>
            <w:noWrap/>
            <w:vAlign w:val="bottom"/>
          </w:tcPr>
          <w:p>
            <w:pPr>
              <w:pStyle w:val="TableNAm"/>
              <w:ind w:right="346"/>
              <w:jc w:val="right"/>
            </w:pPr>
            <w:r>
              <w:t>7 560</w:t>
            </w:r>
          </w:p>
        </w:tc>
        <w:tc>
          <w:tcPr>
            <w:tcW w:w="1417" w:type="dxa"/>
            <w:noWrap/>
            <w:vAlign w:val="bottom"/>
          </w:tcPr>
          <w:p>
            <w:pPr>
              <w:pStyle w:val="TableNAm"/>
              <w:ind w:right="346"/>
              <w:jc w:val="right"/>
            </w:pPr>
            <w:r>
              <w:t>9 677</w:t>
            </w:r>
          </w:p>
        </w:tc>
      </w:tr>
      <w:tr>
        <w:trPr>
          <w:cantSplit/>
        </w:trPr>
        <w:tc>
          <w:tcPr>
            <w:tcW w:w="739" w:type="dxa"/>
            <w:noWrap/>
          </w:tcPr>
          <w:p>
            <w:pPr>
              <w:pStyle w:val="TableNAm"/>
              <w:jc w:val="center"/>
            </w:pPr>
            <w:r>
              <w:t>(b)</w:t>
            </w:r>
          </w:p>
        </w:tc>
        <w:tc>
          <w:tcPr>
            <w:tcW w:w="1700" w:type="dxa"/>
            <w:noWrap/>
          </w:tcPr>
          <w:p>
            <w:pPr>
              <w:pStyle w:val="TableNAm"/>
            </w:pPr>
            <w:r>
              <w:t>50</w:t>
            </w:r>
            <w:r>
              <w:noBreakHyphen/>
              <w:t>149 transactions in a year</w:t>
            </w:r>
          </w:p>
        </w:tc>
        <w:tc>
          <w:tcPr>
            <w:tcW w:w="1418" w:type="dxa"/>
            <w:noWrap/>
            <w:vAlign w:val="bottom"/>
          </w:tcPr>
          <w:p>
            <w:pPr>
              <w:pStyle w:val="TableNAm"/>
              <w:ind w:right="346"/>
              <w:jc w:val="right"/>
            </w:pPr>
            <w:r>
              <w:t>2 721</w:t>
            </w:r>
          </w:p>
        </w:tc>
        <w:tc>
          <w:tcPr>
            <w:tcW w:w="1417" w:type="dxa"/>
            <w:noWrap/>
            <w:vAlign w:val="bottom"/>
          </w:tcPr>
          <w:p>
            <w:pPr>
              <w:pStyle w:val="TableNAm"/>
              <w:ind w:right="346"/>
              <w:jc w:val="right"/>
            </w:pPr>
            <w:r>
              <w:t>3 780</w:t>
            </w:r>
          </w:p>
        </w:tc>
        <w:tc>
          <w:tcPr>
            <w:tcW w:w="1417" w:type="dxa"/>
            <w:noWrap/>
            <w:vAlign w:val="bottom"/>
          </w:tcPr>
          <w:p>
            <w:pPr>
              <w:pStyle w:val="TableNAm"/>
              <w:ind w:right="346"/>
              <w:jc w:val="right"/>
            </w:pPr>
            <w:r>
              <w:t>4 838</w:t>
            </w:r>
          </w:p>
        </w:tc>
      </w:tr>
      <w:tr>
        <w:trPr>
          <w:cantSplit/>
        </w:trPr>
        <w:tc>
          <w:tcPr>
            <w:tcW w:w="739" w:type="dxa"/>
            <w:noWrap/>
          </w:tcPr>
          <w:p>
            <w:pPr>
              <w:pStyle w:val="TableNAm"/>
              <w:jc w:val="center"/>
            </w:pPr>
            <w:r>
              <w:t>(c)</w:t>
            </w:r>
          </w:p>
        </w:tc>
        <w:tc>
          <w:tcPr>
            <w:tcW w:w="1700" w:type="dxa"/>
            <w:noWrap/>
          </w:tcPr>
          <w:p>
            <w:pPr>
              <w:pStyle w:val="TableNAm"/>
            </w:pPr>
            <w:r>
              <w:t>0</w:t>
            </w:r>
            <w:r>
              <w:noBreakHyphen/>
              <w:t>49 transactions in a year</w:t>
            </w:r>
          </w:p>
        </w:tc>
        <w:tc>
          <w:tcPr>
            <w:tcW w:w="1418" w:type="dxa"/>
            <w:noWrap/>
            <w:vAlign w:val="bottom"/>
          </w:tcPr>
          <w:p>
            <w:pPr>
              <w:pStyle w:val="TableNAm"/>
              <w:ind w:right="346"/>
              <w:jc w:val="right"/>
            </w:pPr>
            <w:r>
              <w:t>1 360</w:t>
            </w:r>
          </w:p>
        </w:tc>
        <w:tc>
          <w:tcPr>
            <w:tcW w:w="1417" w:type="dxa"/>
            <w:noWrap/>
            <w:vAlign w:val="bottom"/>
          </w:tcPr>
          <w:p>
            <w:pPr>
              <w:pStyle w:val="TableNAm"/>
              <w:ind w:right="346"/>
              <w:jc w:val="right"/>
            </w:pPr>
            <w:r>
              <w:t>1 890</w:t>
            </w:r>
          </w:p>
        </w:tc>
        <w:tc>
          <w:tcPr>
            <w:tcW w:w="1417" w:type="dxa"/>
            <w:noWrap/>
            <w:vAlign w:val="bottom"/>
          </w:tcPr>
          <w:p>
            <w:pPr>
              <w:pStyle w:val="TableNAm"/>
              <w:ind w:right="346"/>
              <w:jc w:val="right"/>
            </w:pPr>
            <w:r>
              <w:t>2 419</w:t>
            </w:r>
          </w:p>
        </w:tc>
      </w:tr>
      <w:tr>
        <w:trPr>
          <w:cantSplit/>
        </w:trPr>
        <w:tc>
          <w:tcPr>
            <w:tcW w:w="739" w:type="dxa"/>
            <w:noWrap/>
          </w:tcPr>
          <w:p>
            <w:pPr>
              <w:pStyle w:val="TableNAm"/>
              <w:rPr>
                <w:b/>
              </w:rPr>
            </w:pPr>
            <w:r>
              <w:rPr>
                <w:b/>
              </w:rPr>
              <w:t>2.</w:t>
            </w:r>
          </w:p>
        </w:tc>
        <w:tc>
          <w:tcPr>
            <w:tcW w:w="1700" w:type="dxa"/>
            <w:noWrap/>
          </w:tcPr>
          <w:p>
            <w:pPr>
              <w:pStyle w:val="TableNAm"/>
              <w:rPr>
                <w:b/>
              </w:rPr>
            </w:pPr>
            <w:r>
              <w:rPr>
                <w:b/>
              </w:rPr>
              <w:t>Second</w:t>
            </w:r>
            <w:r>
              <w:rPr>
                <w:b/>
              </w:rPr>
              <w:noBreakHyphen/>
              <w:t>hand dealer’s licence only</w:t>
            </w:r>
          </w:p>
        </w:tc>
        <w:tc>
          <w:tcPr>
            <w:tcW w:w="1418" w:type="dxa"/>
            <w:noWrap/>
          </w:tcPr>
          <w:p>
            <w:pPr>
              <w:pStyle w:val="TableNAm"/>
            </w:pPr>
          </w:p>
        </w:tc>
        <w:tc>
          <w:tcPr>
            <w:tcW w:w="1417" w:type="dxa"/>
            <w:noWrap/>
          </w:tcPr>
          <w:p>
            <w:pPr>
              <w:pStyle w:val="TableNAm"/>
            </w:pPr>
          </w:p>
        </w:tc>
        <w:tc>
          <w:tcPr>
            <w:tcW w:w="1417" w:type="dxa"/>
            <w:noWrap/>
          </w:tcPr>
          <w:p>
            <w:pPr>
              <w:pStyle w:val="TableNAm"/>
            </w:pPr>
          </w:p>
        </w:tc>
      </w:tr>
      <w:tr>
        <w:trPr>
          <w:cantSplit/>
        </w:trPr>
        <w:tc>
          <w:tcPr>
            <w:tcW w:w="739" w:type="dxa"/>
            <w:noWrap/>
          </w:tcPr>
          <w:p>
            <w:pPr>
              <w:pStyle w:val="TableNAm"/>
              <w:jc w:val="center"/>
            </w:pPr>
            <w:r>
              <w:t>(a)</w:t>
            </w:r>
          </w:p>
        </w:tc>
        <w:tc>
          <w:tcPr>
            <w:tcW w:w="1700" w:type="dxa"/>
            <w:noWrap/>
          </w:tcPr>
          <w:p>
            <w:pPr>
              <w:pStyle w:val="TableNAm"/>
            </w:pPr>
            <w:r>
              <w:t>150 or more transactions in a year</w:t>
            </w:r>
          </w:p>
        </w:tc>
        <w:tc>
          <w:tcPr>
            <w:tcW w:w="1418" w:type="dxa"/>
            <w:noWrap/>
            <w:vAlign w:val="bottom"/>
          </w:tcPr>
          <w:p>
            <w:pPr>
              <w:pStyle w:val="TableNAm"/>
              <w:ind w:right="346"/>
              <w:jc w:val="right"/>
            </w:pPr>
            <w:r>
              <w:t>5 442</w:t>
            </w:r>
          </w:p>
        </w:tc>
        <w:tc>
          <w:tcPr>
            <w:tcW w:w="1417" w:type="dxa"/>
            <w:noWrap/>
            <w:vAlign w:val="bottom"/>
          </w:tcPr>
          <w:p>
            <w:pPr>
              <w:pStyle w:val="TableNAm"/>
              <w:ind w:right="346"/>
              <w:jc w:val="right"/>
            </w:pPr>
            <w:r>
              <w:t>7 560</w:t>
            </w:r>
          </w:p>
        </w:tc>
        <w:tc>
          <w:tcPr>
            <w:tcW w:w="1417" w:type="dxa"/>
            <w:noWrap/>
            <w:vAlign w:val="bottom"/>
          </w:tcPr>
          <w:p>
            <w:pPr>
              <w:pStyle w:val="TableNAm"/>
              <w:ind w:right="346"/>
              <w:jc w:val="right"/>
            </w:pPr>
            <w:r>
              <w:t>9 677</w:t>
            </w:r>
          </w:p>
        </w:tc>
      </w:tr>
      <w:tr>
        <w:trPr>
          <w:cantSplit/>
        </w:trPr>
        <w:tc>
          <w:tcPr>
            <w:tcW w:w="739" w:type="dxa"/>
            <w:noWrap/>
          </w:tcPr>
          <w:p>
            <w:pPr>
              <w:pStyle w:val="TableNAm"/>
              <w:jc w:val="center"/>
            </w:pPr>
            <w:r>
              <w:t>(b)</w:t>
            </w:r>
          </w:p>
        </w:tc>
        <w:tc>
          <w:tcPr>
            <w:tcW w:w="1700" w:type="dxa"/>
            <w:noWrap/>
          </w:tcPr>
          <w:p>
            <w:pPr>
              <w:pStyle w:val="TableNAm"/>
            </w:pPr>
            <w:r>
              <w:t>50</w:t>
            </w:r>
            <w:r>
              <w:noBreakHyphen/>
              <w:t>149 transactions in a year</w:t>
            </w:r>
          </w:p>
        </w:tc>
        <w:tc>
          <w:tcPr>
            <w:tcW w:w="1418" w:type="dxa"/>
            <w:noWrap/>
            <w:vAlign w:val="bottom"/>
          </w:tcPr>
          <w:p>
            <w:pPr>
              <w:pStyle w:val="TableNAm"/>
              <w:ind w:right="346"/>
              <w:jc w:val="right"/>
            </w:pPr>
            <w:r>
              <w:t>2 721</w:t>
            </w:r>
          </w:p>
        </w:tc>
        <w:tc>
          <w:tcPr>
            <w:tcW w:w="1417" w:type="dxa"/>
            <w:noWrap/>
            <w:vAlign w:val="bottom"/>
          </w:tcPr>
          <w:p>
            <w:pPr>
              <w:pStyle w:val="TableNAm"/>
              <w:ind w:right="346"/>
              <w:jc w:val="right"/>
            </w:pPr>
            <w:r>
              <w:t>3 780</w:t>
            </w:r>
          </w:p>
        </w:tc>
        <w:tc>
          <w:tcPr>
            <w:tcW w:w="1417" w:type="dxa"/>
            <w:noWrap/>
            <w:vAlign w:val="bottom"/>
          </w:tcPr>
          <w:p>
            <w:pPr>
              <w:pStyle w:val="TableNAm"/>
              <w:ind w:right="346"/>
              <w:jc w:val="right"/>
            </w:pPr>
            <w:r>
              <w:t>4 838</w:t>
            </w:r>
          </w:p>
        </w:tc>
      </w:tr>
      <w:tr>
        <w:trPr>
          <w:cantSplit/>
        </w:trPr>
        <w:tc>
          <w:tcPr>
            <w:tcW w:w="739" w:type="dxa"/>
            <w:noWrap/>
          </w:tcPr>
          <w:p>
            <w:pPr>
              <w:pStyle w:val="TableNAm"/>
              <w:jc w:val="center"/>
            </w:pPr>
            <w:r>
              <w:lastRenderedPageBreak/>
              <w:t>(c)</w:t>
            </w:r>
          </w:p>
        </w:tc>
        <w:tc>
          <w:tcPr>
            <w:tcW w:w="1700" w:type="dxa"/>
            <w:noWrap/>
          </w:tcPr>
          <w:p>
            <w:pPr>
              <w:pStyle w:val="TableNAm"/>
            </w:pPr>
            <w:r>
              <w:t>0</w:t>
            </w:r>
            <w:r>
              <w:noBreakHyphen/>
              <w:t>49 transactions in a year</w:t>
            </w:r>
          </w:p>
        </w:tc>
        <w:tc>
          <w:tcPr>
            <w:tcW w:w="1418" w:type="dxa"/>
            <w:noWrap/>
            <w:vAlign w:val="bottom"/>
          </w:tcPr>
          <w:p>
            <w:pPr>
              <w:pStyle w:val="TableNAm"/>
              <w:ind w:right="346"/>
              <w:jc w:val="right"/>
            </w:pPr>
            <w:r>
              <w:t>1 360</w:t>
            </w:r>
          </w:p>
        </w:tc>
        <w:tc>
          <w:tcPr>
            <w:tcW w:w="1417" w:type="dxa"/>
            <w:noWrap/>
            <w:vAlign w:val="bottom"/>
          </w:tcPr>
          <w:p>
            <w:pPr>
              <w:pStyle w:val="TableNAm"/>
              <w:ind w:right="346"/>
              <w:jc w:val="right"/>
            </w:pPr>
            <w:r>
              <w:t>1 890</w:t>
            </w:r>
          </w:p>
        </w:tc>
        <w:tc>
          <w:tcPr>
            <w:tcW w:w="1417" w:type="dxa"/>
            <w:noWrap/>
            <w:vAlign w:val="bottom"/>
          </w:tcPr>
          <w:p>
            <w:pPr>
              <w:pStyle w:val="TableNAm"/>
              <w:ind w:right="346"/>
              <w:jc w:val="right"/>
            </w:pPr>
            <w:r>
              <w:t>2 419</w:t>
            </w:r>
          </w:p>
        </w:tc>
      </w:tr>
      <w:tr>
        <w:trPr>
          <w:cantSplit/>
        </w:trPr>
        <w:tc>
          <w:tcPr>
            <w:tcW w:w="739" w:type="dxa"/>
            <w:noWrap/>
          </w:tcPr>
          <w:p>
            <w:pPr>
              <w:pStyle w:val="TableNAm"/>
              <w:rPr>
                <w:b/>
              </w:rPr>
            </w:pPr>
            <w:r>
              <w:rPr>
                <w:b/>
              </w:rPr>
              <w:t>3.</w:t>
            </w:r>
          </w:p>
        </w:tc>
        <w:tc>
          <w:tcPr>
            <w:tcW w:w="1700" w:type="dxa"/>
            <w:noWrap/>
          </w:tcPr>
          <w:p>
            <w:pPr>
              <w:pStyle w:val="TableNAm"/>
              <w:rPr>
                <w:b/>
              </w:rPr>
            </w:pPr>
            <w:r>
              <w:rPr>
                <w:b/>
              </w:rPr>
              <w:t>Pawnbroker’s licence and second</w:t>
            </w:r>
            <w:r>
              <w:rPr>
                <w:b/>
              </w:rPr>
              <w:noBreakHyphen/>
              <w:t>hand dealer’s licence</w:t>
            </w:r>
          </w:p>
        </w:tc>
        <w:tc>
          <w:tcPr>
            <w:tcW w:w="1418" w:type="dxa"/>
            <w:noWrap/>
          </w:tcPr>
          <w:p>
            <w:pPr>
              <w:pStyle w:val="TableNAm"/>
            </w:pPr>
          </w:p>
        </w:tc>
        <w:tc>
          <w:tcPr>
            <w:tcW w:w="1417" w:type="dxa"/>
            <w:noWrap/>
          </w:tcPr>
          <w:p>
            <w:pPr>
              <w:pStyle w:val="TableNAm"/>
            </w:pPr>
          </w:p>
        </w:tc>
        <w:tc>
          <w:tcPr>
            <w:tcW w:w="1417" w:type="dxa"/>
            <w:noWrap/>
          </w:tcPr>
          <w:p>
            <w:pPr>
              <w:pStyle w:val="TableNAm"/>
            </w:pPr>
          </w:p>
        </w:tc>
      </w:tr>
      <w:tr>
        <w:trPr>
          <w:cantSplit/>
        </w:trPr>
        <w:tc>
          <w:tcPr>
            <w:tcW w:w="739" w:type="dxa"/>
            <w:noWrap/>
          </w:tcPr>
          <w:p>
            <w:pPr>
              <w:pStyle w:val="TableNAm"/>
              <w:jc w:val="center"/>
            </w:pPr>
            <w:r>
              <w:t>(a)</w:t>
            </w:r>
          </w:p>
        </w:tc>
        <w:tc>
          <w:tcPr>
            <w:tcW w:w="1700" w:type="dxa"/>
            <w:noWrap/>
          </w:tcPr>
          <w:p>
            <w:pPr>
              <w:pStyle w:val="TableNAm"/>
            </w:pPr>
            <w:r>
              <w:t>150 or more transactions in a year</w:t>
            </w:r>
          </w:p>
        </w:tc>
        <w:tc>
          <w:tcPr>
            <w:tcW w:w="1418" w:type="dxa"/>
            <w:noWrap/>
            <w:vAlign w:val="bottom"/>
          </w:tcPr>
          <w:p>
            <w:pPr>
              <w:pStyle w:val="TableNAm"/>
              <w:ind w:right="346"/>
              <w:jc w:val="right"/>
            </w:pPr>
            <w:r>
              <w:t>5 457</w:t>
            </w:r>
          </w:p>
        </w:tc>
        <w:tc>
          <w:tcPr>
            <w:tcW w:w="1417" w:type="dxa"/>
            <w:noWrap/>
            <w:vAlign w:val="bottom"/>
          </w:tcPr>
          <w:p>
            <w:pPr>
              <w:pStyle w:val="TableNAm"/>
              <w:ind w:right="346"/>
              <w:jc w:val="right"/>
            </w:pPr>
            <w:r>
              <w:t>7 585</w:t>
            </w:r>
          </w:p>
        </w:tc>
        <w:tc>
          <w:tcPr>
            <w:tcW w:w="1417" w:type="dxa"/>
            <w:noWrap/>
            <w:vAlign w:val="bottom"/>
          </w:tcPr>
          <w:p>
            <w:pPr>
              <w:pStyle w:val="TableNAm"/>
              <w:ind w:right="346"/>
              <w:jc w:val="right"/>
            </w:pPr>
            <w:r>
              <w:t>9 712</w:t>
            </w:r>
          </w:p>
        </w:tc>
      </w:tr>
      <w:tr>
        <w:trPr>
          <w:cantSplit/>
        </w:trPr>
        <w:tc>
          <w:tcPr>
            <w:tcW w:w="739" w:type="dxa"/>
            <w:noWrap/>
          </w:tcPr>
          <w:p>
            <w:pPr>
              <w:pStyle w:val="TableNAm"/>
              <w:jc w:val="center"/>
            </w:pPr>
            <w:r>
              <w:t>(b)</w:t>
            </w:r>
          </w:p>
        </w:tc>
        <w:tc>
          <w:tcPr>
            <w:tcW w:w="1700" w:type="dxa"/>
            <w:noWrap/>
          </w:tcPr>
          <w:p>
            <w:pPr>
              <w:pStyle w:val="TableNAm"/>
            </w:pPr>
            <w:r>
              <w:t>50</w:t>
            </w:r>
            <w:r>
              <w:noBreakHyphen/>
              <w:t>149 transactions in a year</w:t>
            </w:r>
          </w:p>
        </w:tc>
        <w:tc>
          <w:tcPr>
            <w:tcW w:w="1418" w:type="dxa"/>
            <w:noWrap/>
            <w:vAlign w:val="bottom"/>
          </w:tcPr>
          <w:p>
            <w:pPr>
              <w:pStyle w:val="TableNAm"/>
              <w:ind w:right="346"/>
              <w:jc w:val="right"/>
            </w:pPr>
            <w:r>
              <w:t>2 729</w:t>
            </w:r>
          </w:p>
        </w:tc>
        <w:tc>
          <w:tcPr>
            <w:tcW w:w="1417" w:type="dxa"/>
            <w:noWrap/>
            <w:vAlign w:val="bottom"/>
          </w:tcPr>
          <w:p>
            <w:pPr>
              <w:pStyle w:val="TableNAm"/>
              <w:ind w:right="346"/>
              <w:jc w:val="right"/>
            </w:pPr>
            <w:r>
              <w:t>3 793</w:t>
            </w:r>
          </w:p>
        </w:tc>
        <w:tc>
          <w:tcPr>
            <w:tcW w:w="1417" w:type="dxa"/>
            <w:noWrap/>
            <w:vAlign w:val="bottom"/>
          </w:tcPr>
          <w:p>
            <w:pPr>
              <w:pStyle w:val="TableNAm"/>
              <w:ind w:right="346"/>
              <w:jc w:val="right"/>
            </w:pPr>
            <w:r>
              <w:t>4 856</w:t>
            </w:r>
          </w:p>
        </w:tc>
      </w:tr>
      <w:tr>
        <w:trPr>
          <w:cantSplit/>
        </w:trPr>
        <w:tc>
          <w:tcPr>
            <w:tcW w:w="739" w:type="dxa"/>
            <w:noWrap/>
          </w:tcPr>
          <w:p>
            <w:pPr>
              <w:pStyle w:val="TableNAm"/>
              <w:jc w:val="center"/>
            </w:pPr>
            <w:r>
              <w:t>(c)</w:t>
            </w:r>
          </w:p>
        </w:tc>
        <w:tc>
          <w:tcPr>
            <w:tcW w:w="1700" w:type="dxa"/>
            <w:noWrap/>
          </w:tcPr>
          <w:p>
            <w:pPr>
              <w:pStyle w:val="TableNAm"/>
            </w:pPr>
            <w:r>
              <w:t>0</w:t>
            </w:r>
            <w:r>
              <w:noBreakHyphen/>
              <w:t>49 transactions in a year</w:t>
            </w:r>
          </w:p>
        </w:tc>
        <w:tc>
          <w:tcPr>
            <w:tcW w:w="1418" w:type="dxa"/>
            <w:noWrap/>
            <w:vAlign w:val="bottom"/>
          </w:tcPr>
          <w:p>
            <w:pPr>
              <w:pStyle w:val="TableNAm"/>
              <w:ind w:right="346"/>
              <w:jc w:val="right"/>
            </w:pPr>
            <w:r>
              <w:t>1 364</w:t>
            </w:r>
          </w:p>
        </w:tc>
        <w:tc>
          <w:tcPr>
            <w:tcW w:w="1417" w:type="dxa"/>
            <w:noWrap/>
            <w:vAlign w:val="bottom"/>
          </w:tcPr>
          <w:p>
            <w:pPr>
              <w:pStyle w:val="TableNAm"/>
              <w:ind w:right="346"/>
              <w:jc w:val="right"/>
            </w:pPr>
            <w:r>
              <w:t>1 896</w:t>
            </w:r>
          </w:p>
        </w:tc>
        <w:tc>
          <w:tcPr>
            <w:tcW w:w="1417" w:type="dxa"/>
            <w:noWrap/>
            <w:vAlign w:val="bottom"/>
          </w:tcPr>
          <w:p>
            <w:pPr>
              <w:pStyle w:val="TableNAm"/>
              <w:ind w:right="346"/>
              <w:jc w:val="right"/>
            </w:pPr>
            <w:r>
              <w:t>2 428</w:t>
            </w:r>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 xml:space="preserve">50; </w:t>
      </w:r>
      <w:r>
        <w:rPr>
          <w:spacing w:val="-4"/>
        </w:rPr>
        <w:lastRenderedPageBreak/>
        <w:t>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 SL 2020/82 r. 6; SL 2020/147 r. 8; SL 2021/106 r. 6; SL 2022/65 r. 6; SL 2023/74 r. 6.]</w:t>
      </w:r>
    </w:p>
    <w:p>
      <w:pPr>
        <w:pStyle w:val="Heading5"/>
        <w:rPr>
          <w:snapToGrid w:val="0"/>
          <w:spacing w:val="-4"/>
        </w:rPr>
      </w:pPr>
      <w:bookmarkStart w:id="40" w:name="_Toc138857768"/>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40"/>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pPr>
      <w:r>
        <w:tab/>
        <w:t>(2)</w:t>
      </w:r>
      <w:r>
        <w:tab/>
        <w:t>The fee to accompany an application for the renewal of a second</w:t>
      </w:r>
      <w:r>
        <w:noBreakHyphen/>
        <w:t>hand dealer’s licence only is set out in item 2 of the Table to this regulation.</w:t>
      </w:r>
    </w:p>
    <w:p>
      <w:pPr>
        <w:pStyle w:val="Ednotesubsection"/>
      </w:pPr>
      <w:r>
        <w:tab/>
        <w:t>[(3)</w:t>
      </w:r>
      <w:r>
        <w:tab/>
        <w:t>deleted]</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 xml:space="preserve">hand dealer’s licence to be renewed in respect of the same person, the single fee to accompany the applications is set out in </w:t>
      </w:r>
      <w:r>
        <w:t xml:space="preserve">item 3 </w:t>
      </w:r>
      <w:r>
        <w:rPr>
          <w:snapToGrid w:val="0"/>
        </w:rPr>
        <w:t>of the Table to this regulation.</w:t>
      </w:r>
    </w:p>
    <w:p>
      <w:pPr>
        <w:pStyle w:val="Subsection"/>
        <w:keepNext/>
      </w:pPr>
      <w:r>
        <w:tab/>
        <w:t>(5)</w:t>
      </w:r>
      <w:r>
        <w:tab/>
        <w:t xml:space="preserve">For the purposes of calculating a fee set out in item 1, 2 or 3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lastRenderedPageBreak/>
        <w:t>Table — Fees for renewal of licences</w:t>
      </w:r>
    </w:p>
    <w:tbl>
      <w:tblPr>
        <w:tblW w:w="47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9"/>
        <w:gridCol w:w="1703"/>
        <w:gridCol w:w="1420"/>
        <w:gridCol w:w="1420"/>
        <w:gridCol w:w="1418"/>
      </w:tblGrid>
      <w:tr>
        <w:trPr>
          <w:cantSplit/>
          <w:tblHeader/>
        </w:trPr>
        <w:tc>
          <w:tcPr>
            <w:tcW w:w="738" w:type="dxa"/>
            <w:noWrap/>
          </w:tcPr>
          <w:p>
            <w:pPr>
              <w:pStyle w:val="TableNAm"/>
              <w:jc w:val="center"/>
              <w:rPr>
                <w:b/>
              </w:rPr>
            </w:pPr>
            <w:r>
              <w:rPr>
                <w:b/>
              </w:rPr>
              <w:t>Item</w:t>
            </w:r>
          </w:p>
        </w:tc>
        <w:tc>
          <w:tcPr>
            <w:tcW w:w="1701" w:type="dxa"/>
            <w:noWrap/>
          </w:tcPr>
          <w:p>
            <w:pPr>
              <w:pStyle w:val="TableNAm"/>
              <w:jc w:val="center"/>
              <w:rPr>
                <w:b/>
              </w:rPr>
            </w:pPr>
            <w:r>
              <w:rPr>
                <w:b/>
              </w:rPr>
              <w:t>Licence</w:t>
            </w:r>
          </w:p>
        </w:tc>
        <w:tc>
          <w:tcPr>
            <w:tcW w:w="1418" w:type="dxa"/>
            <w:noWrap/>
          </w:tcPr>
          <w:p>
            <w:pPr>
              <w:pStyle w:val="TableNAm"/>
              <w:jc w:val="center"/>
              <w:rPr>
                <w:b/>
              </w:rPr>
            </w:pPr>
            <w:r>
              <w:rPr>
                <w:b/>
              </w:rPr>
              <w:t>For period not exceeding 1 year</w:t>
            </w:r>
            <w:r>
              <w:rPr>
                <w:b/>
              </w:rPr>
              <w:br/>
            </w:r>
            <w:r>
              <w:rPr>
                <w:b/>
              </w:rPr>
              <w:br/>
            </w:r>
            <w:r>
              <w:rPr>
                <w:b/>
              </w:rPr>
              <w:br/>
              <w:t>$</w:t>
            </w:r>
          </w:p>
        </w:tc>
        <w:tc>
          <w:tcPr>
            <w:tcW w:w="1418" w:type="dxa"/>
            <w:noWrap/>
          </w:tcPr>
          <w:p>
            <w:pPr>
              <w:pStyle w:val="TableNAm"/>
              <w:jc w:val="center"/>
              <w:rPr>
                <w:b/>
              </w:rPr>
            </w:pPr>
            <w:r>
              <w:rPr>
                <w:b/>
              </w:rPr>
              <w:t>For period not exceeding 2 years but longer than 1 year</w:t>
            </w:r>
            <w:r>
              <w:rPr>
                <w:b/>
              </w:rPr>
              <w:br/>
              <w:t>$</w:t>
            </w:r>
          </w:p>
        </w:tc>
        <w:tc>
          <w:tcPr>
            <w:tcW w:w="1416" w:type="dxa"/>
            <w:noWrap/>
          </w:tcPr>
          <w:p>
            <w:pPr>
              <w:pStyle w:val="TableNAm"/>
              <w:jc w:val="center"/>
              <w:rPr>
                <w:b/>
              </w:rPr>
            </w:pPr>
            <w:r>
              <w:rPr>
                <w:b/>
              </w:rPr>
              <w:t>For period not exceeding 3 years but longer than 2 years</w:t>
            </w:r>
            <w:r>
              <w:rPr>
                <w:b/>
              </w:rPr>
              <w:br/>
              <w:t>$</w:t>
            </w:r>
          </w:p>
        </w:tc>
      </w:tr>
      <w:tr>
        <w:trPr>
          <w:cantSplit/>
        </w:trPr>
        <w:tc>
          <w:tcPr>
            <w:tcW w:w="738" w:type="dxa"/>
            <w:noWrap/>
          </w:tcPr>
          <w:p>
            <w:pPr>
              <w:pStyle w:val="TableNAm"/>
              <w:rPr>
                <w:b/>
              </w:rPr>
            </w:pPr>
            <w:r>
              <w:rPr>
                <w:b/>
              </w:rPr>
              <w:t>1.</w:t>
            </w:r>
          </w:p>
        </w:tc>
        <w:tc>
          <w:tcPr>
            <w:tcW w:w="1701" w:type="dxa"/>
            <w:noWrap/>
          </w:tcPr>
          <w:p>
            <w:pPr>
              <w:pStyle w:val="TableNAm"/>
              <w:rPr>
                <w:b/>
              </w:rPr>
            </w:pPr>
            <w:r>
              <w:rPr>
                <w:b/>
              </w:rPr>
              <w:t>Pawnbroker’s licence only</w:t>
            </w:r>
          </w:p>
        </w:tc>
        <w:tc>
          <w:tcPr>
            <w:tcW w:w="1418" w:type="dxa"/>
            <w:noWrap/>
          </w:tcPr>
          <w:p>
            <w:pPr>
              <w:pStyle w:val="TableNAm"/>
            </w:pPr>
          </w:p>
        </w:tc>
        <w:tc>
          <w:tcPr>
            <w:tcW w:w="1418" w:type="dxa"/>
            <w:noWrap/>
          </w:tcPr>
          <w:p>
            <w:pPr>
              <w:pStyle w:val="TableNAm"/>
            </w:pPr>
          </w:p>
        </w:tc>
        <w:tc>
          <w:tcPr>
            <w:tcW w:w="1416" w:type="dxa"/>
            <w:noWrap/>
          </w:tcPr>
          <w:p>
            <w:pPr>
              <w:pStyle w:val="TableNAm"/>
            </w:pPr>
          </w:p>
        </w:tc>
      </w:tr>
      <w:tr>
        <w:trPr>
          <w:cantSplit/>
        </w:trPr>
        <w:tc>
          <w:tcPr>
            <w:tcW w:w="738" w:type="dxa"/>
            <w:noWrap/>
          </w:tcPr>
          <w:p>
            <w:pPr>
              <w:pStyle w:val="TableNAm"/>
              <w:jc w:val="center"/>
            </w:pPr>
            <w:r>
              <w:t>(a)</w:t>
            </w:r>
          </w:p>
        </w:tc>
        <w:tc>
          <w:tcPr>
            <w:tcW w:w="1701" w:type="dxa"/>
            <w:noWrap/>
          </w:tcPr>
          <w:p>
            <w:pPr>
              <w:pStyle w:val="TableNAm"/>
            </w:pPr>
            <w:r>
              <w:t>150 or more transactions in a year</w:t>
            </w:r>
          </w:p>
        </w:tc>
        <w:tc>
          <w:tcPr>
            <w:tcW w:w="1418" w:type="dxa"/>
            <w:noWrap/>
            <w:vAlign w:val="bottom"/>
          </w:tcPr>
          <w:p>
            <w:pPr>
              <w:pStyle w:val="TableNAm"/>
              <w:ind w:right="346"/>
              <w:jc w:val="right"/>
            </w:pPr>
            <w:r>
              <w:t>5 347</w:t>
            </w:r>
          </w:p>
        </w:tc>
        <w:tc>
          <w:tcPr>
            <w:tcW w:w="1418" w:type="dxa"/>
            <w:noWrap/>
            <w:vAlign w:val="bottom"/>
          </w:tcPr>
          <w:p>
            <w:pPr>
              <w:pStyle w:val="TableNAm"/>
              <w:ind w:right="346"/>
              <w:jc w:val="right"/>
            </w:pPr>
            <w:r>
              <w:t>7 402</w:t>
            </w:r>
          </w:p>
        </w:tc>
        <w:tc>
          <w:tcPr>
            <w:tcW w:w="1416" w:type="dxa"/>
            <w:noWrap/>
            <w:vAlign w:val="bottom"/>
          </w:tcPr>
          <w:p>
            <w:pPr>
              <w:pStyle w:val="TableNAm"/>
              <w:ind w:right="346"/>
              <w:jc w:val="right"/>
            </w:pPr>
            <w:r>
              <w:t>9 457</w:t>
            </w:r>
          </w:p>
        </w:tc>
      </w:tr>
      <w:tr>
        <w:trPr>
          <w:cantSplit/>
        </w:trPr>
        <w:tc>
          <w:tcPr>
            <w:tcW w:w="738" w:type="dxa"/>
            <w:noWrap/>
          </w:tcPr>
          <w:p>
            <w:pPr>
              <w:pStyle w:val="TableNAm"/>
              <w:jc w:val="center"/>
            </w:pPr>
            <w:r>
              <w:t>(b)</w:t>
            </w:r>
          </w:p>
        </w:tc>
        <w:tc>
          <w:tcPr>
            <w:tcW w:w="1701" w:type="dxa"/>
            <w:noWrap/>
          </w:tcPr>
          <w:p>
            <w:pPr>
              <w:pStyle w:val="TableNAm"/>
            </w:pPr>
            <w:r>
              <w:t>50</w:t>
            </w:r>
            <w:r>
              <w:noBreakHyphen/>
              <w:t>149 transactions in a year</w:t>
            </w:r>
          </w:p>
        </w:tc>
        <w:tc>
          <w:tcPr>
            <w:tcW w:w="1418" w:type="dxa"/>
            <w:noWrap/>
            <w:vAlign w:val="bottom"/>
          </w:tcPr>
          <w:p>
            <w:pPr>
              <w:pStyle w:val="TableNAm"/>
              <w:ind w:right="346"/>
              <w:jc w:val="right"/>
            </w:pPr>
            <w:r>
              <w:t>2 673</w:t>
            </w:r>
          </w:p>
        </w:tc>
        <w:tc>
          <w:tcPr>
            <w:tcW w:w="1418" w:type="dxa"/>
            <w:noWrap/>
            <w:vAlign w:val="bottom"/>
          </w:tcPr>
          <w:p>
            <w:pPr>
              <w:pStyle w:val="TableNAm"/>
              <w:ind w:right="346"/>
              <w:jc w:val="right"/>
            </w:pPr>
            <w:r>
              <w:t>3 701</w:t>
            </w:r>
          </w:p>
        </w:tc>
        <w:tc>
          <w:tcPr>
            <w:tcW w:w="1416" w:type="dxa"/>
            <w:noWrap/>
            <w:vAlign w:val="bottom"/>
          </w:tcPr>
          <w:p>
            <w:pPr>
              <w:pStyle w:val="TableNAm"/>
              <w:ind w:right="346"/>
              <w:jc w:val="right"/>
            </w:pPr>
            <w:r>
              <w:t>4 728</w:t>
            </w:r>
          </w:p>
        </w:tc>
      </w:tr>
      <w:tr>
        <w:trPr>
          <w:cantSplit/>
        </w:trPr>
        <w:tc>
          <w:tcPr>
            <w:tcW w:w="738" w:type="dxa"/>
            <w:noWrap/>
          </w:tcPr>
          <w:p>
            <w:pPr>
              <w:pStyle w:val="TableNAm"/>
              <w:jc w:val="center"/>
            </w:pPr>
            <w:r>
              <w:t>(c)</w:t>
            </w:r>
          </w:p>
        </w:tc>
        <w:tc>
          <w:tcPr>
            <w:tcW w:w="1701" w:type="dxa"/>
            <w:noWrap/>
          </w:tcPr>
          <w:p>
            <w:pPr>
              <w:pStyle w:val="TableNAm"/>
            </w:pPr>
            <w:r>
              <w:t>0</w:t>
            </w:r>
            <w:r>
              <w:noBreakHyphen/>
              <w:t>49 transactions in a year</w:t>
            </w:r>
          </w:p>
        </w:tc>
        <w:tc>
          <w:tcPr>
            <w:tcW w:w="1418" w:type="dxa"/>
            <w:noWrap/>
            <w:vAlign w:val="bottom"/>
          </w:tcPr>
          <w:p>
            <w:pPr>
              <w:pStyle w:val="TableNAm"/>
              <w:ind w:right="346"/>
              <w:jc w:val="right"/>
            </w:pPr>
            <w:r>
              <w:t>1 336</w:t>
            </w:r>
          </w:p>
        </w:tc>
        <w:tc>
          <w:tcPr>
            <w:tcW w:w="1418" w:type="dxa"/>
            <w:noWrap/>
            <w:vAlign w:val="bottom"/>
          </w:tcPr>
          <w:p>
            <w:pPr>
              <w:pStyle w:val="TableNAm"/>
              <w:ind w:right="346"/>
              <w:jc w:val="right"/>
            </w:pPr>
            <w:r>
              <w:t>1 850</w:t>
            </w:r>
          </w:p>
        </w:tc>
        <w:tc>
          <w:tcPr>
            <w:tcW w:w="1416" w:type="dxa"/>
            <w:noWrap/>
            <w:vAlign w:val="bottom"/>
          </w:tcPr>
          <w:p>
            <w:pPr>
              <w:pStyle w:val="TableNAm"/>
              <w:ind w:right="346"/>
              <w:jc w:val="right"/>
            </w:pPr>
            <w:r>
              <w:t>2 364</w:t>
            </w:r>
          </w:p>
        </w:tc>
      </w:tr>
      <w:tr>
        <w:trPr>
          <w:cantSplit/>
        </w:trPr>
        <w:tc>
          <w:tcPr>
            <w:tcW w:w="738" w:type="dxa"/>
            <w:noWrap/>
          </w:tcPr>
          <w:p>
            <w:pPr>
              <w:pStyle w:val="TableNAm"/>
              <w:keepNext/>
              <w:rPr>
                <w:b/>
              </w:rPr>
            </w:pPr>
            <w:r>
              <w:rPr>
                <w:b/>
              </w:rPr>
              <w:t>2.</w:t>
            </w:r>
          </w:p>
        </w:tc>
        <w:tc>
          <w:tcPr>
            <w:tcW w:w="1701" w:type="dxa"/>
            <w:noWrap/>
          </w:tcPr>
          <w:p>
            <w:pPr>
              <w:pStyle w:val="TableNAm"/>
              <w:rPr>
                <w:b/>
              </w:rPr>
            </w:pPr>
            <w:r>
              <w:rPr>
                <w:b/>
              </w:rPr>
              <w:t>Second</w:t>
            </w:r>
            <w:r>
              <w:rPr>
                <w:b/>
              </w:rPr>
              <w:noBreakHyphen/>
              <w:t>hand dealer’s licence only</w:t>
            </w:r>
          </w:p>
        </w:tc>
        <w:tc>
          <w:tcPr>
            <w:tcW w:w="1418" w:type="dxa"/>
            <w:noWrap/>
          </w:tcPr>
          <w:p>
            <w:pPr>
              <w:pStyle w:val="TableNAm"/>
            </w:pPr>
          </w:p>
        </w:tc>
        <w:tc>
          <w:tcPr>
            <w:tcW w:w="1418" w:type="dxa"/>
            <w:noWrap/>
          </w:tcPr>
          <w:p>
            <w:pPr>
              <w:pStyle w:val="TableNAm"/>
            </w:pPr>
          </w:p>
        </w:tc>
        <w:tc>
          <w:tcPr>
            <w:tcW w:w="1416" w:type="dxa"/>
            <w:noWrap/>
          </w:tcPr>
          <w:p>
            <w:pPr>
              <w:pStyle w:val="TableNAm"/>
            </w:pPr>
          </w:p>
        </w:tc>
      </w:tr>
      <w:tr>
        <w:trPr>
          <w:cantSplit/>
        </w:trPr>
        <w:tc>
          <w:tcPr>
            <w:tcW w:w="738" w:type="dxa"/>
            <w:noWrap/>
          </w:tcPr>
          <w:p>
            <w:pPr>
              <w:pStyle w:val="TableNAm"/>
              <w:jc w:val="center"/>
            </w:pPr>
            <w:r>
              <w:t>(a)</w:t>
            </w:r>
          </w:p>
        </w:tc>
        <w:tc>
          <w:tcPr>
            <w:tcW w:w="1701" w:type="dxa"/>
            <w:noWrap/>
          </w:tcPr>
          <w:p>
            <w:pPr>
              <w:pStyle w:val="TableNAm"/>
            </w:pPr>
            <w:r>
              <w:t>150 or more transactions in a year</w:t>
            </w:r>
          </w:p>
        </w:tc>
        <w:tc>
          <w:tcPr>
            <w:tcW w:w="1418" w:type="dxa"/>
            <w:noWrap/>
            <w:vAlign w:val="bottom"/>
          </w:tcPr>
          <w:p>
            <w:pPr>
              <w:pStyle w:val="TableNAm"/>
              <w:ind w:right="346"/>
              <w:jc w:val="right"/>
            </w:pPr>
            <w:r>
              <w:t>5 347</w:t>
            </w:r>
          </w:p>
        </w:tc>
        <w:tc>
          <w:tcPr>
            <w:tcW w:w="1418" w:type="dxa"/>
            <w:noWrap/>
            <w:vAlign w:val="bottom"/>
          </w:tcPr>
          <w:p>
            <w:pPr>
              <w:pStyle w:val="TableNAm"/>
              <w:ind w:right="346"/>
              <w:jc w:val="right"/>
            </w:pPr>
            <w:r>
              <w:t>7 402</w:t>
            </w:r>
          </w:p>
        </w:tc>
        <w:tc>
          <w:tcPr>
            <w:tcW w:w="1416" w:type="dxa"/>
            <w:noWrap/>
            <w:vAlign w:val="bottom"/>
          </w:tcPr>
          <w:p>
            <w:pPr>
              <w:pStyle w:val="TableNAm"/>
              <w:ind w:right="346"/>
              <w:jc w:val="right"/>
            </w:pPr>
            <w:r>
              <w:t>9 457</w:t>
            </w:r>
          </w:p>
        </w:tc>
      </w:tr>
      <w:tr>
        <w:trPr>
          <w:cantSplit/>
        </w:trPr>
        <w:tc>
          <w:tcPr>
            <w:tcW w:w="738" w:type="dxa"/>
            <w:noWrap/>
          </w:tcPr>
          <w:p>
            <w:pPr>
              <w:pStyle w:val="TableNAm"/>
              <w:jc w:val="center"/>
            </w:pPr>
            <w:r>
              <w:t>(b)</w:t>
            </w:r>
          </w:p>
        </w:tc>
        <w:tc>
          <w:tcPr>
            <w:tcW w:w="1701" w:type="dxa"/>
            <w:noWrap/>
          </w:tcPr>
          <w:p>
            <w:pPr>
              <w:pStyle w:val="TableNAm"/>
            </w:pPr>
            <w:r>
              <w:t>50</w:t>
            </w:r>
            <w:r>
              <w:noBreakHyphen/>
              <w:t>149 transactions in a year</w:t>
            </w:r>
          </w:p>
        </w:tc>
        <w:tc>
          <w:tcPr>
            <w:tcW w:w="1418" w:type="dxa"/>
            <w:noWrap/>
            <w:vAlign w:val="bottom"/>
          </w:tcPr>
          <w:p>
            <w:pPr>
              <w:pStyle w:val="TableNAm"/>
              <w:ind w:right="346"/>
              <w:jc w:val="right"/>
            </w:pPr>
            <w:r>
              <w:t>2 673</w:t>
            </w:r>
          </w:p>
        </w:tc>
        <w:tc>
          <w:tcPr>
            <w:tcW w:w="1418" w:type="dxa"/>
            <w:noWrap/>
            <w:vAlign w:val="bottom"/>
          </w:tcPr>
          <w:p>
            <w:pPr>
              <w:pStyle w:val="TableNAm"/>
              <w:ind w:right="346"/>
              <w:jc w:val="right"/>
            </w:pPr>
            <w:r>
              <w:t>3 701</w:t>
            </w:r>
          </w:p>
        </w:tc>
        <w:tc>
          <w:tcPr>
            <w:tcW w:w="1416" w:type="dxa"/>
            <w:noWrap/>
            <w:vAlign w:val="bottom"/>
          </w:tcPr>
          <w:p>
            <w:pPr>
              <w:pStyle w:val="TableNAm"/>
              <w:ind w:right="346"/>
              <w:jc w:val="right"/>
            </w:pPr>
            <w:r>
              <w:t>4 728</w:t>
            </w:r>
          </w:p>
        </w:tc>
      </w:tr>
      <w:tr>
        <w:trPr>
          <w:cantSplit/>
        </w:trPr>
        <w:tc>
          <w:tcPr>
            <w:tcW w:w="738" w:type="dxa"/>
            <w:noWrap/>
          </w:tcPr>
          <w:p>
            <w:pPr>
              <w:pStyle w:val="TableNAm"/>
              <w:jc w:val="center"/>
            </w:pPr>
            <w:r>
              <w:lastRenderedPageBreak/>
              <w:t>(c)</w:t>
            </w:r>
          </w:p>
        </w:tc>
        <w:tc>
          <w:tcPr>
            <w:tcW w:w="1701" w:type="dxa"/>
            <w:noWrap/>
          </w:tcPr>
          <w:p>
            <w:pPr>
              <w:pStyle w:val="TableNAm"/>
            </w:pPr>
            <w:r>
              <w:t>0</w:t>
            </w:r>
            <w:r>
              <w:noBreakHyphen/>
              <w:t>49 transactions in a year</w:t>
            </w:r>
          </w:p>
        </w:tc>
        <w:tc>
          <w:tcPr>
            <w:tcW w:w="1418" w:type="dxa"/>
            <w:noWrap/>
            <w:vAlign w:val="bottom"/>
          </w:tcPr>
          <w:p>
            <w:pPr>
              <w:pStyle w:val="TableNAm"/>
              <w:ind w:right="346"/>
              <w:jc w:val="right"/>
            </w:pPr>
            <w:r>
              <w:t>1 336</w:t>
            </w:r>
          </w:p>
        </w:tc>
        <w:tc>
          <w:tcPr>
            <w:tcW w:w="1418" w:type="dxa"/>
            <w:noWrap/>
            <w:vAlign w:val="bottom"/>
          </w:tcPr>
          <w:p>
            <w:pPr>
              <w:pStyle w:val="TableNAm"/>
              <w:ind w:right="346"/>
              <w:jc w:val="right"/>
            </w:pPr>
            <w:r>
              <w:t>1 850</w:t>
            </w:r>
          </w:p>
        </w:tc>
        <w:tc>
          <w:tcPr>
            <w:tcW w:w="1416" w:type="dxa"/>
            <w:noWrap/>
            <w:vAlign w:val="bottom"/>
          </w:tcPr>
          <w:p>
            <w:pPr>
              <w:pStyle w:val="TableNAm"/>
              <w:ind w:right="346"/>
              <w:jc w:val="right"/>
            </w:pPr>
            <w:r>
              <w:t>2 364</w:t>
            </w:r>
          </w:p>
        </w:tc>
      </w:tr>
      <w:tr>
        <w:trPr>
          <w:cantSplit/>
        </w:trPr>
        <w:tc>
          <w:tcPr>
            <w:tcW w:w="738" w:type="dxa"/>
            <w:noWrap/>
          </w:tcPr>
          <w:p>
            <w:pPr>
              <w:pStyle w:val="TableNAm"/>
              <w:rPr>
                <w:b/>
              </w:rPr>
            </w:pPr>
            <w:r>
              <w:rPr>
                <w:b/>
              </w:rPr>
              <w:t>3.</w:t>
            </w:r>
          </w:p>
        </w:tc>
        <w:tc>
          <w:tcPr>
            <w:tcW w:w="1701" w:type="dxa"/>
            <w:noWrap/>
          </w:tcPr>
          <w:p>
            <w:pPr>
              <w:pStyle w:val="TableNAm"/>
              <w:rPr>
                <w:b/>
              </w:rPr>
            </w:pPr>
            <w:r>
              <w:rPr>
                <w:b/>
              </w:rPr>
              <w:t>Pawnbroker’s licence and second</w:t>
            </w:r>
            <w:r>
              <w:rPr>
                <w:b/>
              </w:rPr>
              <w:noBreakHyphen/>
              <w:t>hand dealer’s licence</w:t>
            </w:r>
          </w:p>
        </w:tc>
        <w:tc>
          <w:tcPr>
            <w:tcW w:w="1418" w:type="dxa"/>
            <w:noWrap/>
          </w:tcPr>
          <w:p>
            <w:pPr>
              <w:pStyle w:val="TableNAm"/>
            </w:pPr>
          </w:p>
        </w:tc>
        <w:tc>
          <w:tcPr>
            <w:tcW w:w="1418" w:type="dxa"/>
            <w:noWrap/>
          </w:tcPr>
          <w:p>
            <w:pPr>
              <w:pStyle w:val="TableNAm"/>
            </w:pPr>
          </w:p>
        </w:tc>
        <w:tc>
          <w:tcPr>
            <w:tcW w:w="1416" w:type="dxa"/>
            <w:noWrap/>
          </w:tcPr>
          <w:p>
            <w:pPr>
              <w:pStyle w:val="TableNAm"/>
            </w:pPr>
          </w:p>
        </w:tc>
      </w:tr>
      <w:tr>
        <w:trPr>
          <w:cantSplit/>
        </w:trPr>
        <w:tc>
          <w:tcPr>
            <w:tcW w:w="738" w:type="dxa"/>
            <w:noWrap/>
          </w:tcPr>
          <w:p>
            <w:pPr>
              <w:pStyle w:val="TableNAm"/>
              <w:jc w:val="center"/>
            </w:pPr>
            <w:r>
              <w:t>(a)</w:t>
            </w:r>
          </w:p>
        </w:tc>
        <w:tc>
          <w:tcPr>
            <w:tcW w:w="1701" w:type="dxa"/>
            <w:noWrap/>
          </w:tcPr>
          <w:p>
            <w:pPr>
              <w:pStyle w:val="TableNAm"/>
            </w:pPr>
            <w:r>
              <w:t>150 or more transactions in a year</w:t>
            </w:r>
          </w:p>
        </w:tc>
        <w:tc>
          <w:tcPr>
            <w:tcW w:w="1418" w:type="dxa"/>
            <w:noWrap/>
            <w:vAlign w:val="bottom"/>
          </w:tcPr>
          <w:p>
            <w:pPr>
              <w:pStyle w:val="TableNAm"/>
              <w:ind w:right="346"/>
              <w:jc w:val="right"/>
            </w:pPr>
            <w:r>
              <w:t>5 362</w:t>
            </w:r>
          </w:p>
        </w:tc>
        <w:tc>
          <w:tcPr>
            <w:tcW w:w="1418" w:type="dxa"/>
            <w:noWrap/>
            <w:vAlign w:val="bottom"/>
          </w:tcPr>
          <w:p>
            <w:pPr>
              <w:pStyle w:val="TableNAm"/>
              <w:ind w:right="346"/>
              <w:jc w:val="right"/>
            </w:pPr>
            <w:r>
              <w:t>7 427</w:t>
            </w:r>
          </w:p>
        </w:tc>
        <w:tc>
          <w:tcPr>
            <w:tcW w:w="1416" w:type="dxa"/>
            <w:noWrap/>
            <w:vAlign w:val="bottom"/>
          </w:tcPr>
          <w:p>
            <w:pPr>
              <w:pStyle w:val="TableNAm"/>
              <w:ind w:right="346"/>
              <w:jc w:val="right"/>
            </w:pPr>
            <w:r>
              <w:t>9 492</w:t>
            </w:r>
          </w:p>
        </w:tc>
      </w:tr>
      <w:tr>
        <w:trPr>
          <w:cantSplit/>
        </w:trPr>
        <w:tc>
          <w:tcPr>
            <w:tcW w:w="738" w:type="dxa"/>
            <w:noWrap/>
          </w:tcPr>
          <w:p>
            <w:pPr>
              <w:pStyle w:val="TableNAm"/>
              <w:jc w:val="center"/>
            </w:pPr>
            <w:r>
              <w:t>(b)</w:t>
            </w:r>
          </w:p>
        </w:tc>
        <w:tc>
          <w:tcPr>
            <w:tcW w:w="1701" w:type="dxa"/>
            <w:noWrap/>
          </w:tcPr>
          <w:p>
            <w:pPr>
              <w:pStyle w:val="TableNAm"/>
            </w:pPr>
            <w:r>
              <w:t>50</w:t>
            </w:r>
            <w:r>
              <w:noBreakHyphen/>
              <w:t>149 transactions in a year</w:t>
            </w:r>
          </w:p>
        </w:tc>
        <w:tc>
          <w:tcPr>
            <w:tcW w:w="1418" w:type="dxa"/>
            <w:noWrap/>
            <w:vAlign w:val="bottom"/>
          </w:tcPr>
          <w:p>
            <w:pPr>
              <w:pStyle w:val="TableNAm"/>
              <w:ind w:right="346"/>
              <w:jc w:val="right"/>
            </w:pPr>
            <w:r>
              <w:t>2 681</w:t>
            </w:r>
          </w:p>
        </w:tc>
        <w:tc>
          <w:tcPr>
            <w:tcW w:w="1418" w:type="dxa"/>
            <w:noWrap/>
            <w:vAlign w:val="bottom"/>
          </w:tcPr>
          <w:p>
            <w:pPr>
              <w:pStyle w:val="TableNAm"/>
              <w:ind w:right="346"/>
              <w:jc w:val="right"/>
            </w:pPr>
            <w:r>
              <w:t>3 713</w:t>
            </w:r>
          </w:p>
        </w:tc>
        <w:tc>
          <w:tcPr>
            <w:tcW w:w="1416" w:type="dxa"/>
            <w:noWrap/>
            <w:vAlign w:val="bottom"/>
          </w:tcPr>
          <w:p>
            <w:pPr>
              <w:pStyle w:val="TableNAm"/>
              <w:ind w:right="346"/>
              <w:jc w:val="right"/>
            </w:pPr>
            <w:r>
              <w:t>4 746</w:t>
            </w:r>
          </w:p>
        </w:tc>
      </w:tr>
      <w:tr>
        <w:trPr>
          <w:cantSplit/>
        </w:trPr>
        <w:tc>
          <w:tcPr>
            <w:tcW w:w="738" w:type="dxa"/>
            <w:noWrap/>
          </w:tcPr>
          <w:p>
            <w:pPr>
              <w:pStyle w:val="TableNAm"/>
              <w:jc w:val="center"/>
            </w:pPr>
            <w:r>
              <w:t>(c)</w:t>
            </w:r>
          </w:p>
        </w:tc>
        <w:tc>
          <w:tcPr>
            <w:tcW w:w="1701" w:type="dxa"/>
            <w:noWrap/>
          </w:tcPr>
          <w:p>
            <w:pPr>
              <w:pStyle w:val="TableNAm"/>
            </w:pPr>
            <w:r>
              <w:t>0</w:t>
            </w:r>
            <w:r>
              <w:noBreakHyphen/>
              <w:t>49 transactions in a year</w:t>
            </w:r>
          </w:p>
        </w:tc>
        <w:tc>
          <w:tcPr>
            <w:tcW w:w="1418" w:type="dxa"/>
            <w:noWrap/>
            <w:vAlign w:val="bottom"/>
          </w:tcPr>
          <w:p>
            <w:pPr>
              <w:pStyle w:val="TableNAm"/>
              <w:ind w:right="346"/>
              <w:jc w:val="right"/>
            </w:pPr>
            <w:r>
              <w:t>1 340</w:t>
            </w:r>
          </w:p>
        </w:tc>
        <w:tc>
          <w:tcPr>
            <w:tcW w:w="1418" w:type="dxa"/>
            <w:noWrap/>
            <w:vAlign w:val="bottom"/>
          </w:tcPr>
          <w:p>
            <w:pPr>
              <w:pStyle w:val="TableNAm"/>
              <w:ind w:right="346"/>
              <w:jc w:val="right"/>
            </w:pPr>
            <w:r>
              <w:t>1 856</w:t>
            </w:r>
          </w:p>
        </w:tc>
        <w:tc>
          <w:tcPr>
            <w:tcW w:w="1416" w:type="dxa"/>
            <w:noWrap/>
            <w:vAlign w:val="bottom"/>
          </w:tcPr>
          <w:p>
            <w:pPr>
              <w:pStyle w:val="TableNAm"/>
              <w:ind w:right="346"/>
              <w:jc w:val="right"/>
            </w:pPr>
            <w:r>
              <w:t>2 373</w:t>
            </w:r>
          </w:p>
        </w:tc>
      </w:tr>
    </w:tbl>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 xml:space="preserve">2; </w:t>
      </w:r>
      <w:r>
        <w:rPr>
          <w:spacing w:val="-4"/>
        </w:rPr>
        <w:lastRenderedPageBreak/>
        <w:t>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 SL 2020/82 r. 7; SL 2020/147 r. 9; SL 2021/106 r. 7; SL 2022/65 r. 7; SL 2023/74 r. 7</w:t>
      </w:r>
      <w:r>
        <w:t>.]</w:t>
      </w:r>
    </w:p>
    <w:p>
      <w:pPr>
        <w:pStyle w:val="Heading5"/>
        <w:rPr>
          <w:snapToGrid w:val="0"/>
        </w:rPr>
      </w:pPr>
      <w:bookmarkStart w:id="41" w:name="_Toc138857769"/>
      <w:r>
        <w:rPr>
          <w:rStyle w:val="CharSectno"/>
        </w:rPr>
        <w:t>30</w:t>
      </w:r>
      <w:r>
        <w:rPr>
          <w:snapToGrid w:val="0"/>
        </w:rPr>
        <w:t>.</w:t>
      </w:r>
      <w:r>
        <w:rPr>
          <w:snapToGrid w:val="0"/>
        </w:rPr>
        <w:tab/>
        <w:t>Refund of fees, when payable</w:t>
      </w:r>
      <w:bookmarkEnd w:id="41"/>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keepNext/>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42" w:name="_Toc138857770"/>
      <w:r>
        <w:rPr>
          <w:rStyle w:val="CharSectno"/>
          <w:spacing w:val="-4"/>
        </w:rPr>
        <w:t>31</w:t>
      </w:r>
      <w:r>
        <w:rPr>
          <w:snapToGrid w:val="0"/>
          <w:spacing w:val="-4"/>
        </w:rPr>
        <w:t>.</w:t>
      </w:r>
      <w:r>
        <w:rPr>
          <w:snapToGrid w:val="0"/>
          <w:spacing w:val="-4"/>
        </w:rPr>
        <w:tab/>
        <w:t>Fee prescribed for inspecting register (Act s. 28(2))</w:t>
      </w:r>
      <w:bookmarkEnd w:id="42"/>
    </w:p>
    <w:p>
      <w:pPr>
        <w:pStyle w:val="Subsection"/>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43" w:name="_Toc138691707"/>
      <w:bookmarkStart w:id="44" w:name="_Toc138692011"/>
      <w:bookmarkStart w:id="45" w:name="_Toc138857016"/>
      <w:bookmarkStart w:id="46" w:name="_Toc138857771"/>
      <w:r>
        <w:rPr>
          <w:rStyle w:val="CharPartNo"/>
        </w:rPr>
        <w:lastRenderedPageBreak/>
        <w:t>Part 7</w:t>
      </w:r>
      <w:r>
        <w:rPr>
          <w:rStyle w:val="CharDivNo"/>
        </w:rPr>
        <w:t xml:space="preserve"> </w:t>
      </w:r>
      <w:r>
        <w:t>—</w:t>
      </w:r>
      <w:r>
        <w:rPr>
          <w:rStyle w:val="CharDivText"/>
        </w:rPr>
        <w:t xml:space="preserve"> </w:t>
      </w:r>
      <w:r>
        <w:rPr>
          <w:rStyle w:val="CharPartText"/>
        </w:rPr>
        <w:t>Prescribed offences and modified penalties</w:t>
      </w:r>
      <w:bookmarkEnd w:id="43"/>
      <w:bookmarkEnd w:id="44"/>
      <w:bookmarkEnd w:id="45"/>
      <w:bookmarkEnd w:id="46"/>
    </w:p>
    <w:p>
      <w:pPr>
        <w:pStyle w:val="Footnoteheading"/>
      </w:pPr>
      <w:r>
        <w:tab/>
        <w:t>[Heading inserted: Gazette 28 Jul 2000 p. 4025.]</w:t>
      </w:r>
    </w:p>
    <w:p>
      <w:pPr>
        <w:pStyle w:val="Heading5"/>
      </w:pPr>
      <w:bookmarkStart w:id="47" w:name="_Toc138857772"/>
      <w:r>
        <w:rPr>
          <w:rStyle w:val="CharSectno"/>
        </w:rPr>
        <w:t>32</w:t>
      </w:r>
      <w:r>
        <w:t>.</w:t>
      </w:r>
      <w:r>
        <w:tab/>
        <w:t>Offences and modified penalties prescribed (Act s. 90)</w:t>
      </w:r>
      <w:bookmarkEnd w:id="47"/>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lastRenderedPageBreak/>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Heading2"/>
      </w:pPr>
      <w:bookmarkStart w:id="48" w:name="_Toc138691709"/>
      <w:bookmarkStart w:id="49" w:name="_Toc138692013"/>
      <w:bookmarkStart w:id="50" w:name="_Toc138857018"/>
      <w:bookmarkStart w:id="51" w:name="_Toc138857773"/>
      <w:r>
        <w:rPr>
          <w:rStyle w:val="CharPartNo"/>
        </w:rPr>
        <w:lastRenderedPageBreak/>
        <w:t>Part 8</w:t>
      </w:r>
      <w:r>
        <w:rPr>
          <w:b w:val="0"/>
        </w:rPr>
        <w:t> </w:t>
      </w:r>
      <w:r>
        <w:t>—</w:t>
      </w:r>
      <w:r>
        <w:rPr>
          <w:b w:val="0"/>
        </w:rPr>
        <w:t> </w:t>
      </w:r>
      <w:r>
        <w:rPr>
          <w:rStyle w:val="CharPartText"/>
        </w:rPr>
        <w:t>Transitional provisions</w:t>
      </w:r>
      <w:bookmarkEnd w:id="48"/>
      <w:bookmarkEnd w:id="49"/>
      <w:bookmarkEnd w:id="50"/>
      <w:bookmarkEnd w:id="51"/>
    </w:p>
    <w:p>
      <w:pPr>
        <w:pStyle w:val="Footnoteheading"/>
      </w:pPr>
      <w:r>
        <w:tab/>
        <w:t>[Heading inserted: SL 2020/147 r. 10.]</w:t>
      </w:r>
    </w:p>
    <w:p>
      <w:pPr>
        <w:pStyle w:val="Heading5"/>
      </w:pPr>
      <w:bookmarkStart w:id="52" w:name="_Toc138857774"/>
      <w:r>
        <w:rPr>
          <w:rStyle w:val="CharSectno"/>
        </w:rPr>
        <w:t>33</w:t>
      </w:r>
      <w:r>
        <w:t>.</w:t>
      </w:r>
      <w:r>
        <w:tab/>
        <w:t xml:space="preserve">Transitional provisions relating to </w:t>
      </w:r>
      <w:r>
        <w:rPr>
          <w:i/>
        </w:rPr>
        <w:t>Pawnbrokers and Second</w:t>
      </w:r>
      <w:r>
        <w:rPr>
          <w:i/>
        </w:rPr>
        <w:noBreakHyphen/>
        <w:t>hand Dealers Amendment Regulations 2020</w:t>
      </w:r>
      <w:bookmarkEnd w:id="5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Pawnbrokers and Second</w:t>
      </w:r>
      <w:r>
        <w:rPr>
          <w:i/>
        </w:rPr>
        <w:noBreakHyphen/>
        <w:t>hand Dealers Amendment Regulations 2020</w:t>
      </w:r>
      <w:r>
        <w:t xml:space="preserve"> regulation 7 comes into operation;</w:t>
      </w:r>
    </w:p>
    <w:p>
      <w:pPr>
        <w:pStyle w:val="Defstart"/>
      </w:pPr>
      <w:r>
        <w:tab/>
      </w:r>
      <w:r>
        <w:rPr>
          <w:rStyle w:val="CharDefText"/>
        </w:rPr>
        <w:t>current licence period</w:t>
      </w:r>
      <w:r>
        <w:t>, in relation to a person, means the person’s licence period in effect immediately before commencement day;</w:t>
      </w:r>
    </w:p>
    <w:p>
      <w:pPr>
        <w:pStyle w:val="Defstart"/>
      </w:pPr>
      <w:r>
        <w:tab/>
      </w:r>
      <w:r>
        <w:rPr>
          <w:rStyle w:val="CharDefText"/>
        </w:rPr>
        <w:t>relevant day</w:t>
      </w:r>
      <w:r>
        <w:t xml:space="preserve"> means the earlier of the following — </w:t>
      </w:r>
    </w:p>
    <w:p>
      <w:pPr>
        <w:pStyle w:val="Defpara"/>
      </w:pPr>
      <w:r>
        <w:tab/>
        <w:t>(a)</w:t>
      </w:r>
      <w:r>
        <w:tab/>
        <w:t>the day after the end of the current licence period;</w:t>
      </w:r>
    </w:p>
    <w:p>
      <w:pPr>
        <w:pStyle w:val="Defpara"/>
      </w:pPr>
      <w:r>
        <w:tab/>
        <w:t>(b)</w:t>
      </w:r>
      <w:r>
        <w:tab/>
        <w:t>1 February 2021.</w:t>
      </w:r>
    </w:p>
    <w:p>
      <w:pPr>
        <w:pStyle w:val="Subsection"/>
      </w:pPr>
      <w:r>
        <w:tab/>
        <w:t>(2)</w:t>
      </w:r>
      <w:r>
        <w:tab/>
        <w:t>Subregulation (3) applies in relation to a contract if —</w:t>
      </w:r>
    </w:p>
    <w:p>
      <w:pPr>
        <w:pStyle w:val="Indenta"/>
      </w:pPr>
      <w:r>
        <w:tab/>
        <w:t>(a)</w:t>
      </w:r>
      <w:r>
        <w:tab/>
        <w:t>the contract is entered into before commencement day; but</w:t>
      </w:r>
    </w:p>
    <w:p>
      <w:pPr>
        <w:pStyle w:val="Indenta"/>
      </w:pPr>
      <w:r>
        <w:tab/>
        <w:t>(b)</w:t>
      </w:r>
      <w:r>
        <w:tab/>
        <w:t>the information required to be given to the Commissioner under regulation 15(1) or (2) in relation to the goods that are the subject of the contract is not given before commencement day.</w:t>
      </w:r>
    </w:p>
    <w:p>
      <w:pPr>
        <w:pStyle w:val="Subsection"/>
      </w:pPr>
      <w:r>
        <w:tab/>
        <w:t>(3)</w:t>
      </w:r>
      <w:r>
        <w:tab/>
        <w:t xml:space="preserve">The information may be given to the Commissioner as if the </w:t>
      </w:r>
      <w:r>
        <w:rPr>
          <w:i/>
        </w:rPr>
        <w:t>Pawnbrokers and Second</w:t>
      </w:r>
      <w:r>
        <w:rPr>
          <w:i/>
        </w:rPr>
        <w:noBreakHyphen/>
        <w:t>hand Dealers Amendment Regulations 2020</w:t>
      </w:r>
      <w:r>
        <w:t xml:space="preserve"> regulation 7 had not come into operation.</w:t>
      </w:r>
    </w:p>
    <w:p>
      <w:pPr>
        <w:pStyle w:val="Subsection"/>
      </w:pPr>
      <w:r>
        <w:tab/>
        <w:t>(4)</w:t>
      </w:r>
      <w:r>
        <w:tab/>
        <w:t xml:space="preserve">Subregulation (5) applies if, immediately before commencement day — </w:t>
      </w:r>
    </w:p>
    <w:p>
      <w:pPr>
        <w:pStyle w:val="Indenta"/>
      </w:pPr>
      <w:r>
        <w:tab/>
        <w:t>(a)</w:t>
      </w:r>
      <w:r>
        <w:tab/>
        <w:t>a person holds a second</w:t>
      </w:r>
      <w:r>
        <w:noBreakHyphen/>
        <w:t>hand dealer’s licence only; and</w:t>
      </w:r>
    </w:p>
    <w:p>
      <w:pPr>
        <w:pStyle w:val="Indenta"/>
      </w:pPr>
      <w:r>
        <w:tab/>
        <w:t>(b)</w:t>
      </w:r>
      <w:r>
        <w:tab/>
        <w:t>an election to give the Commissioner information for the purposes of section 79 by way of transmission by facsimile machine is in effect in relation to the person.</w:t>
      </w:r>
    </w:p>
    <w:p>
      <w:pPr>
        <w:pStyle w:val="Subsection"/>
      </w:pPr>
      <w:r>
        <w:lastRenderedPageBreak/>
        <w:tab/>
        <w:t>(5)</w:t>
      </w:r>
      <w:r>
        <w:tab/>
        <w:t xml:space="preserve">The person may continue to give the Commissioner information for the purposes of section 79 by way of transmission by facsimile machine as if the </w:t>
      </w:r>
      <w:r>
        <w:rPr>
          <w:i/>
        </w:rPr>
        <w:t>Pawnbrokers and Second</w:t>
      </w:r>
      <w:r>
        <w:rPr>
          <w:i/>
        </w:rPr>
        <w:noBreakHyphen/>
        <w:t>hand Dealers Amendment Regulations 2020</w:t>
      </w:r>
      <w:r>
        <w:t xml:space="preserve"> regulation 7 had not come into operation.</w:t>
      </w:r>
    </w:p>
    <w:p>
      <w:pPr>
        <w:pStyle w:val="Subsection"/>
      </w:pPr>
      <w:r>
        <w:tab/>
        <w:t>(6)</w:t>
      </w:r>
      <w:r>
        <w:tab/>
        <w:t xml:space="preserve">Subregulation (5) ceases to apply in relation to the person — </w:t>
      </w:r>
    </w:p>
    <w:p>
      <w:pPr>
        <w:pStyle w:val="Indenta"/>
      </w:pPr>
      <w:r>
        <w:tab/>
        <w:t>(a)</w:t>
      </w:r>
      <w:r>
        <w:tab/>
        <w:t>unless paragraph (b) applies, on the relevant day; or</w:t>
      </w:r>
    </w:p>
    <w:p>
      <w:pPr>
        <w:pStyle w:val="Indenta"/>
      </w:pPr>
      <w:r>
        <w:tab/>
        <w:t>(b)</w:t>
      </w:r>
      <w:r>
        <w:tab/>
        <w:t>if an action is taken under section 27(3) in relation to the licence or the person before the relevant day — when the action is taken.</w:t>
      </w:r>
    </w:p>
    <w:p>
      <w:pPr>
        <w:pStyle w:val="Footnotesection"/>
      </w:pPr>
      <w:r>
        <w:tab/>
        <w:t>[Regulation 33 inserted: SL 2020/147 r. 10.]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53" w:name="_Toc138691711"/>
      <w:bookmarkStart w:id="54" w:name="_Toc138692015"/>
      <w:bookmarkStart w:id="55" w:name="_Toc138857020"/>
      <w:bookmarkStart w:id="56" w:name="_Toc138857775"/>
      <w:r>
        <w:lastRenderedPageBreak/>
        <w:t>Notes</w:t>
      </w:r>
      <w:bookmarkEnd w:id="53"/>
      <w:bookmarkEnd w:id="54"/>
      <w:bookmarkEnd w:id="55"/>
      <w:bookmarkEnd w:id="56"/>
    </w:p>
    <w:p>
      <w:pPr>
        <w:pStyle w:val="nStatement"/>
      </w:pPr>
      <w:r>
        <w:t xml:space="preserve">This is a compilation of the </w:t>
      </w:r>
      <w:r>
        <w:rPr>
          <w:i/>
          <w:noProof/>
        </w:rPr>
        <w:t>Pawnbrokers and Second-hand Dealers Regulations 1996</w:t>
      </w:r>
      <w:r>
        <w:t xml:space="preserve"> and includes amendments made by other written laws. For provisions that have come into operation, and for information about any reprints, see the compilation table.</w:t>
      </w:r>
    </w:p>
    <w:p>
      <w:pPr>
        <w:pStyle w:val="nHeading3"/>
      </w:pPr>
      <w:bookmarkStart w:id="57" w:name="_Toc138857776"/>
      <w:r>
        <w:t>Compilation table</w:t>
      </w:r>
      <w:bookmarkEnd w:id="5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bCs/>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bCs/>
                <w:snapToGrid w:val="0"/>
                <w:spacing w:val="-2"/>
              </w:rPr>
            </w:pPr>
            <w:r>
              <w:rPr>
                <w:bCs/>
                <w:snapToGrid w:val="0"/>
                <w:spacing w:val="-2"/>
              </w:rPr>
              <w:t>1 Jul 2017 (see r. 2(b))</w:t>
            </w:r>
          </w:p>
        </w:tc>
      </w:tr>
      <w:tr>
        <w:trPr>
          <w:cantSplit/>
        </w:trPr>
        <w:tc>
          <w:tcPr>
            <w:tcW w:w="3119" w:type="dxa"/>
            <w:tcBorders>
              <w:top w:val="nil"/>
              <w:bottom w:val="nil"/>
            </w:tcBorders>
            <w:shd w:val="clear" w:color="auto" w:fill="auto"/>
          </w:tcPr>
          <w:p>
            <w:pPr>
              <w:pStyle w:val="nTable"/>
              <w:spacing w:after="40"/>
              <w:ind w:right="113"/>
            </w:pPr>
            <w:r>
              <w:rPr>
                <w:i/>
              </w:rPr>
              <w:lastRenderedPageBreak/>
              <w:t>Police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26 Jun 2018 p. 2392</w:t>
            </w:r>
            <w:r>
              <w:noBreakHyphen/>
              <w:t>400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2020</w:t>
            </w:r>
            <w:r>
              <w:t xml:space="preserve"> Pt. 3</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ind w:right="113"/>
              <w:rPr>
                <w:i/>
              </w:rPr>
            </w:pPr>
            <w:r>
              <w:rPr>
                <w:i/>
                <w:noProof/>
              </w:rPr>
              <w:t>Pawnbrokers and Second-hand Dealers Amendment Regulations 2020</w:t>
            </w:r>
          </w:p>
        </w:tc>
        <w:tc>
          <w:tcPr>
            <w:tcW w:w="1276" w:type="dxa"/>
            <w:tcBorders>
              <w:top w:val="nil"/>
              <w:bottom w:val="nil"/>
            </w:tcBorders>
            <w:shd w:val="clear" w:color="auto" w:fill="auto"/>
          </w:tcPr>
          <w:p>
            <w:pPr>
              <w:pStyle w:val="nTable"/>
              <w:spacing w:after="40"/>
            </w:pPr>
            <w:r>
              <w:t>SL 2020/147 1 Sep 2020</w:t>
            </w:r>
          </w:p>
        </w:tc>
        <w:tc>
          <w:tcPr>
            <w:tcW w:w="2693" w:type="dxa"/>
            <w:tcBorders>
              <w:top w:val="nil"/>
              <w:bottom w:val="nil"/>
            </w:tcBorders>
            <w:shd w:val="clear" w:color="auto" w:fill="auto"/>
          </w:tcPr>
          <w:p>
            <w:pPr>
              <w:pStyle w:val="nTable"/>
              <w:spacing w:after="40"/>
            </w:pPr>
            <w:r>
              <w:t>r. 1 and 2: 1 Sep 2020 (see r. 2(a));</w:t>
            </w:r>
            <w:r>
              <w:br/>
              <w:t>r. 3 and 4: 2 Sep 2020 (see r. 2(c));</w:t>
            </w:r>
            <w:r>
              <w:br/>
              <w:t>r. 5-10: 1 Dec 2020 (see r. 2(b))</w:t>
            </w:r>
          </w:p>
        </w:tc>
      </w:tr>
      <w:tr>
        <w:trPr>
          <w:cantSplit/>
        </w:trPr>
        <w:tc>
          <w:tcPr>
            <w:tcW w:w="3119" w:type="dxa"/>
            <w:tcBorders>
              <w:top w:val="nil"/>
              <w:bottom w:val="nil"/>
            </w:tcBorders>
            <w:shd w:val="clear" w:color="auto" w:fill="auto"/>
          </w:tcPr>
          <w:p>
            <w:pPr>
              <w:pStyle w:val="nTable"/>
              <w:spacing w:after="40"/>
              <w:ind w:right="113"/>
              <w:rPr>
                <w:i/>
                <w:noProof/>
              </w:rPr>
            </w:pPr>
            <w:r>
              <w:rPr>
                <w:i/>
              </w:rPr>
              <w:t>Police Regulations Amendment (Procurement) Regulations 2020</w:t>
            </w:r>
            <w:r>
              <w:t xml:space="preserve"> Pt. 3</w:t>
            </w:r>
          </w:p>
        </w:tc>
        <w:tc>
          <w:tcPr>
            <w:tcW w:w="1276" w:type="dxa"/>
            <w:tcBorders>
              <w:top w:val="nil"/>
              <w:bottom w:val="nil"/>
            </w:tcBorders>
            <w:shd w:val="clear" w:color="auto" w:fill="auto"/>
          </w:tcPr>
          <w:p>
            <w:pPr>
              <w:pStyle w:val="nTable"/>
              <w:spacing w:after="40"/>
            </w:pPr>
            <w:r>
              <w:t>SL 2020/248 18 Dec 2020</w:t>
            </w:r>
          </w:p>
        </w:tc>
        <w:tc>
          <w:tcPr>
            <w:tcW w:w="2693" w:type="dxa"/>
            <w:tcBorders>
              <w:top w:val="nil"/>
              <w:bottom w:val="nil"/>
            </w:tcBorders>
            <w:shd w:val="clear" w:color="auto" w:fill="auto"/>
          </w:tcPr>
          <w:p>
            <w:pPr>
              <w:pStyle w:val="nTable"/>
              <w:spacing w:after="40"/>
            </w:pPr>
            <w:r>
              <w:t>1 Jun 2021 (see r. 2(b) and SL 2020/244 cl.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2021</w:t>
            </w:r>
            <w:r>
              <w:t xml:space="preserve"> Pt. 3</w:t>
            </w:r>
          </w:p>
        </w:tc>
        <w:tc>
          <w:tcPr>
            <w:tcW w:w="1276" w:type="dxa"/>
            <w:tcBorders>
              <w:top w:val="nil"/>
              <w:bottom w:val="nil"/>
            </w:tcBorders>
            <w:shd w:val="clear" w:color="auto" w:fill="auto"/>
          </w:tcPr>
          <w:p>
            <w:pPr>
              <w:pStyle w:val="nTable"/>
              <w:spacing w:after="40"/>
            </w:pPr>
            <w:r>
              <w:t>SL 2021/106 29 Jun 2021</w:t>
            </w:r>
          </w:p>
        </w:tc>
        <w:tc>
          <w:tcPr>
            <w:tcW w:w="2693"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2022/65 3 Jun 2022</w:t>
            </w:r>
          </w:p>
        </w:tc>
        <w:tc>
          <w:tcPr>
            <w:tcW w:w="2693" w:type="dxa"/>
            <w:tcBorders>
              <w:top w:val="nil"/>
              <w:bottom w:val="nil"/>
            </w:tcBorders>
            <w:shd w:val="clear" w:color="auto" w:fill="auto"/>
          </w:tcPr>
          <w:p>
            <w:pPr>
              <w:pStyle w:val="nTable"/>
              <w:spacing w:after="40"/>
            </w:pPr>
            <w:r>
              <w:t>1 Jul 2022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 xml:space="preserve">Police Regulations Amendment (Fees and Charges) Regulations 2023 </w:t>
            </w:r>
            <w:r>
              <w:t>Pt. 3</w:t>
            </w:r>
          </w:p>
        </w:tc>
        <w:tc>
          <w:tcPr>
            <w:tcW w:w="1276" w:type="dxa"/>
            <w:tcBorders>
              <w:bottom w:val="single" w:sz="4" w:space="0" w:color="auto"/>
            </w:tcBorders>
            <w:shd w:val="clear" w:color="auto" w:fill="auto"/>
          </w:tcPr>
          <w:p>
            <w:pPr>
              <w:pStyle w:val="nTable"/>
              <w:spacing w:after="40"/>
            </w:pPr>
            <w:r>
              <w:t>SL 2023/74 16 Jun 2023</w:t>
            </w:r>
          </w:p>
        </w:tc>
        <w:tc>
          <w:tcPr>
            <w:tcW w:w="2693" w:type="dxa"/>
            <w:tcBorders>
              <w:bottom w:val="single" w:sz="4" w:space="0" w:color="auto"/>
            </w:tcBorders>
            <w:shd w:val="clear" w:color="auto" w:fill="auto"/>
          </w:tcPr>
          <w:p>
            <w:pPr>
              <w:pStyle w:val="nTable"/>
              <w:spacing w:after="40"/>
            </w:pPr>
            <w:r>
              <w:t>1 Jul 2023 (see r. 2(b))</w:t>
            </w:r>
          </w:p>
        </w:tc>
      </w:tr>
    </w:tbl>
    <w:p>
      <w:pPr>
        <w:pStyle w:val="nHeading3"/>
      </w:pPr>
      <w:bookmarkStart w:id="58" w:name="_Toc138857777"/>
      <w:r>
        <w:t>Other notes</w:t>
      </w:r>
      <w:bookmarkEnd w:id="58"/>
    </w:p>
    <w:p>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60" w:name="_Toc138691715"/>
      <w:bookmarkStart w:id="61" w:name="_Toc138692018"/>
      <w:bookmarkStart w:id="62" w:name="_Toc138857023"/>
      <w:bookmarkStart w:id="63" w:name="_Toc138857778"/>
      <w:r>
        <w:rPr>
          <w:sz w:val="28"/>
        </w:rPr>
        <w:lastRenderedPageBreak/>
        <w:t>Defined terms</w:t>
      </w:r>
      <w:bookmarkEnd w:id="60"/>
      <w:bookmarkEnd w:id="61"/>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33(1)</w:t>
      </w:r>
    </w:p>
    <w:p>
      <w:pPr>
        <w:pStyle w:val="DefinedTerms"/>
      </w:pPr>
      <w:r>
        <w:t>current licence period</w:t>
      </w:r>
      <w:r>
        <w:tab/>
        <w:t>33(1)</w:t>
      </w:r>
    </w:p>
    <w:p>
      <w:pPr>
        <w:pStyle w:val="DefinedTerms"/>
      </w:pPr>
      <w:r>
        <w:t>financial body</w:t>
      </w:r>
      <w:r>
        <w:tab/>
        <w:t>3</w:t>
      </w:r>
    </w:p>
    <w:p>
      <w:pPr>
        <w:pStyle w:val="DefinedTerms"/>
      </w:pPr>
      <w:r>
        <w:t>new sale</w:t>
      </w:r>
      <w:r>
        <w:tab/>
        <w:t>5(2)</w:t>
      </w:r>
    </w:p>
    <w:p>
      <w:pPr>
        <w:pStyle w:val="DefinedTerms"/>
      </w:pPr>
      <w:r>
        <w:t>public utility</w:t>
      </w:r>
      <w:r>
        <w:tab/>
        <w:t>3</w:t>
      </w:r>
    </w:p>
    <w:p>
      <w:pPr>
        <w:pStyle w:val="DefinedTerms"/>
      </w:pPr>
      <w:r>
        <w:t>relevant day</w:t>
      </w:r>
      <w:r>
        <w:tab/>
        <w:t>33(1)</w:t>
      </w:r>
    </w:p>
    <w:p>
      <w:pPr>
        <w:pStyle w:val="DefinedTerms"/>
      </w:pPr>
      <w:r>
        <w:t>retailer</w:t>
      </w:r>
      <w:r>
        <w:tab/>
        <w:t>5(3)</w:t>
      </w:r>
    </w:p>
    <w:p>
      <w:pPr>
        <w:pStyle w:val="DefinedTerms"/>
      </w:pPr>
      <w:r>
        <w:t>retail shop</w:t>
      </w:r>
      <w:r>
        <w:tab/>
        <w:t>5(3)</w:t>
      </w:r>
    </w:p>
    <w:p>
      <w:pPr>
        <w:pStyle w:val="DefinedTerms"/>
      </w:pPr>
      <w:r>
        <w:t>section</w:t>
      </w:r>
      <w:r>
        <w:tab/>
        <w:t>3</w:t>
      </w:r>
    </w:p>
    <w:p>
      <w:pPr>
        <w:pStyle w:val="DefinedTerms"/>
      </w:pPr>
      <w:r>
        <w:t>State agency</w:t>
      </w:r>
      <w:r>
        <w:tab/>
        <w:t>3</w:t>
      </w:r>
    </w:p>
    <w:p>
      <w:pPr>
        <w:pStyle w:val="DefinedTerms"/>
      </w:pPr>
      <w:r>
        <w:t>telephone utility</w:t>
      </w:r>
      <w:r>
        <w:tab/>
        <w:t>3</w:t>
      </w:r>
    </w:p>
    <w:p>
      <w:pPr>
        <w:pStyle w:val="DefinedTerms"/>
      </w:pPr>
      <w:r>
        <w:t>traded goods</w:t>
      </w:r>
      <w:r>
        <w:tab/>
        <w:t>5(2)</w:t>
      </w:r>
    </w:p>
    <w:p>
      <w:pPr>
        <w:pStyle w:val="DefinedTerms"/>
      </w:pPr>
      <w:r>
        <w:t>transaction card</w:t>
      </w:r>
      <w:r>
        <w:tab/>
        <w:t>13A(1)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BE65B38"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E651749" w14:textId="62BCA88E" w:rsidR="008C5275" w:rsidRDefault="008C5275">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73B1121" w14:textId="77777777" w:rsidR="008C5275" w:rsidRDefault="008C5275">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00CEF04" w14:textId="38ECFC61" w:rsidR="008C5275" w:rsidRDefault="008C5275">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B3A1FA1" w14:textId="77777777" w:rsidR="008C5275" w:rsidRDefault="008C5275">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6170549"/>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 w:name="WAFER_20200831132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32701_GUID" w:val="83d1e684-6f45-4847-a38b-19a24c94af0e"/>
    <w:docVar w:name="WAFER_2020112314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2630_GUID" w:val="3a9abe7d-0333-446f-a6a1-7b8ac8419877"/>
    <w:docVar w:name="WAFER_20201215150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50803_GUID" w:val="135d1241-47e1-49bf-9034-38c50a996f02"/>
    <w:docVar w:name="WAFER_20210528095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14_GUID" w:val="9b9d2ecf-7acf-459f-8fb0-376be43a6578"/>
    <w:docVar w:name="WAFER_202106281100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0029_GUID" w:val="480b8995-346c-4ec8-897c-b880bec101b0"/>
    <w:docVar w:name="WAFER_20220601090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46_GUID" w:val="6c7260a1-045d-4b7d-b10c-dc84f2b82268"/>
    <w:docVar w:name="WAFER_20220624111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09_GUID" w:val="149cf639-fe54-4e6c-99af-5e71768d5ed0"/>
    <w:docVar w:name="WAFER_202306131558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5834_GUID" w:val="9ca3dd7a-87ac-4ccd-a1e0-dda6640e9e41"/>
    <w:docVar w:name="WAFER_202306261705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70549_GUID" w:val="71bcf17b-44fb-4370-a375-7d220e3ab7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264B46E8-D1A4-436F-B7C0-E1CD1D21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1519">
      <w:bodyDiv w:val="1"/>
      <w:marLeft w:val="0"/>
      <w:marRight w:val="0"/>
      <w:marTop w:val="0"/>
      <w:marBottom w:val="0"/>
      <w:divBdr>
        <w:top w:val="none" w:sz="0" w:space="0" w:color="auto"/>
        <w:left w:val="none" w:sz="0" w:space="0" w:color="auto"/>
        <w:bottom w:val="none" w:sz="0" w:space="0" w:color="auto"/>
        <w:right w:val="none" w:sz="0" w:space="0" w:color="auto"/>
      </w:divBdr>
    </w:div>
    <w:div w:id="8203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7104</Words>
  <Characters>33251</Characters>
  <Application>Microsoft Office Word</Application>
  <DocSecurity>0</DocSecurity>
  <Lines>1662</Lines>
  <Paragraphs>917</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1996 - 05-p0-01</dc:title>
  <dc:subject/>
  <dc:creator/>
  <cp:keywords/>
  <dc:description/>
  <cp:lastModifiedBy>Master Repository Process</cp:lastModifiedBy>
  <cp:revision>4</cp:revision>
  <cp:lastPrinted>2016-11-14T04:52:00Z</cp:lastPrinted>
  <dcterms:created xsi:type="dcterms:W3CDTF">2024-01-03T00:38:00Z</dcterms:created>
  <dcterms:modified xsi:type="dcterms:W3CDTF">2024-01-03T00:38:00Z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AsAtDate">
    <vt:lpwstr>01 Jul 2023</vt:lpwstr>
  </property>
  <property fmtid="{D5CDD505-2E9C-101B-9397-08002B2CF9AE}" pid="8" name="Suffix">
    <vt:lpwstr>05-p0-01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