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_Toc155163732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_Toc155163733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_Toc155163734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_Toc155163735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_Toc155163736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_Toc155163737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_Toc155163738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_Toc155163739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_Toc155163740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_Toc155163741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_Toc155163742 \h </w:instrText>
      </w:r>
      <w:r>
        <w:fldChar w:fldCharType="separate"/>
      </w:r>
      <w:r>
        <w:t>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_Toc155163743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Schedule 3 — Fees</w:t>
      </w:r>
    </w:p>
    <w:p>
      <w:pPr>
        <w:pStyle w:val="TOC2"/>
        <w:tabs>
          <w:tab w:val="right" w:pos="7077"/>
        </w:tabs>
        <w:rPr>
          <w:rFonts w:asciiTheme="minorHAnsi" w:eastAsiaTheme="minorEastAsia" w:hAnsiTheme="minorHAnsi" w:cstheme="minorBidi"/>
          <w:b w:val="0"/>
          <w:sz w:val="22"/>
          <w:szCs w:val="22"/>
        </w:rPr>
      </w:pPr>
      <w:r>
        <w:t>Fourth Schedule</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_Toc155163747 \h </w:instrText>
      </w:r>
      <w:r>
        <w:fldChar w:fldCharType="separate"/>
      </w:r>
      <w:r>
        <w:t>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_Toc155163748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Petroleum Pipelines Act 1969</w:t>
      </w:r>
    </w:p>
    <w:p>
      <w:pPr>
        <w:pStyle w:val="NameofActReg"/>
        <w:spacing w:before="600"/>
      </w:pPr>
      <w:r>
        <w:t>Petroleum Pipelines Regulations 1970</w:t>
      </w:r>
    </w:p>
    <w:p>
      <w:pPr>
        <w:pStyle w:val="Heading5"/>
        <w:spacing w:before="240"/>
        <w:rPr>
          <w:snapToGrid w:val="0"/>
        </w:rPr>
      </w:pPr>
      <w:bookmarkStart w:id="3" w:name="_Toc15516373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55163733"/>
      <w:r>
        <w:rPr>
          <w:rStyle w:val="CharSectno"/>
        </w:rPr>
        <w:t>4</w:t>
      </w:r>
      <w:r>
        <w:rPr>
          <w:snapToGrid w:val="0"/>
        </w:rPr>
        <w:t>.</w:t>
      </w:r>
      <w:r>
        <w:rPr>
          <w:snapToGrid w:val="0"/>
        </w:rPr>
        <w:tab/>
        <w:t>Fees</w:t>
      </w:r>
      <w:bookmarkEnd w:id="4"/>
      <w:r>
        <w:rPr>
          <w:snapToGrid w:val="0"/>
        </w:rPr>
        <w:t xml:space="preserve"> </w:t>
      </w:r>
    </w:p>
    <w:p>
      <w:pPr>
        <w:pStyle w:val="Subsection"/>
        <w:rPr>
          <w:snapToGrid w:val="0"/>
        </w:rPr>
      </w:pPr>
      <w:r>
        <w:rPr>
          <w:snapToGrid w:val="0"/>
        </w:rPr>
        <w:tab/>
      </w:r>
      <w:r>
        <w:rPr>
          <w:snapToGrid w:val="0"/>
        </w:rPr>
        <w:tab/>
        <w:t xml:space="preserve">The several fees set out in </w:t>
      </w:r>
      <w:r>
        <w:t xml:space="preserve">Schedule 3 </w:t>
      </w:r>
      <w:r>
        <w:rPr>
          <w:snapToGrid w:val="0"/>
        </w:rPr>
        <w:t xml:space="preserve">are prescribed for the respective purposes mentioned in that </w:t>
      </w:r>
      <w:r>
        <w:t>Schedule.</w:t>
      </w:r>
    </w:p>
    <w:p>
      <w:pPr>
        <w:pStyle w:val="Footnotesection"/>
      </w:pPr>
      <w:r>
        <w:tab/>
        <w:t xml:space="preserve">[Regulation 4 inserted: Gazette 11 Nov 1983 p. 4543; amended: SL 2022/58 r. 24.]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5" w:name="_Toc155163734"/>
      <w:r>
        <w:rPr>
          <w:rStyle w:val="CharSectno"/>
        </w:rPr>
        <w:t>4B</w:t>
      </w:r>
      <w:r>
        <w:rPr>
          <w:snapToGrid w:val="0"/>
        </w:rPr>
        <w:t>.</w:t>
      </w:r>
      <w:r>
        <w:rPr>
          <w:snapToGrid w:val="0"/>
        </w:rPr>
        <w:tab/>
        <w:t>Prescribed amount for Act s. 29(1)</w:t>
      </w:r>
      <w:bookmarkEnd w:id="5"/>
    </w:p>
    <w:p>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pPr>
        <w:pStyle w:val="Ednotesection"/>
      </w:pPr>
      <w:r>
        <w:t>[</w:t>
      </w:r>
      <w:r>
        <w:rPr>
          <w:b/>
        </w:rPr>
        <w:t>4BA.</w:t>
      </w:r>
      <w:r>
        <w:tab/>
        <w:t>Deleted: Gazette 14 May 2010 p. 2019.]</w:t>
      </w:r>
    </w:p>
    <w:p>
      <w:pPr>
        <w:pStyle w:val="Heading5"/>
        <w:rPr>
          <w:snapToGrid w:val="0"/>
        </w:rPr>
      </w:pPr>
      <w:bookmarkStart w:id="6" w:name="_Toc155163735"/>
      <w:r>
        <w:rPr>
          <w:rStyle w:val="CharSectno"/>
        </w:rPr>
        <w:lastRenderedPageBreak/>
        <w:t>4C</w:t>
      </w:r>
      <w:r>
        <w:rPr>
          <w:snapToGrid w:val="0"/>
        </w:rPr>
        <w:t>.</w:t>
      </w:r>
      <w:r>
        <w:rPr>
          <w:snapToGrid w:val="0"/>
        </w:rPr>
        <w:tab/>
        <w:t>Instrument of transfer under Act s. 44(3)(a)</w:t>
      </w:r>
      <w:bookmarkEnd w:id="6"/>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7" w:name="_Toc155163736"/>
      <w:r>
        <w:rPr>
          <w:rStyle w:val="CharSectno"/>
        </w:rPr>
        <w:t>4D</w:t>
      </w:r>
      <w:r>
        <w:rPr>
          <w:snapToGrid w:val="0"/>
        </w:rPr>
        <w:t>.</w:t>
      </w:r>
      <w:r>
        <w:rPr>
          <w:snapToGrid w:val="0"/>
        </w:rPr>
        <w:tab/>
        <w:t>Instrument under Act s. 47(4)(b)</w:t>
      </w:r>
      <w:bookmarkEnd w:id="7"/>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lastRenderedPageBreak/>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8" w:name="_Toc155163737"/>
      <w:r>
        <w:rPr>
          <w:rStyle w:val="CharSectno"/>
        </w:rPr>
        <w:t>18</w:t>
      </w:r>
      <w:r>
        <w:rPr>
          <w:snapToGrid w:val="0"/>
        </w:rPr>
        <w:t>.</w:t>
      </w:r>
      <w:r>
        <w:rPr>
          <w:snapToGrid w:val="0"/>
        </w:rPr>
        <w:tab/>
        <w:t>Surveys of pipelines to be made and lodged</w:t>
      </w:r>
      <w:bookmarkEnd w:id="8"/>
    </w:p>
    <w:p>
      <w:pPr>
        <w:pStyle w:val="Subsection"/>
        <w:rPr>
          <w:snapToGrid w:val="0"/>
        </w:rPr>
      </w:pPr>
      <w:r>
        <w:rPr>
          <w:snapToGrid w:val="0"/>
        </w:rPr>
        <w:tab/>
      </w:r>
      <w:r>
        <w:rPr>
          <w:snapToGrid w:val="0"/>
        </w:rPr>
        <w:tab/>
        <w:t xml:space="preserve">For the purpose of precisely locating a pipeline, the licensee shall cause to be made a survey to a standard as directed by the </w:t>
      </w:r>
      <w:r>
        <w:rPr>
          <w:snapToGrid w:val="0"/>
        </w:rPr>
        <w:lastRenderedPageBreak/>
        <w:t>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9" w:name="_Toc155163738"/>
      <w:r>
        <w:rPr>
          <w:rStyle w:val="CharSectno"/>
        </w:rPr>
        <w:t>20</w:t>
      </w:r>
      <w:r>
        <w:rPr>
          <w:snapToGrid w:val="0"/>
        </w:rPr>
        <w:t>.</w:t>
      </w:r>
      <w:r>
        <w:rPr>
          <w:snapToGrid w:val="0"/>
        </w:rPr>
        <w:tab/>
        <w:t>Pipeline’s position to be signposted</w:t>
      </w:r>
      <w:bookmarkEnd w:id="9"/>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0" w:name="_Toc155163739"/>
      <w:r>
        <w:rPr>
          <w:rStyle w:val="CharSectno"/>
        </w:rPr>
        <w:t>21</w:t>
      </w:r>
      <w:r>
        <w:rPr>
          <w:snapToGrid w:val="0"/>
        </w:rPr>
        <w:t>.</w:t>
      </w:r>
      <w:r>
        <w:rPr>
          <w:snapToGrid w:val="0"/>
        </w:rPr>
        <w:tab/>
        <w:t>Inspector’s powers</w:t>
      </w:r>
      <w:bookmarkEnd w:id="10"/>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1" w:name="_Toc155163740"/>
      <w:r>
        <w:rPr>
          <w:rStyle w:val="CharSectno"/>
        </w:rPr>
        <w:lastRenderedPageBreak/>
        <w:t>22</w:t>
      </w:r>
      <w:r>
        <w:rPr>
          <w:snapToGrid w:val="0"/>
        </w:rPr>
        <w:t>.</w:t>
      </w:r>
      <w:r>
        <w:rPr>
          <w:snapToGrid w:val="0"/>
        </w:rPr>
        <w:tab/>
        <w:t>Disobeying inspector, consequence of</w:t>
      </w:r>
      <w:bookmarkEnd w:id="1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2" w:name="_Toc155163741"/>
      <w:r>
        <w:rPr>
          <w:rStyle w:val="CharSectno"/>
        </w:rPr>
        <w:t>23</w:t>
      </w:r>
      <w:r>
        <w:rPr>
          <w:snapToGrid w:val="0"/>
        </w:rPr>
        <w:t>.</w:t>
      </w:r>
      <w:r>
        <w:rPr>
          <w:snapToGrid w:val="0"/>
        </w:rPr>
        <w:tab/>
        <w:t>Pipeline failures and fires, duties of licensee</w:t>
      </w:r>
      <w:bookmarkEnd w:id="12"/>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13" w:name="_Toc155163742"/>
      <w:r>
        <w:rPr>
          <w:rStyle w:val="CharSectno"/>
        </w:rPr>
        <w:lastRenderedPageBreak/>
        <w:t>24</w:t>
      </w:r>
      <w:r>
        <w:t>.</w:t>
      </w:r>
      <w:r>
        <w:tab/>
        <w:t>Transitional provision — time for bringing proceedings for offences committed before certain amendments</w:t>
      </w:r>
      <w:bookmarkEnd w:id="1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14" w:name="_Toc155163743"/>
      <w:r>
        <w:rPr>
          <w:rStyle w:val="CharSectno"/>
        </w:rPr>
        <w:t>26</w:t>
      </w:r>
      <w:r>
        <w:rPr>
          <w:snapToGrid w:val="0"/>
        </w:rPr>
        <w:t>.</w:t>
      </w:r>
      <w:r>
        <w:rPr>
          <w:snapToGrid w:val="0"/>
        </w:rPr>
        <w:tab/>
        <w:t>Plan of operational procedure to be submitted with application under Act s. 36</w:t>
      </w:r>
      <w:bookmarkEnd w:id="14"/>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5" w:name="_Toc155163744"/>
      <w:r>
        <w:rPr>
          <w:rStyle w:val="CharSchNo"/>
        </w:rPr>
        <w:lastRenderedPageBreak/>
        <w:t>Schedule 3</w:t>
      </w:r>
      <w:r>
        <w:t> — </w:t>
      </w:r>
      <w:r>
        <w:rPr>
          <w:rStyle w:val="CharSchText"/>
        </w:rPr>
        <w:t>Fees</w:t>
      </w:r>
      <w:bookmarkEnd w:id="15"/>
    </w:p>
    <w:p>
      <w:pPr>
        <w:pStyle w:val="yShoulderClause"/>
      </w:pPr>
      <w:r>
        <w:t>[r. 4]</w:t>
      </w:r>
    </w:p>
    <w:p>
      <w:pPr>
        <w:pStyle w:val="yFootnoteheading"/>
      </w:pPr>
      <w:r>
        <w:tab/>
        <w:t>[Heading inserted: SL 2023/36 r.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jc w:val="right"/>
            </w:pPr>
            <w:r>
              <w:t>8 324.00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jc w:val="right"/>
            </w:pPr>
            <w:r>
              <w:t>8 324.00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jc w:val="right"/>
            </w:pPr>
            <w:r>
              <w:t>156.00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jc w:val="right"/>
            </w:pPr>
            <w:r>
              <w:t>156.00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45(3)(b)</w:t>
            </w:r>
          </w:p>
        </w:tc>
        <w:tc>
          <w:tcPr>
            <w:tcW w:w="1134" w:type="dxa"/>
            <w:noWrap/>
            <w:vAlign w:val="bottom"/>
          </w:tcPr>
          <w:p>
            <w:pPr>
              <w:pStyle w:val="yTableNAm"/>
              <w:jc w:val="right"/>
            </w:pPr>
            <w:r>
              <w:t>149.00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jc w:val="right"/>
            </w:pPr>
            <w:r>
              <w:t>156.00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jc w:val="right"/>
            </w:pPr>
            <w:r>
              <w:t>142.00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jc w:val="right"/>
              <w:rPr>
                <w:rStyle w:val="DraftersNotes"/>
                <w:b w:val="0"/>
                <w:i w:val="0"/>
              </w:rPr>
            </w:pPr>
            <w:r>
              <w:t>149.00 per page</w:t>
            </w:r>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jc w:val="right"/>
            </w:pPr>
            <w:r>
              <w:t>142.00</w:t>
            </w:r>
          </w:p>
        </w:tc>
      </w:tr>
    </w:tbl>
    <w:p>
      <w:pPr>
        <w:pStyle w:val="yFootnotesection"/>
      </w:pPr>
      <w:r>
        <w:tab/>
        <w:t>[Schedule 3 inserted: SL 2023/36 r. 28.]</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17" w:name="_Toc155163745"/>
      <w:r>
        <w:rPr>
          <w:rStyle w:val="CharSchNo"/>
        </w:rPr>
        <w:lastRenderedPageBreak/>
        <w:t>Fourth Schedule</w:t>
      </w:r>
      <w:bookmarkEnd w:id="17"/>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jc w:val="right"/>
        <w:sectPr>
          <w:headerReference w:type="default" r:id="rId28"/>
          <w:pgSz w:w="11907" w:h="16840" w:code="9"/>
          <w:pgMar w:top="2381" w:right="2409" w:bottom="3543" w:left="2409" w:header="720" w:footer="3544" w:gutter="0"/>
          <w:cols w:space="720"/>
          <w:noEndnote/>
          <w:docGrid w:linePitch="326"/>
        </w:sectPr>
      </w:pPr>
    </w:p>
    <w:p>
      <w:pPr>
        <w:pStyle w:val="nHeading2"/>
      </w:pPr>
      <w:bookmarkStart w:id="18" w:name="_Toc155163746"/>
      <w:r>
        <w:lastRenderedPageBreak/>
        <w:t>Notes</w:t>
      </w:r>
      <w:bookmarkEnd w:id="18"/>
    </w:p>
    <w:p>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 </w:t>
      </w:r>
    </w:p>
    <w:p>
      <w:pPr>
        <w:pStyle w:val="nHeading3"/>
      </w:pPr>
      <w:bookmarkStart w:id="19" w:name="_Toc155163747"/>
      <w:r>
        <w:t>Compilation table</w:t>
      </w:r>
      <w:bookmarkEnd w:id="19"/>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lastRenderedPageBreak/>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lastRenderedPageBreak/>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nil"/>
            </w:tcBorders>
          </w:tcPr>
          <w:p>
            <w:pPr>
              <w:pStyle w:val="nTable"/>
              <w:spacing w:after="40"/>
            </w:pPr>
            <w:r>
              <w:t>SL 2020/93 26 Jun 2020</w:t>
            </w:r>
          </w:p>
        </w:tc>
        <w:tc>
          <w:tcPr>
            <w:tcW w:w="2688"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2021</w:t>
            </w:r>
            <w:r>
              <w:t xml:space="preserve"> Pt. 13</w:t>
            </w:r>
          </w:p>
        </w:tc>
        <w:tc>
          <w:tcPr>
            <w:tcW w:w="1274" w:type="dxa"/>
            <w:gridSpan w:val="2"/>
            <w:tcBorders>
              <w:top w:val="nil"/>
              <w:bottom w:val="nil"/>
            </w:tcBorders>
          </w:tcPr>
          <w:p>
            <w:pPr>
              <w:pStyle w:val="nTable"/>
              <w:spacing w:after="40"/>
            </w:pPr>
            <w:r>
              <w:t>SL 2021/85 21 Jun 2021</w:t>
            </w:r>
          </w:p>
        </w:tc>
        <w:tc>
          <w:tcPr>
            <w:tcW w:w="2688"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2022</w:t>
            </w:r>
            <w:r>
              <w:t xml:space="preserve"> Pt. 10</w:t>
            </w:r>
          </w:p>
        </w:tc>
        <w:tc>
          <w:tcPr>
            <w:tcW w:w="1274" w:type="dxa"/>
            <w:gridSpan w:val="2"/>
            <w:tcBorders>
              <w:top w:val="nil"/>
              <w:bottom w:val="nil"/>
            </w:tcBorders>
          </w:tcPr>
          <w:p>
            <w:pPr>
              <w:pStyle w:val="nTable"/>
              <w:spacing w:after="40"/>
            </w:pPr>
            <w:r>
              <w:t>SL 2022/58 20 May 2022</w:t>
            </w:r>
          </w:p>
        </w:tc>
        <w:tc>
          <w:tcPr>
            <w:tcW w:w="2688"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single" w:sz="8" w:space="0" w:color="auto"/>
            </w:tcBorders>
          </w:tcPr>
          <w:p>
            <w:pPr>
              <w:pStyle w:val="nTable"/>
              <w:spacing w:after="40"/>
              <w:rPr>
                <w:i/>
              </w:rPr>
            </w:pPr>
            <w:r>
              <w:rPr>
                <w:i/>
              </w:rPr>
              <w:t>Mines and Petroleum Regulations Amendment (Fees and Charges) Regulations 2023</w:t>
            </w:r>
            <w:r>
              <w:t xml:space="preserve"> Pt. 11</w:t>
            </w:r>
          </w:p>
        </w:tc>
        <w:tc>
          <w:tcPr>
            <w:tcW w:w="1274" w:type="dxa"/>
            <w:gridSpan w:val="2"/>
            <w:tcBorders>
              <w:top w:val="nil"/>
              <w:bottom w:val="single" w:sz="8" w:space="0" w:color="auto"/>
            </w:tcBorders>
          </w:tcPr>
          <w:p>
            <w:pPr>
              <w:pStyle w:val="nTable"/>
              <w:spacing w:after="40"/>
            </w:pPr>
            <w:r>
              <w:t>SL 2023/36 5 May 2023</w:t>
            </w:r>
          </w:p>
        </w:tc>
        <w:tc>
          <w:tcPr>
            <w:tcW w:w="2688" w:type="dxa"/>
            <w:tcBorders>
              <w:top w:val="nil"/>
              <w:bottom w:val="single" w:sz="8" w:space="0" w:color="auto"/>
            </w:tcBorders>
          </w:tcPr>
          <w:p>
            <w:pPr>
              <w:pStyle w:val="nTable"/>
              <w:spacing w:after="40"/>
            </w:pPr>
            <w:r>
              <w:t>1 Jul 2023 (see r. 2(b))</w:t>
            </w:r>
          </w:p>
        </w:tc>
      </w:tr>
    </w:tbl>
    <w:p>
      <w:pPr>
        <w:pStyle w:val="nHeading3"/>
      </w:pPr>
      <w:bookmarkStart w:id="20" w:name="_Toc155163748"/>
      <w:r>
        <w:t>Other notes</w:t>
      </w:r>
      <w:bookmarkEnd w:id="20"/>
    </w:p>
    <w:p>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22" w:name="_Toc155163749"/>
      <w:r>
        <w:rPr>
          <w:sz w:val="28"/>
        </w:rPr>
        <w:lastRenderedPageBreak/>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dealing</w:t>
      </w:r>
      <w:r>
        <w:tab/>
        <w:t>4D(1)</w:t>
      </w:r>
    </w:p>
    <w:p>
      <w:pPr>
        <w:pStyle w:val="DefinedTerms"/>
      </w:pPr>
      <w:r>
        <w:t>related dealing</w:t>
      </w:r>
      <w:r>
        <w:tab/>
        <w:t>4D(2)</w:t>
      </w:r>
    </w:p>
    <w:p>
      <w:pPr>
        <w:pStyle w:val="DefinedTerms"/>
      </w:pPr>
      <w:r>
        <w:t>section 29(1)</w:t>
      </w:r>
      <w:r>
        <w:tab/>
        <w:t>24(1)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B74B04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17BF990" w14:textId="382203E7" w:rsidR="001068FF" w:rsidRDefault="001068F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C21C601" w14:textId="77777777" w:rsidR="001068FF" w:rsidRDefault="001068F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6B5F327" w14:textId="7D3E8A68" w:rsidR="001068FF" w:rsidRDefault="001068F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D3DCA07" w14:textId="77777777" w:rsidR="001068FF" w:rsidRDefault="001068F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391"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117"/>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 w:name="WAFER_2021062413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48_GUID" w:val="85b59522-e526-489e-9650-baebabcb0c17"/>
    <w:docVar w:name="WAFER_20220517152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20_GUID" w:val="6f2e2ddf-a303-4ae7-86ef-9adde21cd128"/>
    <w:docVar w:name="WAFER_202206230929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906_GUID" w:val="ad006115-e528-4e43-af37-531b3eccddf1"/>
    <w:docVar w:name="WAFER_20230502152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58_GUID" w:val="24c31857-5e8c-4321-afbd-a222d53390c9"/>
    <w:docVar w:name="WAFER_20230626114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4036_GUID" w:val="e35759cb-3091-42dc-b946-b286d3d4f976"/>
    <w:docVar w:name="WAFER_20231228132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117_GUID" w:val="81d3417f-81b9-4625-bb9c-a7b588dae8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4ECA-4320-4AD8-A0F1-821CFC07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2815</Words>
  <Characters>13912</Characters>
  <Application>Microsoft Office Word</Application>
  <DocSecurity>0</DocSecurity>
  <Lines>535</Lines>
  <Paragraphs>341</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1970 - 03-j0-01</dc:title>
  <dc:subject/>
  <dc:creator/>
  <cp:keywords/>
  <dc:description/>
  <cp:lastModifiedBy>Master Repository Process</cp:lastModifiedBy>
  <cp:revision>4</cp:revision>
  <cp:lastPrinted>2018-04-30T02:04:00Z</cp:lastPrinted>
  <dcterms:created xsi:type="dcterms:W3CDTF">2024-01-03T00:41:00Z</dcterms:created>
  <dcterms:modified xsi:type="dcterms:W3CDTF">2024-01-03T00:41:00Z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01 Jul 2023</vt:lpwstr>
  </property>
  <property fmtid="{D5CDD505-2E9C-101B-9397-08002B2CF9AE}" pid="8" name="Suffix">
    <vt:lpwstr>03-j0-01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