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Settlement Agents Act 1981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Settlement Agents Regulations 1982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Settlement Agents Regulations 1982</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_Toc155172939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_Toc155172940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Fees</w:t>
      </w:r>
      <w:r>
        <w:tab/>
      </w:r>
      <w:r>
        <w:fldChar w:fldCharType="begin"/>
      </w:r>
      <w:r>
        <w:instrText xml:space="preserve"> PAGEREF _Toc155172941 \h </w:instrText>
      </w:r>
      <w:r>
        <w:fldChar w:fldCharType="separate"/>
      </w:r>
      <w:r>
        <w:t>2</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t>Holding fee</w:t>
      </w:r>
      <w:r>
        <w:tab/>
      </w:r>
      <w:r>
        <w:fldChar w:fldCharType="begin"/>
      </w:r>
      <w:r>
        <w:instrText xml:space="preserve"> PAGEREF _Toc155172942 \h </w:instrText>
      </w:r>
      <w:r>
        <w:fldChar w:fldCharType="separate"/>
      </w:r>
      <w:r>
        <w:t>2</w:t>
      </w:r>
      <w:r>
        <w:fldChar w:fldCharType="end"/>
      </w:r>
    </w:p>
    <w:p>
      <w:pPr>
        <w:pStyle w:val="TOC8"/>
        <w:rPr>
          <w:rFonts w:asciiTheme="minorHAnsi" w:eastAsiaTheme="minorEastAsia" w:hAnsiTheme="minorHAnsi" w:cstheme="minorBidi"/>
          <w:szCs w:val="22"/>
        </w:rPr>
      </w:pPr>
      <w:r>
        <w:t>4B.</w:t>
      </w:r>
      <w:r>
        <w:tab/>
        <w:t>Educational requirements (Act s. 41B)</w:t>
      </w:r>
      <w:r>
        <w:tab/>
      </w:r>
      <w:r>
        <w:fldChar w:fldCharType="begin"/>
      </w:r>
      <w:r>
        <w:instrText xml:space="preserve"> PAGEREF _Toc155172943 \h </w:instrText>
      </w:r>
      <w:r>
        <w:fldChar w:fldCharType="separate"/>
      </w:r>
      <w:r>
        <w:t>3</w:t>
      </w:r>
      <w:r>
        <w:fldChar w:fldCharType="end"/>
      </w:r>
    </w:p>
    <w:p>
      <w:pPr>
        <w:pStyle w:val="TOC8"/>
        <w:rPr>
          <w:rFonts w:asciiTheme="minorHAnsi" w:eastAsiaTheme="minorEastAsia" w:hAnsiTheme="minorHAnsi" w:cstheme="minorBidi"/>
          <w:szCs w:val="22"/>
        </w:rPr>
      </w:pPr>
      <w:r>
        <w:t>4C.</w:t>
      </w:r>
      <w:r>
        <w:tab/>
        <w:t>Exemption from educational requirements</w:t>
      </w:r>
      <w:r>
        <w:tab/>
      </w:r>
      <w:r>
        <w:fldChar w:fldCharType="begin"/>
      </w:r>
      <w:r>
        <w:instrText xml:space="preserve"> PAGEREF _Toc155172944 \h </w:instrText>
      </w:r>
      <w:r>
        <w:fldChar w:fldCharType="separate"/>
      </w:r>
      <w:r>
        <w:t>4</w:t>
      </w:r>
      <w:r>
        <w:fldChar w:fldCharType="end"/>
      </w:r>
    </w:p>
    <w:p>
      <w:pPr>
        <w:pStyle w:val="TOC8"/>
        <w:rPr>
          <w:rFonts w:asciiTheme="minorHAnsi" w:eastAsiaTheme="minorEastAsia" w:hAnsiTheme="minorHAnsi" w:cstheme="minorBidi"/>
          <w:szCs w:val="22"/>
        </w:rPr>
      </w:pPr>
      <w:r>
        <w:t>4D.</w:t>
      </w:r>
      <w:r>
        <w:tab/>
        <w:t>Commissioner to approve educational activities</w:t>
      </w:r>
      <w:r>
        <w:tab/>
      </w:r>
      <w:r>
        <w:fldChar w:fldCharType="begin"/>
      </w:r>
      <w:r>
        <w:instrText xml:space="preserve"> PAGEREF _Toc155172945 \h </w:instrText>
      </w:r>
      <w:r>
        <w:fldChar w:fldCharType="separate"/>
      </w:r>
      <w:r>
        <w:t>5</w:t>
      </w:r>
      <w:r>
        <w:fldChar w:fldCharType="end"/>
      </w:r>
    </w:p>
    <w:p>
      <w:pPr>
        <w:pStyle w:val="TOC8"/>
        <w:rPr>
          <w:rFonts w:asciiTheme="minorHAnsi" w:eastAsiaTheme="minorEastAsia" w:hAnsiTheme="minorHAnsi" w:cstheme="minorBidi"/>
          <w:szCs w:val="22"/>
        </w:rPr>
      </w:pPr>
      <w:r>
        <w:t>4E.</w:t>
      </w:r>
      <w:r>
        <w:tab/>
        <w:t>Commissioner to publish details of approved educational activities on website</w:t>
      </w:r>
      <w:r>
        <w:tab/>
      </w:r>
      <w:r>
        <w:fldChar w:fldCharType="begin"/>
      </w:r>
      <w:r>
        <w:instrText xml:space="preserve"> PAGEREF _Toc155172946 \h </w:instrText>
      </w:r>
      <w:r>
        <w:fldChar w:fldCharType="separate"/>
      </w:r>
      <w:r>
        <w:t>7</w:t>
      </w:r>
      <w:r>
        <w:fldChar w:fldCharType="end"/>
      </w:r>
    </w:p>
    <w:p>
      <w:pPr>
        <w:pStyle w:val="TOC8"/>
        <w:rPr>
          <w:rFonts w:asciiTheme="minorHAnsi" w:eastAsiaTheme="minorEastAsia" w:hAnsiTheme="minorHAnsi" w:cstheme="minorBidi"/>
          <w:szCs w:val="22"/>
        </w:rPr>
      </w:pPr>
      <w:r>
        <w:t>6.</w:t>
      </w:r>
      <w:r>
        <w:tab/>
        <w:t>Prescribed examinations</w:t>
      </w:r>
      <w:r>
        <w:tab/>
      </w:r>
      <w:r>
        <w:fldChar w:fldCharType="begin"/>
      </w:r>
      <w:r>
        <w:instrText xml:space="preserve"> PAGEREF _Toc155172947 \h </w:instrText>
      </w:r>
      <w:r>
        <w:fldChar w:fldCharType="separate"/>
      </w:r>
      <w:r>
        <w:t>7</w:t>
      </w:r>
      <w:r>
        <w:fldChar w:fldCharType="end"/>
      </w:r>
    </w:p>
    <w:p>
      <w:pPr>
        <w:pStyle w:val="TOC8"/>
        <w:rPr>
          <w:rFonts w:asciiTheme="minorHAnsi" w:eastAsiaTheme="minorEastAsia" w:hAnsiTheme="minorHAnsi" w:cstheme="minorBidi"/>
          <w:szCs w:val="22"/>
        </w:rPr>
      </w:pPr>
      <w:r>
        <w:t>6AA.</w:t>
      </w:r>
      <w:r>
        <w:tab/>
        <w:t>Information to be included in appointment to act as settlement agent (Act s. 43(2)(a))</w:t>
      </w:r>
      <w:r>
        <w:tab/>
      </w:r>
      <w:r>
        <w:fldChar w:fldCharType="begin"/>
      </w:r>
      <w:r>
        <w:instrText xml:space="preserve"> PAGEREF _Toc155172948 \h </w:instrText>
      </w:r>
      <w:r>
        <w:fldChar w:fldCharType="separate"/>
      </w:r>
      <w:r>
        <w:t>8</w:t>
      </w:r>
      <w:r>
        <w:fldChar w:fldCharType="end"/>
      </w:r>
    </w:p>
    <w:p>
      <w:pPr>
        <w:pStyle w:val="TOC8"/>
        <w:rPr>
          <w:rFonts w:asciiTheme="minorHAnsi" w:eastAsiaTheme="minorEastAsia" w:hAnsiTheme="minorHAnsi" w:cstheme="minorBidi"/>
          <w:szCs w:val="22"/>
        </w:rPr>
      </w:pPr>
      <w:r>
        <w:t>6A</w:t>
      </w:r>
      <w:r>
        <w:rPr>
          <w:snapToGrid w:val="0"/>
        </w:rPr>
        <w:t>.</w:t>
      </w:r>
      <w:r>
        <w:rPr>
          <w:snapToGrid w:val="0"/>
        </w:rPr>
        <w:tab/>
        <w:t>Definition of authorised financial institution — prescribed classes (Act s. 48)</w:t>
      </w:r>
      <w:r>
        <w:tab/>
      </w:r>
      <w:r>
        <w:fldChar w:fldCharType="begin"/>
      </w:r>
      <w:r>
        <w:instrText xml:space="preserve"> PAGEREF _Toc155172949 \h </w:instrText>
      </w:r>
      <w:r>
        <w:fldChar w:fldCharType="separate"/>
      </w:r>
      <w:r>
        <w:t>8</w:t>
      </w:r>
      <w:r>
        <w:fldChar w:fldCharType="end"/>
      </w:r>
    </w:p>
    <w:p>
      <w:pPr>
        <w:pStyle w:val="TOC8"/>
        <w:rPr>
          <w:rFonts w:asciiTheme="minorHAnsi" w:eastAsiaTheme="minorEastAsia" w:hAnsiTheme="minorHAnsi" w:cstheme="minorBidi"/>
          <w:szCs w:val="22"/>
        </w:rPr>
      </w:pPr>
      <w:r>
        <w:t>6B</w:t>
      </w:r>
      <w:r>
        <w:rPr>
          <w:snapToGrid w:val="0"/>
        </w:rPr>
        <w:t>.</w:t>
      </w:r>
      <w:r>
        <w:rPr>
          <w:snapToGrid w:val="0"/>
        </w:rPr>
        <w:tab/>
        <w:t>Designation of trust accounts (Act s. 49(1))</w:t>
      </w:r>
      <w:r>
        <w:tab/>
      </w:r>
      <w:r>
        <w:fldChar w:fldCharType="begin"/>
      </w:r>
      <w:r>
        <w:instrText xml:space="preserve"> PAGEREF _Toc155172950 \h </w:instrText>
      </w:r>
      <w:r>
        <w:fldChar w:fldCharType="separate"/>
      </w:r>
      <w:r>
        <w:t>8</w:t>
      </w:r>
      <w:r>
        <w:fldChar w:fldCharType="end"/>
      </w:r>
    </w:p>
    <w:p>
      <w:pPr>
        <w:pStyle w:val="TOC8"/>
        <w:rPr>
          <w:rFonts w:asciiTheme="minorHAnsi" w:eastAsiaTheme="minorEastAsia" w:hAnsiTheme="minorHAnsi" w:cstheme="minorBidi"/>
          <w:szCs w:val="22"/>
        </w:rPr>
      </w:pPr>
      <w:r>
        <w:t>6C</w:t>
      </w:r>
      <w:r>
        <w:rPr>
          <w:snapToGrid w:val="0"/>
        </w:rPr>
        <w:t>.</w:t>
      </w:r>
      <w:r>
        <w:rPr>
          <w:snapToGrid w:val="0"/>
        </w:rPr>
        <w:tab/>
        <w:t>Prescribed requirements for separate accounts (Act s. 49A(4))</w:t>
      </w:r>
      <w:r>
        <w:tab/>
      </w:r>
      <w:r>
        <w:fldChar w:fldCharType="begin"/>
      </w:r>
      <w:r>
        <w:instrText xml:space="preserve"> PAGEREF _Toc155172951 \h </w:instrText>
      </w:r>
      <w:r>
        <w:fldChar w:fldCharType="separate"/>
      </w:r>
      <w:r>
        <w:t>9</w:t>
      </w:r>
      <w:r>
        <w:fldChar w:fldCharType="end"/>
      </w:r>
    </w:p>
    <w:p>
      <w:pPr>
        <w:pStyle w:val="TOC8"/>
        <w:rPr>
          <w:rFonts w:asciiTheme="minorHAnsi" w:eastAsiaTheme="minorEastAsia" w:hAnsiTheme="minorHAnsi" w:cstheme="minorBidi"/>
          <w:szCs w:val="22"/>
        </w:rPr>
      </w:pPr>
      <w:r>
        <w:t>6D.</w:t>
      </w:r>
      <w:r>
        <w:rPr>
          <w:snapToGrid w:val="0"/>
        </w:rPr>
        <w:tab/>
        <w:t>Interest payable on trust accounts (Act s. 49B(1))</w:t>
      </w:r>
      <w:r>
        <w:tab/>
      </w:r>
      <w:r>
        <w:fldChar w:fldCharType="begin"/>
      </w:r>
      <w:r>
        <w:instrText xml:space="preserve"> PAGEREF _Toc155172952 \h </w:instrText>
      </w:r>
      <w:r>
        <w:fldChar w:fldCharType="separate"/>
      </w:r>
      <w:r>
        <w:t>9</w:t>
      </w:r>
      <w:r>
        <w:fldChar w:fldCharType="end"/>
      </w:r>
    </w:p>
    <w:p>
      <w:pPr>
        <w:pStyle w:val="TOC8"/>
        <w:rPr>
          <w:rFonts w:asciiTheme="minorHAnsi" w:eastAsiaTheme="minorEastAsia" w:hAnsiTheme="minorHAnsi" w:cstheme="minorBidi"/>
          <w:szCs w:val="22"/>
        </w:rPr>
      </w:pPr>
      <w:r>
        <w:t>6E.</w:t>
      </w:r>
      <w:r>
        <w:tab/>
        <w:t>Content of receipts (Act s. 50(1)(a))</w:t>
      </w:r>
      <w:r>
        <w:tab/>
      </w:r>
      <w:r>
        <w:fldChar w:fldCharType="begin"/>
      </w:r>
      <w:r>
        <w:instrText xml:space="preserve"> PAGEREF _Toc155172953 \h </w:instrText>
      </w:r>
      <w:r>
        <w:fldChar w:fldCharType="separate"/>
      </w:r>
      <w:r>
        <w:t>10</w:t>
      </w:r>
      <w:r>
        <w:fldChar w:fldCharType="end"/>
      </w:r>
    </w:p>
    <w:p>
      <w:pPr>
        <w:pStyle w:val="TOC8"/>
        <w:rPr>
          <w:rFonts w:asciiTheme="minorHAnsi" w:eastAsiaTheme="minorEastAsia" w:hAnsiTheme="minorHAnsi" w:cstheme="minorBidi"/>
          <w:szCs w:val="22"/>
        </w:rPr>
      </w:pPr>
      <w:r>
        <w:t>6F</w:t>
      </w:r>
      <w:r>
        <w:rPr>
          <w:snapToGrid w:val="0"/>
        </w:rPr>
        <w:t>.</w:t>
      </w:r>
      <w:r>
        <w:rPr>
          <w:snapToGrid w:val="0"/>
        </w:rPr>
        <w:tab/>
        <w:t>Records under Act s. 50(1)(b)</w:t>
      </w:r>
      <w:r>
        <w:tab/>
      </w:r>
      <w:r>
        <w:fldChar w:fldCharType="begin"/>
      </w:r>
      <w:r>
        <w:instrText xml:space="preserve"> PAGEREF _Toc155172954 \h </w:instrText>
      </w:r>
      <w:r>
        <w:fldChar w:fldCharType="separate"/>
      </w:r>
      <w:r>
        <w:t>10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Particulars to be included in registers (Act s. 110(2))</w:t>
      </w:r>
      <w:r>
        <w:tab/>
      </w:r>
      <w:r>
        <w:fldChar w:fldCharType="begin"/>
      </w:r>
      <w:r>
        <w:instrText xml:space="preserve"> PAGEREF _Toc155172955 \h </w:instrText>
      </w:r>
      <w:r>
        <w:fldChar w:fldCharType="separate"/>
      </w:r>
      <w:r>
        <w:t>11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Recovery of fees and costs</w:t>
      </w:r>
      <w:r>
        <w:tab/>
      </w:r>
      <w:r>
        <w:fldChar w:fldCharType="begin"/>
      </w:r>
      <w:r>
        <w:instrText xml:space="preserve"> PAGEREF _Toc155172956 \h </w:instrText>
      </w:r>
      <w:r>
        <w:fldChar w:fldCharType="separate"/>
      </w:r>
      <w:r>
        <w:t>13</w:t>
      </w:r>
      <w:r>
        <w:fldChar w:fldCharType="end"/>
      </w:r>
    </w:p>
    <w:p>
      <w:pPr>
        <w:pStyle w:val="TOC8"/>
        <w:rPr>
          <w:rFonts w:asciiTheme="minorHAnsi" w:eastAsiaTheme="minorEastAsia" w:hAnsiTheme="minorHAnsi" w:cstheme="minorBidi"/>
          <w:szCs w:val="22"/>
        </w:rPr>
      </w:pPr>
      <w:r>
        <w:t>9.</w:t>
      </w:r>
      <w:r>
        <w:tab/>
        <w:t>Settlement Agents Interest Account (Act s. 105)</w:t>
      </w:r>
      <w:r>
        <w:tab/>
      </w:r>
      <w:r>
        <w:fldChar w:fldCharType="begin"/>
      </w:r>
      <w:r>
        <w:instrText xml:space="preserve"> PAGEREF _Toc155172957 \h </w:instrText>
      </w:r>
      <w:r>
        <w:fldChar w:fldCharType="separate"/>
      </w:r>
      <w:r>
        <w:t>13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Claims against Fidelity Guarantee Account</w:t>
      </w:r>
      <w:r>
        <w:tab/>
      </w:r>
      <w:r>
        <w:fldChar w:fldCharType="begin"/>
      </w:r>
      <w:r>
        <w:instrText xml:space="preserve"> PAGEREF _Toc155172958 \h </w:instrText>
      </w:r>
      <w:r>
        <w:fldChar w:fldCharType="separate"/>
      </w:r>
      <w:r>
        <w:t>13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Documents that real estate settlement agent may draw etc.</w:t>
      </w:r>
      <w:r>
        <w:tab/>
      </w:r>
      <w:r>
        <w:fldChar w:fldCharType="begin"/>
      </w:r>
      <w:r>
        <w:instrText xml:space="preserve"> PAGEREF _Toc155172959 \h </w:instrText>
      </w:r>
      <w:r>
        <w:fldChar w:fldCharType="separate"/>
      </w:r>
      <w:r>
        <w:t>14</w:t>
      </w:r>
      <w:r>
        <w:fldChar w:fldCharType="end"/>
      </w:r>
    </w:p>
    <w:p>
      <w:pPr>
        <w:pStyle w:val="TOC8"/>
        <w:rPr>
          <w:rFonts w:asciiTheme="minorHAnsi" w:eastAsiaTheme="minorEastAsia" w:hAnsiTheme="minorHAnsi" w:cstheme="minorBidi"/>
          <w:szCs w:val="22"/>
        </w:rPr>
      </w:pPr>
      <w:r>
        <w:lastRenderedPageBreak/>
        <w:t>12</w:t>
      </w:r>
      <w:r>
        <w:rPr>
          <w:snapToGrid w:val="0"/>
        </w:rPr>
        <w:t>.</w:t>
      </w:r>
      <w:r>
        <w:rPr>
          <w:snapToGrid w:val="0"/>
        </w:rPr>
        <w:tab/>
        <w:t>Documents that business settlement agent may draw etc.</w:t>
      </w:r>
      <w:r>
        <w:tab/>
      </w:r>
      <w:r>
        <w:fldChar w:fldCharType="begin"/>
      </w:r>
      <w:r>
        <w:instrText xml:space="preserve"> PAGEREF _Toc155172960 \h </w:instrText>
      </w:r>
      <w:r>
        <w:fldChar w:fldCharType="separate"/>
      </w:r>
      <w:r>
        <w:t>14</w:t>
      </w:r>
      <w:r>
        <w:fldChar w:fldCharType="end"/>
      </w:r>
    </w:p>
    <w:p>
      <w:pPr>
        <w:pStyle w:val="TOC8"/>
        <w:rPr>
          <w:rFonts w:asciiTheme="minorHAnsi" w:eastAsiaTheme="minorEastAsia" w:hAnsiTheme="minorHAnsi" w:cstheme="minorBidi"/>
          <w:szCs w:val="22"/>
        </w:rPr>
      </w:pPr>
      <w:r>
        <w:t>12A</w:t>
      </w:r>
      <w:r>
        <w:rPr>
          <w:snapToGrid w:val="0"/>
        </w:rPr>
        <w:t>.</w:t>
      </w:r>
      <w:r>
        <w:rPr>
          <w:snapToGrid w:val="0"/>
        </w:rPr>
        <w:tab/>
        <w:t>Power of attorney</w:t>
      </w:r>
      <w:r>
        <w:tab/>
      </w:r>
      <w:r>
        <w:fldChar w:fldCharType="begin"/>
      </w:r>
      <w:r>
        <w:instrText xml:space="preserve"> PAGEREF _Toc155172961 \h </w:instrText>
      </w:r>
      <w:r>
        <w:fldChar w:fldCharType="separate"/>
      </w:r>
      <w:r>
        <w:t>14</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Warning notice by certain exempted persons</w:t>
      </w:r>
      <w:r>
        <w:tab/>
      </w:r>
      <w:r>
        <w:fldChar w:fldCharType="begin"/>
      </w:r>
      <w:r>
        <w:instrText xml:space="preserve"> PAGEREF _Toc155172962 \h </w:instrText>
      </w:r>
      <w:r>
        <w:fldChar w:fldCharType="separate"/>
      </w:r>
      <w:r>
        <w:t>15</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Absence of licensee</w:t>
      </w:r>
      <w:r>
        <w:tab/>
      </w:r>
      <w:r>
        <w:fldChar w:fldCharType="begin"/>
      </w:r>
      <w:r>
        <w:instrText xml:space="preserve"> PAGEREF _Toc155172963 \h </w:instrText>
      </w:r>
      <w:r>
        <w:fldChar w:fldCharType="separate"/>
      </w:r>
      <w:r>
        <w:t>15</w:t>
      </w:r>
      <w:r>
        <w:fldChar w:fldCharType="end"/>
      </w:r>
    </w:p>
    <w:p>
      <w:pPr>
        <w:pStyle w:val="TOC8"/>
        <w:rPr>
          <w:rFonts w:asciiTheme="minorHAnsi" w:eastAsiaTheme="minorEastAsia" w:hAnsiTheme="minorHAnsi" w:cstheme="minorBidi"/>
          <w:szCs w:val="22"/>
        </w:rPr>
      </w:pPr>
      <w:r>
        <w:t>15.</w:t>
      </w:r>
      <w:r>
        <w:tab/>
        <w:t>Infringement notices</w:t>
      </w:r>
      <w:r>
        <w:tab/>
      </w:r>
      <w:r>
        <w:fldChar w:fldCharType="begin"/>
      </w:r>
      <w:r>
        <w:instrText xml:space="preserve"> PAGEREF _Toc155172964 \h </w:instrText>
      </w:r>
      <w:r>
        <w:fldChar w:fldCharType="separate"/>
      </w:r>
      <w:r>
        <w:t>16</w:t>
      </w:r>
      <w:r>
        <w:fldChar w:fldCharType="end"/>
      </w:r>
    </w:p>
    <w:p>
      <w:pPr>
        <w:pStyle w:val="TOC8"/>
        <w:rPr>
          <w:rFonts w:asciiTheme="minorHAnsi" w:eastAsiaTheme="minorEastAsia" w:hAnsiTheme="minorHAnsi" w:cstheme="minorBidi"/>
          <w:szCs w:val="22"/>
        </w:rPr>
      </w:pPr>
      <w:r>
        <w:t>16.</w:t>
      </w:r>
      <w:r>
        <w:tab/>
        <w:t>Forms</w:t>
      </w:r>
      <w:r>
        <w:tab/>
      </w:r>
      <w:r>
        <w:fldChar w:fldCharType="begin"/>
      </w:r>
      <w:r>
        <w:instrText xml:space="preserve"> PAGEREF _Toc155172965 \h </w:instrText>
      </w:r>
      <w:r>
        <w:fldChar w:fldCharType="separate"/>
      </w:r>
      <w:r>
        <w:t>17</w:t>
      </w:r>
      <w:r>
        <w:fldChar w:fldCharType="end"/>
      </w:r>
    </w:p>
    <w:p>
      <w:pPr>
        <w:pStyle w:val="TOC8"/>
        <w:rPr>
          <w:rFonts w:asciiTheme="minorHAnsi" w:eastAsiaTheme="minorEastAsia" w:hAnsiTheme="minorHAnsi" w:cstheme="minorBidi"/>
          <w:szCs w:val="22"/>
        </w:rPr>
      </w:pPr>
      <w:r>
        <w:t>17.</w:t>
      </w:r>
      <w:r>
        <w:tab/>
        <w:t xml:space="preserve">Transitional provision for </w:t>
      </w:r>
      <w:r>
        <w:rPr>
          <w:i/>
        </w:rPr>
        <w:t>Settlement Agents Amendment Regulations 2016</w:t>
      </w:r>
      <w:r>
        <w:tab/>
      </w:r>
      <w:r>
        <w:fldChar w:fldCharType="begin"/>
      </w:r>
      <w:r>
        <w:instrText xml:space="preserve"> PAGEREF _Toc155172966 \h </w:instrText>
      </w:r>
      <w:r>
        <w:fldChar w:fldCharType="separate"/>
      </w:r>
      <w:r>
        <w:t>17</w:t>
      </w:r>
      <w:r>
        <w:fldChar w:fldCharType="end"/>
      </w:r>
    </w:p>
    <w:p>
      <w:pPr>
        <w:pStyle w:val="TOC8"/>
        <w:rPr>
          <w:rFonts w:asciiTheme="minorHAnsi" w:eastAsiaTheme="minorEastAsia" w:hAnsiTheme="minorHAnsi" w:cstheme="minorBidi"/>
          <w:szCs w:val="22"/>
        </w:rPr>
      </w:pPr>
      <w:r>
        <w:t>18.</w:t>
      </w:r>
      <w:r>
        <w:tab/>
        <w:t xml:space="preserve">Transitional regulation for </w:t>
      </w:r>
      <w:r>
        <w:rPr>
          <w:i/>
        </w:rPr>
        <w:t>Settlement Agents Amendment Regulations 2020</w:t>
      </w:r>
      <w:r>
        <w:tab/>
      </w:r>
      <w:r>
        <w:fldChar w:fldCharType="begin"/>
      </w:r>
      <w:r>
        <w:instrText xml:space="preserve"> PAGEREF _Toc155172967 \h </w:instrText>
      </w:r>
      <w:r>
        <w:fldChar w:fldCharType="separate"/>
      </w:r>
      <w:r>
        <w:t>17</w:t>
      </w:r>
      <w:r>
        <w:fldChar w:fldCharType="end"/>
      </w:r>
    </w:p>
    <w:p>
      <w:pPr>
        <w:pStyle w:val="TOC2"/>
        <w:tabs>
          <w:tab w:val="right" w:pos="7077"/>
        </w:tabs>
        <w:rPr>
          <w:rFonts w:asciiTheme="minorHAnsi" w:eastAsiaTheme="minorEastAsia" w:hAnsiTheme="minorHAnsi" w:cstheme="minorBidi"/>
          <w:b w:val="0"/>
          <w:sz w:val="22"/>
          <w:szCs w:val="22"/>
        </w:rPr>
      </w:pPr>
      <w:r>
        <w:lastRenderedPageBreak/>
        <w:t>Schedule 1 — Fees</w:t>
      </w:r>
    </w:p>
    <w:p>
      <w:pPr>
        <w:pStyle w:val="TOC2"/>
        <w:tabs>
          <w:tab w:val="right" w:pos="7077"/>
        </w:tabs>
        <w:rPr>
          <w:rFonts w:asciiTheme="minorHAnsi" w:eastAsiaTheme="minorEastAsia" w:hAnsiTheme="minorHAnsi" w:cstheme="minorBidi"/>
          <w:b w:val="0"/>
          <w:sz w:val="22"/>
          <w:szCs w:val="22"/>
        </w:rPr>
      </w:pPr>
      <w:r>
        <w:t>Schedule 1A — Professional development subjects</w:t>
      </w:r>
    </w:p>
    <w:p>
      <w:pPr>
        <w:pStyle w:val="TOC2"/>
        <w:tabs>
          <w:tab w:val="right" w:pos="7077"/>
        </w:tabs>
        <w:rPr>
          <w:rFonts w:asciiTheme="minorHAnsi" w:eastAsiaTheme="minorEastAsia" w:hAnsiTheme="minorHAnsi" w:cstheme="minorBidi"/>
          <w:b w:val="0"/>
          <w:sz w:val="22"/>
          <w:szCs w:val="22"/>
        </w:rPr>
      </w:pPr>
      <w:r>
        <w:t>Schedule 2 — Notice under section 26A or 26B of the Act</w:t>
      </w:r>
    </w:p>
    <w:p>
      <w:pPr>
        <w:pStyle w:val="TOC2"/>
        <w:tabs>
          <w:tab w:val="right" w:pos="7077"/>
        </w:tabs>
        <w:rPr>
          <w:rFonts w:asciiTheme="minorHAnsi" w:eastAsiaTheme="minorEastAsia" w:hAnsiTheme="minorHAnsi" w:cstheme="minorBidi"/>
          <w:b w:val="0"/>
          <w:sz w:val="22"/>
          <w:szCs w:val="22"/>
        </w:rPr>
      </w:pPr>
      <w:r>
        <w:t>Schedule 3 — Documents that a real estate settlement agent may draw or prepare</w:t>
      </w:r>
    </w:p>
    <w:p>
      <w:pPr>
        <w:pStyle w:val="TOC4"/>
        <w:tabs>
          <w:tab w:val="right" w:pos="7077"/>
        </w:tabs>
        <w:rPr>
          <w:rFonts w:asciiTheme="minorHAnsi" w:eastAsiaTheme="minorEastAsia" w:hAnsiTheme="minorHAnsi" w:cstheme="minorBidi"/>
          <w:b w:val="0"/>
          <w:szCs w:val="22"/>
        </w:rPr>
      </w:pPr>
      <w:r>
        <w:t>Part A</w:t>
      </w:r>
      <w:r>
        <w:rPr>
          <w:snapToGrid w:val="0"/>
        </w:rPr>
        <w:t> — </w:t>
      </w:r>
      <w:r>
        <w:t>Offer and acceptance</w:t>
      </w:r>
    </w:p>
    <w:p>
      <w:pPr>
        <w:pStyle w:val="TOC4"/>
        <w:tabs>
          <w:tab w:val="right" w:pos="7077"/>
        </w:tabs>
        <w:rPr>
          <w:rFonts w:asciiTheme="minorHAnsi" w:eastAsiaTheme="minorEastAsia" w:hAnsiTheme="minorHAnsi" w:cstheme="minorBidi"/>
          <w:b w:val="0"/>
          <w:szCs w:val="22"/>
        </w:rPr>
      </w:pPr>
      <w:r>
        <w:t>Part B</w:t>
      </w:r>
      <w:r>
        <w:rPr>
          <w:snapToGrid w:val="0"/>
        </w:rPr>
        <w:t> — </w:t>
      </w:r>
      <w:r>
        <w:t>Requisitions on title</w:t>
      </w:r>
    </w:p>
    <w:p>
      <w:pPr>
        <w:pStyle w:val="TOC4"/>
        <w:tabs>
          <w:tab w:val="right" w:pos="7077"/>
        </w:tabs>
        <w:rPr>
          <w:rFonts w:asciiTheme="minorHAnsi" w:eastAsiaTheme="minorEastAsia" w:hAnsiTheme="minorHAnsi" w:cstheme="minorBidi"/>
          <w:b w:val="0"/>
          <w:szCs w:val="22"/>
        </w:rPr>
      </w:pPr>
      <w:r>
        <w:t>Part C</w:t>
      </w:r>
      <w:r>
        <w:rPr>
          <w:snapToGrid w:val="0"/>
        </w:rPr>
        <w:t> — </w:t>
      </w:r>
      <w:r>
        <w:t>Documents for registration or lodgement</w:t>
      </w:r>
    </w:p>
    <w:p>
      <w:pPr>
        <w:pStyle w:val="TOC2"/>
        <w:tabs>
          <w:tab w:val="right" w:pos="7077"/>
        </w:tabs>
        <w:rPr>
          <w:rFonts w:asciiTheme="minorHAnsi" w:eastAsiaTheme="minorEastAsia" w:hAnsiTheme="minorHAnsi" w:cstheme="minorBidi"/>
          <w:b w:val="0"/>
          <w:sz w:val="22"/>
          <w:szCs w:val="22"/>
        </w:rPr>
      </w:pPr>
      <w:r>
        <w:t>Schedule 4 — Documents that a business settlement agent may draw or prepare</w:t>
      </w:r>
    </w:p>
    <w:p>
      <w:pPr>
        <w:pStyle w:val="TOC2"/>
        <w:tabs>
          <w:tab w:val="right" w:pos="7077"/>
        </w:tabs>
        <w:rPr>
          <w:rFonts w:asciiTheme="minorHAnsi" w:eastAsiaTheme="minorEastAsia" w:hAnsiTheme="minorHAnsi" w:cstheme="minorBidi"/>
          <w:b w:val="0"/>
          <w:sz w:val="22"/>
          <w:szCs w:val="22"/>
        </w:rPr>
      </w:pPr>
      <w:r>
        <w:t>Schedule 5 — Prescribed offences and modified penalties</w:t>
      </w:r>
    </w:p>
    <w:p>
      <w:pPr>
        <w:pStyle w:val="TOC4"/>
        <w:tabs>
          <w:tab w:val="right" w:pos="7077"/>
        </w:tabs>
        <w:rPr>
          <w:rFonts w:asciiTheme="minorHAnsi" w:eastAsiaTheme="minorEastAsia" w:hAnsiTheme="minorHAnsi" w:cstheme="minorBidi"/>
          <w:b w:val="0"/>
          <w:szCs w:val="22"/>
        </w:rPr>
      </w:pPr>
      <w:r>
        <w:t>Part 1</w:t>
      </w:r>
      <w:r>
        <w:rPr>
          <w:b w:val="0"/>
        </w:rPr>
        <w:t> — </w:t>
      </w:r>
      <w:r>
        <w:t>Offences under section 65</w:t>
      </w:r>
    </w:p>
    <w:p>
      <w:pPr>
        <w:pStyle w:val="TOC4"/>
        <w:tabs>
          <w:tab w:val="right" w:pos="7077"/>
        </w:tabs>
        <w:rPr>
          <w:rFonts w:asciiTheme="minorHAnsi" w:eastAsiaTheme="minorEastAsia" w:hAnsiTheme="minorHAnsi" w:cstheme="minorBidi"/>
          <w:b w:val="0"/>
          <w:szCs w:val="22"/>
        </w:rPr>
      </w:pPr>
      <w:r>
        <w:t>Part 2</w:t>
      </w:r>
      <w:r>
        <w:rPr>
          <w:b w:val="0"/>
        </w:rPr>
        <w:t> — </w:t>
      </w:r>
      <w:r>
        <w:t>Offences under section 120</w:t>
      </w:r>
    </w:p>
    <w:p>
      <w:pPr>
        <w:pStyle w:val="TOC4"/>
        <w:tabs>
          <w:tab w:val="right" w:pos="7077"/>
        </w:tabs>
        <w:rPr>
          <w:rFonts w:asciiTheme="minorHAnsi" w:eastAsiaTheme="minorEastAsia" w:hAnsiTheme="minorHAnsi" w:cstheme="minorBidi"/>
          <w:b w:val="0"/>
          <w:szCs w:val="22"/>
        </w:rPr>
      </w:pPr>
      <w:r>
        <w:t>Part 3</w:t>
      </w:r>
      <w:r>
        <w:rPr>
          <w:b w:val="0"/>
        </w:rPr>
        <w:t> — </w:t>
      </w:r>
      <w:r>
        <w:t>Other offence</w:t>
      </w:r>
    </w:p>
    <w:p>
      <w:pPr>
        <w:pStyle w:val="TOC2"/>
        <w:tabs>
          <w:tab w:val="right" w:pos="7077"/>
        </w:tabs>
        <w:rPr>
          <w:rFonts w:asciiTheme="minorHAnsi" w:eastAsiaTheme="minorEastAsia" w:hAnsiTheme="minorHAnsi" w:cstheme="minorBidi"/>
          <w:b w:val="0"/>
          <w:sz w:val="22"/>
          <w:szCs w:val="22"/>
        </w:rPr>
      </w:pPr>
      <w:r>
        <w:t>Schedule 6 — Forms</w:t>
      </w:r>
    </w:p>
    <w:p>
      <w:pPr>
        <w:pStyle w:val="TOC8"/>
        <w:rPr>
          <w:rFonts w:asciiTheme="minorHAnsi" w:eastAsiaTheme="minorEastAsia" w:hAnsiTheme="minorHAnsi" w:cstheme="minorBidi"/>
          <w:szCs w:val="22"/>
        </w:rPr>
      </w:pPr>
      <w:r>
        <w:t>Form 1 — Infringement notice</w:t>
      </w:r>
      <w:r>
        <w:tab/>
      </w:r>
      <w:r>
        <w:fldChar w:fldCharType="begin"/>
      </w:r>
      <w:r>
        <w:instrText xml:space="preserve"> PAGEREF _Toc155172981 \h </w:instrText>
      </w:r>
      <w:r>
        <w:fldChar w:fldCharType="separate"/>
      </w:r>
      <w:r>
        <w:t>31</w:t>
      </w:r>
      <w:r>
        <w:fldChar w:fldCharType="end"/>
      </w:r>
    </w:p>
    <w:p>
      <w:pPr>
        <w:pStyle w:val="TOC8"/>
        <w:rPr>
          <w:rFonts w:asciiTheme="minorHAnsi" w:eastAsiaTheme="minorEastAsia" w:hAnsiTheme="minorHAnsi" w:cstheme="minorBidi"/>
          <w:szCs w:val="22"/>
        </w:rPr>
      </w:pPr>
      <w:r>
        <w:t>Form 2 — Withdrawal of infringement notice</w:t>
      </w:r>
      <w:r>
        <w:tab/>
      </w:r>
      <w:r>
        <w:fldChar w:fldCharType="begin"/>
      </w:r>
      <w:r>
        <w:instrText xml:space="preserve"> PAGEREF _Toc155172982 \h </w:instrText>
      </w:r>
      <w:r>
        <w:fldChar w:fldCharType="separate"/>
      </w:r>
      <w:r>
        <w:t>33</w:t>
      </w:r>
      <w:r>
        <w:fldChar w:fldCharType="end"/>
      </w:r>
    </w:p>
    <w:p>
      <w:pPr>
        <w:pStyle w:val="TOC2"/>
        <w:tabs>
          <w:tab w:val="righ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_Toc155172984 \h </w:instrText>
      </w:r>
      <w:r>
        <w:fldChar w:fldCharType="separate"/>
      </w:r>
      <w:r>
        <w:t>35</w:t>
      </w:r>
      <w:r>
        <w:fldChar w:fldCharType="end"/>
      </w:r>
    </w:p>
    <w:p>
      <w:pPr>
        <w:pStyle w:val="TOC8"/>
        <w:rPr>
          <w:rFonts w:asciiTheme="minorHAnsi" w:eastAsiaTheme="minorEastAsia" w:hAnsiTheme="minorHAnsi" w:cstheme="minorBidi"/>
          <w:szCs w:val="22"/>
        </w:rPr>
      </w:pPr>
      <w:r>
        <w:t>Other notes</w:t>
      </w:r>
      <w:r>
        <w:tab/>
      </w:r>
      <w:r>
        <w:fldChar w:fldCharType="begin"/>
      </w:r>
      <w:r>
        <w:instrText xml:space="preserve"> PAGEREF _Toc155172985 \h </w:instrText>
      </w:r>
      <w:r>
        <w:fldChar w:fldCharType="separate"/>
      </w:r>
      <w:r>
        <w:t>40</w:t>
      </w:r>
      <w:r>
        <w:fldChar w:fldCharType="end"/>
      </w:r>
    </w:p>
    <w:p>
      <w:pPr>
        <w:pStyle w:val="TOC2"/>
        <w:tabs>
          <w:tab w:val="righ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rPr>
          <w:snapToGrid w:val="0"/>
        </w:rPr>
      </w:pPr>
      <w:r>
        <w:rPr>
          <w:snapToGrid w:val="0"/>
        </w:rPr>
        <w:lastRenderedPageBreak/>
        <w:t>Settlement Agents Act 1981</w:t>
      </w:r>
    </w:p>
    <w:p>
      <w:pPr>
        <w:pStyle w:val="NameofActReg"/>
        <w:spacing w:after="480"/>
      </w:pPr>
      <w:r>
        <w:t>Settlement Agents Regulations 1982</w:t>
      </w:r>
    </w:p>
    <w:p>
      <w:pPr>
        <w:pStyle w:val="Heading5"/>
        <w:rPr>
          <w:snapToGrid w:val="0"/>
        </w:rPr>
      </w:pPr>
      <w:bookmarkStart w:id="3" w:name="_Toc155172939"/>
      <w:r>
        <w:rPr>
          <w:rStyle w:val="CharSectno"/>
        </w:rPr>
        <w:t>1</w:t>
      </w:r>
      <w:r>
        <w:rPr>
          <w:snapToGrid w:val="0"/>
        </w:rPr>
        <w:t>.</w:t>
      </w:r>
      <w:r>
        <w:rPr>
          <w:snapToGrid w:val="0"/>
        </w:rPr>
        <w:tab/>
        <w:t>Citation</w:t>
      </w:r>
      <w:bookmarkEnd w:id="3"/>
    </w:p>
    <w:p>
      <w:pPr>
        <w:pStyle w:val="Subsection"/>
        <w:rPr>
          <w:snapToGrid w:val="0"/>
        </w:rPr>
      </w:pPr>
      <w:r>
        <w:rPr>
          <w:snapToGrid w:val="0"/>
        </w:rPr>
        <w:tab/>
      </w:r>
      <w:r>
        <w:rPr>
          <w:snapToGrid w:val="0"/>
        </w:rPr>
        <w:tab/>
        <w:t xml:space="preserve">These regulations may be cited as the </w:t>
      </w:r>
      <w:r>
        <w:rPr>
          <w:i/>
          <w:snapToGrid w:val="0"/>
        </w:rPr>
        <w:t>Settlement Agents Regulations 1982</w:t>
      </w:r>
      <w:r>
        <w:rPr>
          <w:snapToGrid w:val="0"/>
        </w:rPr>
        <w:t>.</w:t>
      </w:r>
    </w:p>
    <w:p>
      <w:pPr>
        <w:pStyle w:val="Heading5"/>
        <w:rPr>
          <w:snapToGrid w:val="0"/>
        </w:rPr>
      </w:pPr>
      <w:bookmarkStart w:id="4" w:name="_Toc155172940"/>
      <w:r>
        <w:rPr>
          <w:rStyle w:val="CharSectno"/>
        </w:rPr>
        <w:t>2</w:t>
      </w:r>
      <w:r>
        <w:rPr>
          <w:snapToGrid w:val="0"/>
        </w:rPr>
        <w:t>.</w:t>
      </w:r>
      <w:r>
        <w:rPr>
          <w:snapToGrid w:val="0"/>
        </w:rPr>
        <w:tab/>
        <w:t>Terms used</w:t>
      </w:r>
      <w:bookmarkEnd w:id="4"/>
    </w:p>
    <w:p>
      <w:pPr>
        <w:pStyle w:val="Subsection"/>
        <w:rPr>
          <w:snapToGrid w:val="0"/>
        </w:rPr>
      </w:pPr>
      <w:r>
        <w:rPr>
          <w:snapToGrid w:val="0"/>
        </w:rPr>
        <w:tab/>
      </w:r>
      <w:r>
        <w:rPr>
          <w:snapToGrid w:val="0"/>
        </w:rPr>
        <w:tab/>
        <w:t>In these regulations, unless the contrary intention appears —</w:t>
      </w:r>
    </w:p>
    <w:p>
      <w:pPr>
        <w:pStyle w:val="Defstart"/>
      </w:pPr>
      <w:r>
        <w:tab/>
      </w:r>
      <w:r>
        <w:rPr>
          <w:rStyle w:val="CharDefText"/>
        </w:rPr>
        <w:t>approved educational activity</w:t>
      </w:r>
      <w:r>
        <w:t>, for a calendar year, means an educational activity approved for the year under regulation 4D;</w:t>
      </w:r>
    </w:p>
    <w:p>
      <w:pPr>
        <w:pStyle w:val="Defstart"/>
      </w:pPr>
      <w:r>
        <w:tab/>
      </w:r>
      <w:r>
        <w:rPr>
          <w:rStyle w:val="CharDefText"/>
        </w:rPr>
        <w:t>core professional development subject</w:t>
      </w:r>
      <w:r>
        <w:t>, for a calendar year, means a professional development subject that the Commissioner approves as a core professional development subject for the year under regulation 4D(1)(a)(i);</w:t>
      </w:r>
    </w:p>
    <w:p>
      <w:pPr>
        <w:pStyle w:val="Defstart"/>
      </w:pPr>
      <w:r>
        <w:tab/>
      </w:r>
      <w:r>
        <w:rPr>
          <w:rStyle w:val="CharDefText"/>
        </w:rPr>
        <w:t>educational activity</w:t>
      </w:r>
      <w:r>
        <w:t xml:space="preserve"> — </w:t>
      </w:r>
    </w:p>
    <w:p>
      <w:pPr>
        <w:pStyle w:val="Defpara"/>
      </w:pPr>
      <w:r>
        <w:tab/>
        <w:t>(a)</w:t>
      </w:r>
      <w:r>
        <w:tab/>
        <w:t xml:space="preserve">means an activity that relates to a professional development subject that is — </w:t>
      </w:r>
    </w:p>
    <w:p>
      <w:pPr>
        <w:pStyle w:val="Defsubpara"/>
      </w:pPr>
      <w:r>
        <w:tab/>
        <w:t>(i)</w:t>
      </w:r>
      <w:r>
        <w:tab/>
        <w:t>delivered in person, electronically or by audio or audiovisual means; or</w:t>
      </w:r>
    </w:p>
    <w:p>
      <w:pPr>
        <w:pStyle w:val="Defsubpara"/>
      </w:pPr>
      <w:r>
        <w:tab/>
        <w:t>(ii)</w:t>
      </w:r>
      <w:r>
        <w:tab/>
        <w:t>a recording;</w:t>
      </w:r>
    </w:p>
    <w:p>
      <w:pPr>
        <w:pStyle w:val="Defpara"/>
      </w:pPr>
      <w:r>
        <w:tab/>
      </w:r>
      <w:r>
        <w:tab/>
        <w:t>and</w:t>
      </w:r>
    </w:p>
    <w:p>
      <w:pPr>
        <w:pStyle w:val="Defpara"/>
      </w:pPr>
      <w:r>
        <w:tab/>
        <w:t>(b)</w:t>
      </w:r>
      <w:r>
        <w:tab/>
        <w:t xml:space="preserve">includes — </w:t>
      </w:r>
    </w:p>
    <w:p>
      <w:pPr>
        <w:pStyle w:val="Defsubpara"/>
      </w:pPr>
      <w:r>
        <w:tab/>
        <w:t>(i)</w:t>
      </w:r>
      <w:r>
        <w:tab/>
        <w:t>a course of study; and</w:t>
      </w:r>
    </w:p>
    <w:p>
      <w:pPr>
        <w:pStyle w:val="Defsubpara"/>
      </w:pPr>
      <w:r>
        <w:tab/>
        <w:t>(ii)</w:t>
      </w:r>
      <w:r>
        <w:tab/>
        <w:t>the successful completion of any assessment required by the activity;</w:t>
      </w:r>
    </w:p>
    <w:p>
      <w:pPr>
        <w:pStyle w:val="Defstart"/>
      </w:pPr>
      <w:r>
        <w:tab/>
      </w:r>
      <w:r>
        <w:rPr>
          <w:rStyle w:val="CharDefText"/>
        </w:rPr>
        <w:t>point value</w:t>
      </w:r>
      <w:r>
        <w:t>, in relation to an approved educational activity, means the point value approved for the activity by the Commissioner under regulation 4D(3)(a);</w:t>
      </w:r>
    </w:p>
    <w:p>
      <w:pPr>
        <w:pStyle w:val="Defstart"/>
      </w:pPr>
      <w:r>
        <w:lastRenderedPageBreak/>
        <w:tab/>
      </w:r>
      <w:r>
        <w:rPr>
          <w:rStyle w:val="CharDefText"/>
        </w:rPr>
        <w:t>professional development subject</w:t>
      </w:r>
      <w:r>
        <w:t xml:space="preserve"> means a subject listed in Schedule 1A;</w:t>
      </w:r>
    </w:p>
    <w:p>
      <w:pPr>
        <w:pStyle w:val="Defstart"/>
      </w:pPr>
      <w:r>
        <w:rPr>
          <w:b/>
        </w:rPr>
        <w:tab/>
      </w:r>
      <w:r>
        <w:rPr>
          <w:rStyle w:val="CharDefText"/>
        </w:rPr>
        <w:t>record</w:t>
      </w:r>
      <w:r>
        <w:t xml:space="preserve"> means a record under section 50(1)(b) of the Act;</w:t>
      </w:r>
    </w:p>
    <w:p>
      <w:pPr>
        <w:pStyle w:val="Defstart"/>
      </w:pPr>
      <w:r>
        <w:rPr>
          <w:b/>
        </w:rPr>
        <w:tab/>
      </w:r>
      <w:r>
        <w:rPr>
          <w:rStyle w:val="CharDefText"/>
        </w:rPr>
        <w:t>register</w:t>
      </w:r>
      <w:r>
        <w:t xml:space="preserve"> means the register referred to in regulation 7(b);</w:t>
      </w:r>
    </w:p>
    <w:p>
      <w:pPr>
        <w:pStyle w:val="Defstart"/>
      </w:pPr>
      <w:r>
        <w:rPr>
          <w:b/>
        </w:rPr>
        <w:tab/>
      </w:r>
      <w:r>
        <w:rPr>
          <w:rStyle w:val="CharDefText"/>
        </w:rPr>
        <w:t>working day</w:t>
      </w:r>
      <w:r>
        <w:t xml:space="preserve"> means a day that is not a Saturday, Sunday, public holiday or public service holiday.</w:t>
      </w:r>
    </w:p>
    <w:p>
      <w:pPr>
        <w:pStyle w:val="Footnotesection"/>
      </w:pPr>
      <w:r>
        <w:tab/>
        <w:t>[Regulation 2 inserted: Gazette 25 Jun 1996 p. 2925</w:t>
      </w:r>
      <w:r>
        <w:noBreakHyphen/>
        <w:t>6; amended: Gazette 28 Dec 2007 p. 6408; SL 2020/196 r. 60; SL 2020/259 r. 4; SL 2021/86 r. 67.]</w:t>
      </w:r>
    </w:p>
    <w:p>
      <w:pPr>
        <w:pStyle w:val="Ednotesection"/>
      </w:pPr>
      <w:r>
        <w:t>[</w:t>
      </w:r>
      <w:r>
        <w:rPr>
          <w:b/>
        </w:rPr>
        <w:t>3.</w:t>
      </w:r>
      <w:r>
        <w:tab/>
        <w:t>Deleted: Gazette 30 Jun 2011 p. 2675.]</w:t>
      </w:r>
    </w:p>
    <w:p>
      <w:pPr>
        <w:pStyle w:val="Heading5"/>
        <w:rPr>
          <w:snapToGrid w:val="0"/>
        </w:rPr>
      </w:pPr>
      <w:bookmarkStart w:id="5" w:name="_Toc155172941"/>
      <w:r>
        <w:rPr>
          <w:rStyle w:val="CharSectno"/>
        </w:rPr>
        <w:t>4</w:t>
      </w:r>
      <w:r>
        <w:rPr>
          <w:snapToGrid w:val="0"/>
        </w:rPr>
        <w:t>.</w:t>
      </w:r>
      <w:r>
        <w:rPr>
          <w:snapToGrid w:val="0"/>
        </w:rPr>
        <w:tab/>
        <w:t>Fees</w:t>
      </w:r>
      <w:bookmarkEnd w:id="5"/>
    </w:p>
    <w:p>
      <w:pPr>
        <w:pStyle w:val="Subsection"/>
        <w:rPr>
          <w:snapToGrid w:val="0"/>
        </w:rPr>
      </w:pPr>
      <w:r>
        <w:rPr>
          <w:snapToGrid w:val="0"/>
        </w:rPr>
        <w:tab/>
      </w:r>
      <w:r>
        <w:rPr>
          <w:snapToGrid w:val="0"/>
        </w:rPr>
        <w:tab/>
        <w:t>The fees set out in Schedule 1 shall be payable in respect of the matters prescribed in that Schedule.</w:t>
      </w:r>
    </w:p>
    <w:p>
      <w:pPr>
        <w:pStyle w:val="Footnotesection"/>
      </w:pPr>
      <w:r>
        <w:tab/>
        <w:t>[Regulation 4 amended: Gazette 29 Oct 1982 p. 4323</w:t>
      </w:r>
      <w:r>
        <w:noBreakHyphen/>
        <w:t>4; 23 May 1997 p. 2420.]</w:t>
      </w:r>
    </w:p>
    <w:p>
      <w:pPr>
        <w:pStyle w:val="Heading5"/>
        <w:rPr>
          <w:snapToGrid w:val="0"/>
        </w:rPr>
      </w:pPr>
      <w:bookmarkStart w:id="6" w:name="_Toc155172942"/>
      <w:r>
        <w:rPr>
          <w:rStyle w:val="CharSectno"/>
        </w:rPr>
        <w:t>4A</w:t>
      </w:r>
      <w:r>
        <w:rPr>
          <w:snapToGrid w:val="0"/>
        </w:rPr>
        <w:t>.</w:t>
      </w:r>
      <w:r>
        <w:rPr>
          <w:snapToGrid w:val="0"/>
        </w:rPr>
        <w:tab/>
        <w:t>Holding fee</w:t>
      </w:r>
      <w:bookmarkEnd w:id="6"/>
    </w:p>
    <w:p>
      <w:pPr>
        <w:pStyle w:val="Subsection"/>
        <w:rPr>
          <w:snapToGrid w:val="0"/>
        </w:rPr>
      </w:pPr>
      <w:r>
        <w:rPr>
          <w:snapToGrid w:val="0"/>
        </w:rPr>
        <w:tab/>
        <w:t>(1)</w:t>
      </w:r>
      <w:r>
        <w:rPr>
          <w:snapToGrid w:val="0"/>
        </w:rPr>
        <w:tab/>
        <w:t>In this regulation —</w:t>
      </w:r>
    </w:p>
    <w:p>
      <w:pPr>
        <w:pStyle w:val="Defstart"/>
      </w:pPr>
      <w:r>
        <w:rPr>
          <w:b/>
        </w:rPr>
        <w:tab/>
      </w:r>
      <w:r>
        <w:rPr>
          <w:rStyle w:val="CharDefText"/>
        </w:rPr>
        <w:t>holding fee</w:t>
      </w:r>
      <w:r>
        <w:t xml:space="preserve"> means the fee set out in Schedule 1 item 9 and referred to in section 30(3a)(b) of the Act.</w:t>
      </w:r>
    </w:p>
    <w:p>
      <w:pPr>
        <w:pStyle w:val="Subsection"/>
      </w:pPr>
      <w:r>
        <w:tab/>
        <w:t>(2)</w:t>
      </w:r>
      <w:r>
        <w:tab/>
        <w:t xml:space="preserve">The holding fee is payable — </w:t>
      </w:r>
    </w:p>
    <w:p>
      <w:pPr>
        <w:pStyle w:val="Indenta"/>
        <w:rPr>
          <w:snapToGrid w:val="0"/>
        </w:rPr>
      </w:pPr>
      <w:r>
        <w:rPr>
          <w:snapToGrid w:val="0"/>
        </w:rPr>
        <w:tab/>
        <w:t>(a)</w:t>
      </w:r>
      <w:r>
        <w:rPr>
          <w:snapToGrid w:val="0"/>
        </w:rPr>
        <w:tab/>
        <w:t xml:space="preserve">on or before the day that is 60 days after the day on which a licensee ceases to hold a current triennial certificate in respect of their licence; and </w:t>
      </w:r>
    </w:p>
    <w:p>
      <w:pPr>
        <w:pStyle w:val="Indenta"/>
      </w:pPr>
      <w:r>
        <w:tab/>
        <w:t>(b)</w:t>
      </w:r>
      <w:r>
        <w:tab/>
        <w:t>subsequently at 3</w:t>
      </w:r>
      <w:r>
        <w:noBreakHyphen/>
        <w:t>year intervals on or before the day in that year that is 30 days after the anniversary of the day on which the licensee pays the holding fee under paragraph (a).</w:t>
      </w:r>
    </w:p>
    <w:p>
      <w:pPr>
        <w:pStyle w:val="Subsection"/>
        <w:keepNext/>
        <w:keepLines/>
        <w:rPr>
          <w:snapToGrid w:val="0"/>
        </w:rPr>
      </w:pPr>
      <w:r>
        <w:rPr>
          <w:snapToGrid w:val="0"/>
        </w:rPr>
        <w:lastRenderedPageBreak/>
        <w:tab/>
        <w:t>(3)</w:t>
      </w:r>
      <w:r>
        <w:rPr>
          <w:snapToGrid w:val="0"/>
        </w:rPr>
        <w:tab/>
        <w:t xml:space="preserve">The </w:t>
      </w:r>
      <w:r>
        <w:t>Commissioner</w:t>
      </w:r>
      <w:r>
        <w:rPr>
          <w:snapToGrid w:val="0"/>
        </w:rPr>
        <w:t xml:space="preserve"> may refund to a licensee —</w:t>
      </w:r>
    </w:p>
    <w:p>
      <w:pPr>
        <w:pStyle w:val="Indenta"/>
        <w:rPr>
          <w:snapToGrid w:val="0"/>
        </w:rPr>
      </w:pPr>
      <w:r>
        <w:rPr>
          <w:snapToGrid w:val="0"/>
        </w:rPr>
        <w:tab/>
        <w:t>(a)</w:t>
      </w:r>
      <w:r>
        <w:rPr>
          <w:snapToGrid w:val="0"/>
        </w:rPr>
        <w:tab/>
        <w:t>two</w:t>
      </w:r>
      <w:r>
        <w:rPr>
          <w:snapToGrid w:val="0"/>
        </w:rPr>
        <w:noBreakHyphen/>
        <w:t>thirds of the holding fee paid by the licensee if the licensee is granted a triennial certificate less than one year after paying the holding fee; or</w:t>
      </w:r>
    </w:p>
    <w:p>
      <w:pPr>
        <w:pStyle w:val="Indenta"/>
        <w:rPr>
          <w:snapToGrid w:val="0"/>
        </w:rPr>
      </w:pPr>
      <w:r>
        <w:rPr>
          <w:snapToGrid w:val="0"/>
        </w:rPr>
        <w:tab/>
        <w:t>(b)</w:t>
      </w:r>
      <w:r>
        <w:rPr>
          <w:snapToGrid w:val="0"/>
        </w:rPr>
        <w:tab/>
        <w:t>one</w:t>
      </w:r>
      <w:r>
        <w:rPr>
          <w:snapToGrid w:val="0"/>
        </w:rPr>
        <w:noBreakHyphen/>
        <w:t>third of the holding fee paid by the licensee if the licensee is granted a triennial certificate one year or more, but less than 2 years, after paying the holding fee.</w:t>
      </w:r>
    </w:p>
    <w:p>
      <w:pPr>
        <w:pStyle w:val="Footnotesection"/>
      </w:pPr>
      <w:r>
        <w:tab/>
        <w:t>[Regulation 4A inserted: Gazette 2 Aug 1996 p. 3731</w:t>
      </w:r>
      <w:r>
        <w:noBreakHyphen/>
        <w:t>2; amended: Gazette 23 May 1997 p. 2420; 30 Jun 2011 p. 2676; 18 Jun 2019 p. 2114; SL 2020/259 r. 5.]</w:t>
      </w:r>
    </w:p>
    <w:p>
      <w:pPr>
        <w:pStyle w:val="Ednotesection"/>
      </w:pPr>
      <w:r>
        <w:t>[</w:t>
      </w:r>
      <w:r>
        <w:rPr>
          <w:b/>
        </w:rPr>
        <w:t>4AA.</w:t>
      </w:r>
      <w:r>
        <w:tab/>
        <w:t>Deleted: SL 2021/86 r. 68.]</w:t>
      </w:r>
    </w:p>
    <w:p>
      <w:pPr>
        <w:pStyle w:val="Heading5"/>
      </w:pPr>
      <w:bookmarkStart w:id="7" w:name="_Toc155172943"/>
      <w:r>
        <w:rPr>
          <w:rStyle w:val="CharSectno"/>
        </w:rPr>
        <w:t>4B</w:t>
      </w:r>
      <w:r>
        <w:t>.</w:t>
      </w:r>
      <w:r>
        <w:tab/>
        <w:t>Educational requirements (Act s. 41B)</w:t>
      </w:r>
      <w:bookmarkEnd w:id="7"/>
    </w:p>
    <w:p>
      <w:pPr>
        <w:pStyle w:val="Subsection"/>
      </w:pPr>
      <w:r>
        <w:tab/>
        <w:t>(1)</w:t>
      </w:r>
      <w:r>
        <w:tab/>
        <w:t xml:space="preserve">For the purposes of section 41B of the Act, the prescribed educational requirements for a calendar year for a licensee who is an individual are that the licensee complete approved educational activities for the calendar year that — </w:t>
      </w:r>
    </w:p>
    <w:p>
      <w:pPr>
        <w:pStyle w:val="Indenta"/>
      </w:pPr>
      <w:r>
        <w:tab/>
        <w:t>(a)</w:t>
      </w:r>
      <w:r>
        <w:tab/>
        <w:t>have a combined point value of at least 6 points; and</w:t>
      </w:r>
    </w:p>
    <w:p>
      <w:pPr>
        <w:pStyle w:val="Indenta"/>
      </w:pPr>
      <w:r>
        <w:tab/>
        <w:t>(b)</w:t>
      </w:r>
      <w:r>
        <w:tab/>
        <w:t xml:space="preserve">include at least 2 activities that relate to 2 of the core professional development subjects for the calendar year. </w:t>
      </w:r>
    </w:p>
    <w:p>
      <w:pPr>
        <w:pStyle w:val="Subsection"/>
      </w:pPr>
      <w:r>
        <w:tab/>
        <w:t>(2)</w:t>
      </w:r>
      <w:r>
        <w:tab/>
        <w:t xml:space="preserve">A licensee is taken to have complied with subregulation (1) for a calendar year if — </w:t>
      </w:r>
    </w:p>
    <w:p>
      <w:pPr>
        <w:pStyle w:val="Indenta"/>
      </w:pPr>
      <w:r>
        <w:tab/>
        <w:t>(a)</w:t>
      </w:r>
      <w:r>
        <w:tab/>
        <w:t xml:space="preserve">both of the following apply — </w:t>
      </w:r>
    </w:p>
    <w:p>
      <w:pPr>
        <w:pStyle w:val="Indenti"/>
      </w:pPr>
      <w:r>
        <w:tab/>
        <w:t>(i)</w:t>
      </w:r>
      <w:r>
        <w:tab/>
        <w:t xml:space="preserve">the licensee’s licence is granted between 1 October and 31 December of the calendar year; </w:t>
      </w:r>
    </w:p>
    <w:p>
      <w:pPr>
        <w:pStyle w:val="Indenti"/>
      </w:pPr>
      <w:r>
        <w:tab/>
        <w:t>(ii)</w:t>
      </w:r>
      <w:r>
        <w:tab/>
        <w:t xml:space="preserve">the licensee completed a prescribed examination for the grant of the licence in the 12 months immediately before the day on which the licence is granted; </w:t>
      </w:r>
    </w:p>
    <w:p>
      <w:pPr>
        <w:pStyle w:val="Indenta"/>
      </w:pPr>
      <w:r>
        <w:tab/>
      </w:r>
      <w:r>
        <w:tab/>
        <w:t>or</w:t>
      </w:r>
    </w:p>
    <w:p>
      <w:pPr>
        <w:pStyle w:val="Indenta"/>
        <w:keepNext/>
      </w:pPr>
      <w:r>
        <w:lastRenderedPageBreak/>
        <w:tab/>
        <w:t>(b)</w:t>
      </w:r>
      <w:r>
        <w:tab/>
        <w:t xml:space="preserve">both of the following apply — </w:t>
      </w:r>
    </w:p>
    <w:p>
      <w:pPr>
        <w:pStyle w:val="Indenti"/>
      </w:pPr>
      <w:r>
        <w:tab/>
        <w:t>(i)</w:t>
      </w:r>
      <w:r>
        <w:tab/>
        <w:t xml:space="preserve">the Commissioner grants the licensee an exemption under regulation 4C from all or part of the educational requirements for the calendar year; </w:t>
      </w:r>
    </w:p>
    <w:p>
      <w:pPr>
        <w:pStyle w:val="Indenti"/>
      </w:pPr>
      <w:r>
        <w:tab/>
        <w:t>(ii)</w:t>
      </w:r>
      <w:r>
        <w:tab/>
        <w:t xml:space="preserve">the licensee complies with the requirements of the exemption. </w:t>
      </w:r>
    </w:p>
    <w:p>
      <w:pPr>
        <w:pStyle w:val="Subsection"/>
      </w:pPr>
      <w:r>
        <w:tab/>
        <w:t>(3)</w:t>
      </w:r>
      <w:r>
        <w:tab/>
        <w:t>If a licensee commences an educational activity in a calendar year before the Commissioner’s approval of the activity as an approved educational activity under regulation 4D, the licensee is taken not to have completed the activity for the purposes of subregulation (1).</w:t>
      </w:r>
    </w:p>
    <w:p>
      <w:pPr>
        <w:pStyle w:val="Footnotesection"/>
        <w:spacing w:before="80"/>
        <w:ind w:left="890" w:hanging="890"/>
      </w:pPr>
      <w:r>
        <w:tab/>
        <w:t>[Regulation 4B inserted: SL 2020/259 r. 6.]</w:t>
      </w:r>
    </w:p>
    <w:p>
      <w:pPr>
        <w:pStyle w:val="Heading5"/>
      </w:pPr>
      <w:bookmarkStart w:id="8" w:name="_Toc155172944"/>
      <w:r>
        <w:rPr>
          <w:rStyle w:val="CharSectno"/>
        </w:rPr>
        <w:t>4C</w:t>
      </w:r>
      <w:r>
        <w:t>.</w:t>
      </w:r>
      <w:r>
        <w:tab/>
        <w:t>Exemption from educational requirements</w:t>
      </w:r>
      <w:bookmarkEnd w:id="8"/>
    </w:p>
    <w:p>
      <w:pPr>
        <w:pStyle w:val="Subsection"/>
      </w:pPr>
      <w:r>
        <w:tab/>
        <w:t>(1)</w:t>
      </w:r>
      <w:r>
        <w:tab/>
        <w:t xml:space="preserve">A licensee (the </w:t>
      </w:r>
      <w:r>
        <w:rPr>
          <w:rStyle w:val="CharDefText"/>
        </w:rPr>
        <w:t>applicant</w:t>
      </w:r>
      <w:r>
        <w:t xml:space="preserve">) may apply to the Commissioner for a total or partial exemption from the educational requirements under regulation 4B(1) for a calendar year. </w:t>
      </w:r>
    </w:p>
    <w:p>
      <w:pPr>
        <w:pStyle w:val="Subsection"/>
      </w:pPr>
      <w:r>
        <w:tab/>
        <w:t>(2)</w:t>
      </w:r>
      <w:r>
        <w:tab/>
        <w:t xml:space="preserve">The application for the exemption must — </w:t>
      </w:r>
    </w:p>
    <w:p>
      <w:pPr>
        <w:pStyle w:val="Indenta"/>
      </w:pPr>
      <w:r>
        <w:tab/>
        <w:t>(a)</w:t>
      </w:r>
      <w:r>
        <w:tab/>
        <w:t>be made in the calendar year to which the application relates; and</w:t>
      </w:r>
    </w:p>
    <w:p>
      <w:pPr>
        <w:pStyle w:val="Indenta"/>
      </w:pPr>
      <w:r>
        <w:tab/>
        <w:t>(b)</w:t>
      </w:r>
      <w:r>
        <w:tab/>
        <w:t xml:space="preserve">set out in sufficient detail — </w:t>
      </w:r>
    </w:p>
    <w:p>
      <w:pPr>
        <w:pStyle w:val="Indenti"/>
      </w:pPr>
      <w:r>
        <w:tab/>
        <w:t>(i)</w:t>
      </w:r>
      <w:r>
        <w:tab/>
        <w:t xml:space="preserve">the exemption applied for, including whether the application is for a total or partial exemption; and </w:t>
      </w:r>
    </w:p>
    <w:p>
      <w:pPr>
        <w:pStyle w:val="Indenti"/>
      </w:pPr>
      <w:r>
        <w:tab/>
        <w:t>(ii)</w:t>
      </w:r>
      <w:r>
        <w:tab/>
        <w:t>the basis upon which the exemption is being sought;</w:t>
      </w:r>
    </w:p>
    <w:p>
      <w:pPr>
        <w:pStyle w:val="Indenta"/>
      </w:pPr>
      <w:r>
        <w:tab/>
      </w:r>
      <w:r>
        <w:tab/>
        <w:t>and</w:t>
      </w:r>
    </w:p>
    <w:p>
      <w:pPr>
        <w:pStyle w:val="Indenta"/>
      </w:pPr>
      <w:r>
        <w:tab/>
        <w:t>(c)</w:t>
      </w:r>
      <w:r>
        <w:tab/>
        <w:t>otherwise be in the approved form.</w:t>
      </w:r>
    </w:p>
    <w:p>
      <w:pPr>
        <w:pStyle w:val="Subsection"/>
      </w:pPr>
      <w:r>
        <w:tab/>
        <w:t>(3)</w:t>
      </w:r>
      <w:r>
        <w:tab/>
        <w:t xml:space="preserve">The Commissioner may grant the applicant the exemption if the Commissioner considers it appropriate to do so. </w:t>
      </w:r>
    </w:p>
    <w:p>
      <w:pPr>
        <w:pStyle w:val="Subsection"/>
      </w:pPr>
      <w:r>
        <w:lastRenderedPageBreak/>
        <w:tab/>
        <w:t>(4)</w:t>
      </w:r>
      <w:r>
        <w:tab/>
        <w:t xml:space="preserve">Without limiting subregulation (3), the Commissioner may grant the applicant the exemption if, during the calendar year to which the application relates, the applicant — </w:t>
      </w:r>
    </w:p>
    <w:p>
      <w:pPr>
        <w:pStyle w:val="Indenta"/>
      </w:pPr>
      <w:r>
        <w:tab/>
        <w:t>(a)</w:t>
      </w:r>
      <w:r>
        <w:tab/>
        <w:t>has a disability or is affected by illness or injury; or</w:t>
      </w:r>
    </w:p>
    <w:p>
      <w:pPr>
        <w:pStyle w:val="Indenta"/>
      </w:pPr>
      <w:r>
        <w:tab/>
        <w:t>(b)</w:t>
      </w:r>
      <w:r>
        <w:tab/>
        <w:t>has undertaken other educational or professional activities; or</w:t>
      </w:r>
    </w:p>
    <w:p>
      <w:pPr>
        <w:pStyle w:val="Indenta"/>
      </w:pPr>
      <w:r>
        <w:tab/>
        <w:t>(c)</w:t>
      </w:r>
      <w:r>
        <w:tab/>
        <w:t>would suffer undue hardship if required to comply with the educational requirements.</w:t>
      </w:r>
    </w:p>
    <w:p>
      <w:pPr>
        <w:pStyle w:val="Subsection"/>
      </w:pPr>
      <w:r>
        <w:tab/>
        <w:t>(5)</w:t>
      </w:r>
      <w:r>
        <w:tab/>
        <w:t xml:space="preserve">The Commissioner may grant the exemption subject to conditions. </w:t>
      </w:r>
    </w:p>
    <w:p>
      <w:pPr>
        <w:pStyle w:val="Subsection"/>
      </w:pPr>
      <w:r>
        <w:tab/>
        <w:t>(6)</w:t>
      </w:r>
      <w:r>
        <w:tab/>
        <w:t xml:space="preserve">The Commissioner must give the applicant a notice in writing setting out — </w:t>
      </w:r>
    </w:p>
    <w:p>
      <w:pPr>
        <w:pStyle w:val="Indenta"/>
      </w:pPr>
      <w:r>
        <w:tab/>
        <w:t>(a)</w:t>
      </w:r>
      <w:r>
        <w:tab/>
        <w:t>the Commissioner’s decision on the application; and</w:t>
      </w:r>
    </w:p>
    <w:p>
      <w:pPr>
        <w:pStyle w:val="Indenta"/>
      </w:pPr>
      <w:r>
        <w:tab/>
        <w:t>(b)</w:t>
      </w:r>
      <w:r>
        <w:tab/>
        <w:t xml:space="preserve">if the decision is to grant the exemption — </w:t>
      </w:r>
    </w:p>
    <w:p>
      <w:pPr>
        <w:pStyle w:val="Indenti"/>
      </w:pPr>
      <w:r>
        <w:tab/>
        <w:t>(i)</w:t>
      </w:r>
      <w:r>
        <w:tab/>
        <w:t>whether the exemption is a total or partial exemption; and</w:t>
      </w:r>
    </w:p>
    <w:p>
      <w:pPr>
        <w:pStyle w:val="Indenti"/>
      </w:pPr>
      <w:r>
        <w:tab/>
        <w:t>(ii)</w:t>
      </w:r>
      <w:r>
        <w:tab/>
        <w:t>if the exemption is a partial exemption — the educational requirements the applicant must comply with; and</w:t>
      </w:r>
    </w:p>
    <w:p>
      <w:pPr>
        <w:pStyle w:val="Indenti"/>
      </w:pPr>
      <w:r>
        <w:tab/>
        <w:t>(iii)</w:t>
      </w:r>
      <w:r>
        <w:tab/>
        <w:t>any conditions to which the exemption is subject.</w:t>
      </w:r>
    </w:p>
    <w:p>
      <w:pPr>
        <w:pStyle w:val="Footnotesection"/>
        <w:spacing w:before="80"/>
        <w:ind w:left="890" w:hanging="890"/>
      </w:pPr>
      <w:r>
        <w:tab/>
        <w:t>[Regulation 4C inserted: SL 2020/259 r. 6.]</w:t>
      </w:r>
    </w:p>
    <w:p>
      <w:pPr>
        <w:pStyle w:val="Heading5"/>
      </w:pPr>
      <w:bookmarkStart w:id="9" w:name="_Toc155172945"/>
      <w:r>
        <w:rPr>
          <w:rStyle w:val="CharSectno"/>
        </w:rPr>
        <w:t>4D</w:t>
      </w:r>
      <w:r>
        <w:t>.</w:t>
      </w:r>
      <w:r>
        <w:tab/>
        <w:t>Commissioner to approve educational activities</w:t>
      </w:r>
      <w:bookmarkEnd w:id="9"/>
    </w:p>
    <w:p>
      <w:pPr>
        <w:pStyle w:val="Subsection"/>
      </w:pPr>
      <w:r>
        <w:tab/>
        <w:t>(1)</w:t>
      </w:r>
      <w:r>
        <w:tab/>
        <w:t xml:space="preserve">Before 1 January of a calendar year, the Commissioner — </w:t>
      </w:r>
    </w:p>
    <w:p>
      <w:pPr>
        <w:pStyle w:val="Indenta"/>
      </w:pPr>
      <w:r>
        <w:tab/>
        <w:t>(a)</w:t>
      </w:r>
      <w:r>
        <w:tab/>
        <w:t xml:space="preserve">must, by written notice — </w:t>
      </w:r>
    </w:p>
    <w:p>
      <w:pPr>
        <w:pStyle w:val="Indenti"/>
      </w:pPr>
      <w:r>
        <w:tab/>
        <w:t>(i)</w:t>
      </w:r>
      <w:r>
        <w:tab/>
        <w:t>approve 4 professional development subjects as core professional development subjects for the year; and</w:t>
      </w:r>
    </w:p>
    <w:p>
      <w:pPr>
        <w:pStyle w:val="Indenti"/>
      </w:pPr>
      <w:r>
        <w:tab/>
        <w:t>(ii)</w:t>
      </w:r>
      <w:r>
        <w:tab/>
        <w:t>approve 1 or more educational activities in respect of each core professional development subject for the year;</w:t>
      </w:r>
    </w:p>
    <w:p>
      <w:pPr>
        <w:pStyle w:val="Indenta"/>
      </w:pPr>
      <w:r>
        <w:lastRenderedPageBreak/>
        <w:tab/>
      </w:r>
      <w:r>
        <w:tab/>
        <w:t>and</w:t>
      </w:r>
    </w:p>
    <w:p>
      <w:pPr>
        <w:pStyle w:val="Indenta"/>
      </w:pPr>
      <w:r>
        <w:tab/>
        <w:t>(b)</w:t>
      </w:r>
      <w:r>
        <w:tab/>
        <w:t>may, by written notice, approve 1 or more educational activities for the year in respect of any other professional development subject.</w:t>
      </w:r>
    </w:p>
    <w:p>
      <w:pPr>
        <w:pStyle w:val="Subsection"/>
      </w:pPr>
      <w:r>
        <w:tab/>
        <w:t>(2)</w:t>
      </w:r>
      <w:r>
        <w:tab/>
        <w:t xml:space="preserve">After 1 January of a calendar year, the Commissioner may, by written notice, approve for the year an educational activity as an approved educational activity for the year in respect of a professional development subject. </w:t>
      </w:r>
    </w:p>
    <w:p>
      <w:pPr>
        <w:pStyle w:val="Subsection"/>
      </w:pPr>
      <w:r>
        <w:tab/>
        <w:t>(3)</w:t>
      </w:r>
      <w:r>
        <w:tab/>
        <w:t xml:space="preserve">The Commissioner must — </w:t>
      </w:r>
    </w:p>
    <w:p>
      <w:pPr>
        <w:pStyle w:val="Indenta"/>
      </w:pPr>
      <w:r>
        <w:tab/>
        <w:t>(a)</w:t>
      </w:r>
      <w:r>
        <w:tab/>
        <w:t>approve a point value for undertaking each approved educational activity; and</w:t>
      </w:r>
    </w:p>
    <w:p>
      <w:pPr>
        <w:pStyle w:val="Indenta"/>
      </w:pPr>
      <w:r>
        <w:tab/>
        <w:t>(b)</w:t>
      </w:r>
      <w:r>
        <w:tab/>
        <w:t>ensure that the approved educational activities approved under subregulation (1) for each licensee have a combined point value of at least 6 points.</w:t>
      </w:r>
    </w:p>
    <w:p>
      <w:pPr>
        <w:pStyle w:val="Subsection"/>
      </w:pPr>
      <w:r>
        <w:tab/>
        <w:t>(4)</w:t>
      </w:r>
      <w:r>
        <w:tab/>
        <w:t xml:space="preserve">The Commissioner may approve — </w:t>
      </w:r>
    </w:p>
    <w:p>
      <w:pPr>
        <w:pStyle w:val="Indenta"/>
      </w:pPr>
      <w:r>
        <w:tab/>
        <w:t>(a)</w:t>
      </w:r>
      <w:r>
        <w:tab/>
        <w:t>an approved educational activity for particular licensees or particular classes of licensees; and</w:t>
      </w:r>
    </w:p>
    <w:p>
      <w:pPr>
        <w:pStyle w:val="Indenta"/>
      </w:pPr>
      <w:r>
        <w:tab/>
        <w:t>(b)</w:t>
      </w:r>
      <w:r>
        <w:tab/>
        <w:t>a different point value for an approved CPD activity for particular licensees or particular classes of licensees; and</w:t>
      </w:r>
    </w:p>
    <w:p>
      <w:pPr>
        <w:pStyle w:val="Indenta"/>
      </w:pPr>
      <w:r>
        <w:tab/>
        <w:t>(c)</w:t>
      </w:r>
      <w:r>
        <w:tab/>
        <w:t>different core professional development subjects for particular licensees or particular classes of licensees.</w:t>
      </w:r>
    </w:p>
    <w:p>
      <w:pPr>
        <w:pStyle w:val="Subsection"/>
      </w:pPr>
      <w:r>
        <w:tab/>
        <w:t>(5)</w:t>
      </w:r>
      <w:r>
        <w:tab/>
        <w:t xml:space="preserve">A written notice made under this regulation must — </w:t>
      </w:r>
    </w:p>
    <w:p>
      <w:pPr>
        <w:pStyle w:val="Indenta"/>
      </w:pPr>
      <w:r>
        <w:tab/>
        <w:t>(a)</w:t>
      </w:r>
      <w:r>
        <w:tab/>
        <w:t>set out the point value for undertaking each activity; and</w:t>
      </w:r>
    </w:p>
    <w:p>
      <w:pPr>
        <w:pStyle w:val="Indenta"/>
      </w:pPr>
      <w:r>
        <w:tab/>
        <w:t>(b)</w:t>
      </w:r>
      <w:r>
        <w:tab/>
        <w:t xml:space="preserve">be published on a website maintained by the Commissioner; and </w:t>
      </w:r>
    </w:p>
    <w:p>
      <w:pPr>
        <w:pStyle w:val="Indenta"/>
      </w:pPr>
      <w:r>
        <w:tab/>
        <w:t>(c)</w:t>
      </w:r>
      <w:r>
        <w:tab/>
        <w:t>specify the date on which the notice takes effect (which must not be a date earlier than the day on which the notice is published).</w:t>
      </w:r>
    </w:p>
    <w:p>
      <w:pPr>
        <w:pStyle w:val="Footnotesection"/>
        <w:spacing w:before="80"/>
        <w:ind w:left="890" w:hanging="890"/>
      </w:pPr>
      <w:r>
        <w:tab/>
        <w:t>[Regulation 4D inserted: SL 2020/259 r. 6.]</w:t>
      </w:r>
    </w:p>
    <w:p>
      <w:pPr>
        <w:pStyle w:val="Heading5"/>
      </w:pPr>
      <w:bookmarkStart w:id="10" w:name="_Toc155172946"/>
      <w:r>
        <w:rPr>
          <w:rStyle w:val="CharSectno"/>
        </w:rPr>
        <w:lastRenderedPageBreak/>
        <w:t>4E</w:t>
      </w:r>
      <w:r>
        <w:t>.</w:t>
      </w:r>
      <w:r>
        <w:tab/>
        <w:t>Commissioner to publish details of approved educational activities on website</w:t>
      </w:r>
      <w:bookmarkEnd w:id="10"/>
    </w:p>
    <w:p>
      <w:pPr>
        <w:pStyle w:val="Subsection"/>
        <w:keepNext/>
      </w:pPr>
      <w:r>
        <w:tab/>
      </w:r>
      <w:r>
        <w:tab/>
        <w:t xml:space="preserve">The Commissioner must maintain, on a website maintained by the Commissioner, a list of — </w:t>
      </w:r>
    </w:p>
    <w:p>
      <w:pPr>
        <w:pStyle w:val="Indenta"/>
      </w:pPr>
      <w:r>
        <w:tab/>
        <w:t>(a)</w:t>
      </w:r>
      <w:r>
        <w:tab/>
        <w:t>the 4 core professional development subjects for a calendar year; and</w:t>
      </w:r>
    </w:p>
    <w:p>
      <w:pPr>
        <w:pStyle w:val="Indenta"/>
      </w:pPr>
      <w:r>
        <w:tab/>
        <w:t>(b)</w:t>
      </w:r>
      <w:r>
        <w:tab/>
        <w:t xml:space="preserve">approved educational activities for a calendar year, including — </w:t>
      </w:r>
    </w:p>
    <w:p>
      <w:pPr>
        <w:pStyle w:val="Indenti"/>
      </w:pPr>
      <w:r>
        <w:tab/>
        <w:t>(i)</w:t>
      </w:r>
      <w:r>
        <w:tab/>
        <w:t>the approved educational activities for licensees for the year; and</w:t>
      </w:r>
    </w:p>
    <w:p>
      <w:pPr>
        <w:pStyle w:val="Indenti"/>
      </w:pPr>
      <w:r>
        <w:tab/>
        <w:t>(ii)</w:t>
      </w:r>
      <w:r>
        <w:tab/>
        <w:t>the professional development subject to which each approved educational activity relates, and whether that subject is a core professional development subject; and</w:t>
      </w:r>
    </w:p>
    <w:p>
      <w:pPr>
        <w:pStyle w:val="Indenti"/>
      </w:pPr>
      <w:r>
        <w:tab/>
        <w:t>(iii)</w:t>
      </w:r>
      <w:r>
        <w:tab/>
        <w:t>the point value for each approved educational activity for licensees for the year.</w:t>
      </w:r>
    </w:p>
    <w:p>
      <w:pPr>
        <w:pStyle w:val="Footnotesection"/>
        <w:spacing w:before="80"/>
        <w:ind w:left="890" w:hanging="890"/>
      </w:pPr>
      <w:r>
        <w:tab/>
        <w:t>[Regulation 4E inserted: SL 2020/259 r. 6.]</w:t>
      </w:r>
    </w:p>
    <w:p>
      <w:pPr>
        <w:pStyle w:val="Ednotesection"/>
      </w:pPr>
      <w:r>
        <w:t>[</w:t>
      </w:r>
      <w:r>
        <w:rPr>
          <w:b/>
        </w:rPr>
        <w:t>5.</w:t>
      </w:r>
      <w:r>
        <w:tab/>
        <w:t xml:space="preserve">Deleted: Gazette 18 Nov 2014 p. 4326.] </w:t>
      </w:r>
    </w:p>
    <w:p>
      <w:pPr>
        <w:pStyle w:val="Heading5"/>
      </w:pPr>
      <w:bookmarkStart w:id="11" w:name="_Toc155172947"/>
      <w:r>
        <w:rPr>
          <w:rStyle w:val="CharSectno"/>
        </w:rPr>
        <w:t>6</w:t>
      </w:r>
      <w:r>
        <w:t>.</w:t>
      </w:r>
      <w:r>
        <w:tab/>
        <w:t>Prescribed examinations</w:t>
      </w:r>
      <w:bookmarkEnd w:id="11"/>
    </w:p>
    <w:p>
      <w:pPr>
        <w:pStyle w:val="Subsection"/>
      </w:pPr>
      <w:r>
        <w:tab/>
        <w:t>(1)</w:t>
      </w:r>
      <w:r>
        <w:tab/>
        <w:t>In this regulation —</w:t>
      </w:r>
    </w:p>
    <w:p>
      <w:pPr>
        <w:pStyle w:val="Defstart"/>
      </w:pPr>
      <w:r>
        <w:tab/>
      </w:r>
      <w:r>
        <w:rPr>
          <w:rStyle w:val="CharDefText"/>
        </w:rPr>
        <w:t>public training provider</w:t>
      </w:r>
      <w:r>
        <w:t xml:space="preserve"> has the meaning given in the </w:t>
      </w:r>
      <w:r>
        <w:rPr>
          <w:i/>
        </w:rPr>
        <w:t>Vocational Education and Training Act 1996</w:t>
      </w:r>
      <w:r>
        <w:t xml:space="preserve"> section 5(1);</w:t>
      </w:r>
    </w:p>
    <w:p>
      <w:pPr>
        <w:pStyle w:val="Defstart"/>
      </w:pPr>
      <w:r>
        <w:tab/>
      </w:r>
      <w:r>
        <w:rPr>
          <w:rStyle w:val="CharDefText"/>
        </w:rPr>
        <w:t>registered training provider</w:t>
      </w:r>
      <w:r>
        <w:t xml:space="preserve"> has the meaning given in the </w:t>
      </w:r>
      <w:r>
        <w:rPr>
          <w:i/>
        </w:rPr>
        <w:t>Vocational Education and Training Act 1996</w:t>
      </w:r>
      <w:r>
        <w:t xml:space="preserve"> section 5(1).</w:t>
      </w:r>
    </w:p>
    <w:p>
      <w:pPr>
        <w:pStyle w:val="Subsection"/>
      </w:pPr>
      <w:r>
        <w:tab/>
        <w:t>(2)</w:t>
      </w:r>
      <w:r>
        <w:tab/>
        <w:t>The prescribed examinations for the purposes of Schedule 1 clauses 1(1)(a) and 2(1)(a) to the Act that are required to be passed to qualify for the grant of a licence are the examinations required by a public training provider or a registered training provider to be passed to complete —</w:t>
      </w:r>
    </w:p>
    <w:p>
      <w:pPr>
        <w:pStyle w:val="Indenta"/>
      </w:pPr>
      <w:r>
        <w:tab/>
        <w:t>(a)</w:t>
      </w:r>
      <w:r>
        <w:tab/>
        <w:t xml:space="preserve">an Advanced Diploma of Conveyancing; or </w:t>
      </w:r>
    </w:p>
    <w:p>
      <w:pPr>
        <w:pStyle w:val="Indenta"/>
      </w:pPr>
      <w:r>
        <w:lastRenderedPageBreak/>
        <w:tab/>
        <w:t>(b)</w:t>
      </w:r>
      <w:r>
        <w:tab/>
        <w:t>if an application for a licence is made before 1 January 2025 — a Diploma of Conveyancing.</w:t>
      </w:r>
    </w:p>
    <w:p>
      <w:pPr>
        <w:pStyle w:val="Footnotesection"/>
      </w:pPr>
      <w:r>
        <w:tab/>
        <w:t>[Regulation 6 inserted: SL 2021/202 r. 4.]</w:t>
      </w:r>
    </w:p>
    <w:p>
      <w:pPr>
        <w:pStyle w:val="Heading5"/>
      </w:pPr>
      <w:bookmarkStart w:id="12" w:name="_Toc155172948"/>
      <w:r>
        <w:rPr>
          <w:rStyle w:val="CharSectno"/>
        </w:rPr>
        <w:t>6AA</w:t>
      </w:r>
      <w:r>
        <w:t>.</w:t>
      </w:r>
      <w:r>
        <w:tab/>
        <w:t>Information to be included in appointment to act as settlement agent (Act s. 43(2)(a))</w:t>
      </w:r>
      <w:bookmarkEnd w:id="12"/>
    </w:p>
    <w:p>
      <w:pPr>
        <w:pStyle w:val="Subsection"/>
      </w:pPr>
      <w:r>
        <w:tab/>
      </w:r>
      <w:r>
        <w:tab/>
      </w:r>
      <w:r>
        <w:rPr>
          <w:snapToGrid w:val="0"/>
        </w:rPr>
        <w:t xml:space="preserve">For the purposes of section 43(2)(a) of the Act the information contained in the </w:t>
      </w:r>
      <w:r>
        <w:rPr>
          <w:i/>
          <w:snapToGrid w:val="0"/>
        </w:rPr>
        <w:t>Settlement Agents Code of Conduct 2016</w:t>
      </w:r>
      <w:r>
        <w:rPr>
          <w:snapToGrid w:val="0"/>
        </w:rPr>
        <w:t xml:space="preserve"> Schedule 1 Form 1 is prescribed.</w:t>
      </w:r>
    </w:p>
    <w:p>
      <w:pPr>
        <w:pStyle w:val="Footnotesection"/>
      </w:pPr>
      <w:r>
        <w:tab/>
        <w:t>[Regulation 6AA inserted: Gazette 4 Oct 2016 p. 4235.]</w:t>
      </w:r>
    </w:p>
    <w:p>
      <w:pPr>
        <w:pStyle w:val="Heading5"/>
        <w:rPr>
          <w:snapToGrid w:val="0"/>
        </w:rPr>
      </w:pPr>
      <w:bookmarkStart w:id="13" w:name="_Toc155172949"/>
      <w:r>
        <w:rPr>
          <w:rStyle w:val="CharSectno"/>
        </w:rPr>
        <w:t>6A</w:t>
      </w:r>
      <w:r>
        <w:rPr>
          <w:snapToGrid w:val="0"/>
        </w:rPr>
        <w:t>.</w:t>
      </w:r>
      <w:r>
        <w:rPr>
          <w:snapToGrid w:val="0"/>
        </w:rPr>
        <w:tab/>
        <w:t>Definition of authorised financial institution — prescribed classes (Act s. 48)</w:t>
      </w:r>
      <w:bookmarkEnd w:id="13"/>
    </w:p>
    <w:p>
      <w:pPr>
        <w:pStyle w:val="Subsection"/>
        <w:keepNext/>
        <w:rPr>
          <w:snapToGrid w:val="0"/>
        </w:rPr>
      </w:pPr>
      <w:r>
        <w:rPr>
          <w:snapToGrid w:val="0"/>
        </w:rPr>
        <w:tab/>
      </w:r>
      <w:r>
        <w:rPr>
          <w:snapToGrid w:val="0"/>
        </w:rPr>
        <w:tab/>
        <w:t xml:space="preserve">For the purposes of the definition of </w:t>
      </w:r>
      <w:r>
        <w:rPr>
          <w:b/>
          <w:bCs/>
          <w:i/>
          <w:iCs/>
          <w:snapToGrid w:val="0"/>
        </w:rPr>
        <w:t>authorised financial institution</w:t>
      </w:r>
      <w:r>
        <w:rPr>
          <w:snapToGrid w:val="0"/>
        </w:rPr>
        <w:t xml:space="preserve"> in section 48 of the Act, the following classes of bodies are prescribed —</w:t>
      </w:r>
    </w:p>
    <w:p>
      <w:pPr>
        <w:pStyle w:val="Indenta"/>
        <w:rPr>
          <w:snapToGrid w:val="0"/>
        </w:rPr>
      </w:pPr>
      <w:r>
        <w:rPr>
          <w:snapToGrid w:val="0"/>
        </w:rPr>
        <w:tab/>
        <w:t>(a)</w:t>
      </w:r>
      <w:r>
        <w:rPr>
          <w:snapToGrid w:val="0"/>
        </w:rPr>
        <w:tab/>
        <w:t>the class that consists of all banks; and</w:t>
      </w:r>
    </w:p>
    <w:p>
      <w:pPr>
        <w:pStyle w:val="Indenta"/>
        <w:rPr>
          <w:snapToGrid w:val="0"/>
        </w:rPr>
      </w:pPr>
      <w:r>
        <w:rPr>
          <w:snapToGrid w:val="0"/>
        </w:rPr>
        <w:tab/>
        <w:t>(b)</w:t>
      </w:r>
      <w:r>
        <w:rPr>
          <w:snapToGrid w:val="0"/>
        </w:rPr>
        <w:tab/>
        <w:t>the class that consists of all societies.</w:t>
      </w:r>
    </w:p>
    <w:p>
      <w:pPr>
        <w:pStyle w:val="Footnotesection"/>
      </w:pPr>
      <w:r>
        <w:tab/>
        <w:t>[Regulation 6A inserted: Gazette 25 Jun 1996 p. 2926.]</w:t>
      </w:r>
    </w:p>
    <w:p>
      <w:pPr>
        <w:pStyle w:val="Heading5"/>
        <w:rPr>
          <w:snapToGrid w:val="0"/>
        </w:rPr>
      </w:pPr>
      <w:bookmarkStart w:id="14" w:name="_Toc155172950"/>
      <w:r>
        <w:rPr>
          <w:rStyle w:val="CharSectno"/>
        </w:rPr>
        <w:t>6B</w:t>
      </w:r>
      <w:r>
        <w:rPr>
          <w:snapToGrid w:val="0"/>
        </w:rPr>
        <w:t>.</w:t>
      </w:r>
      <w:r>
        <w:rPr>
          <w:snapToGrid w:val="0"/>
        </w:rPr>
        <w:tab/>
        <w:t>Designation of trust accounts (Act s. 49(1))</w:t>
      </w:r>
      <w:bookmarkEnd w:id="14"/>
    </w:p>
    <w:p>
      <w:pPr>
        <w:pStyle w:val="Subsection"/>
        <w:rPr>
          <w:snapToGrid w:val="0"/>
        </w:rPr>
      </w:pPr>
      <w:r>
        <w:rPr>
          <w:snapToGrid w:val="0"/>
        </w:rPr>
        <w:tab/>
        <w:t>(1)</w:t>
      </w:r>
      <w:r>
        <w:rPr>
          <w:snapToGrid w:val="0"/>
        </w:rPr>
        <w:tab/>
        <w:t>For the purposes of section 49(1) of the Act, a trust account is to be designated in the manner provided for in this regulation.</w:t>
      </w:r>
    </w:p>
    <w:p>
      <w:pPr>
        <w:pStyle w:val="Subsection"/>
        <w:keepNext/>
        <w:rPr>
          <w:snapToGrid w:val="0"/>
        </w:rPr>
      </w:pPr>
      <w:r>
        <w:rPr>
          <w:snapToGrid w:val="0"/>
        </w:rPr>
        <w:tab/>
        <w:t>(2)</w:t>
      </w:r>
      <w:r>
        <w:rPr>
          <w:snapToGrid w:val="0"/>
        </w:rPr>
        <w:tab/>
        <w:t>The designation of a trust account, other than a separate account, is to include —</w:t>
      </w:r>
    </w:p>
    <w:p>
      <w:pPr>
        <w:pStyle w:val="Indenta"/>
        <w:rPr>
          <w:snapToGrid w:val="0"/>
        </w:rPr>
      </w:pPr>
      <w:r>
        <w:rPr>
          <w:snapToGrid w:val="0"/>
        </w:rPr>
        <w:tab/>
        <w:t>(a)</w:t>
      </w:r>
      <w:r>
        <w:rPr>
          <w:snapToGrid w:val="0"/>
        </w:rPr>
        <w:tab/>
        <w:t>the description “SA Trust Account”; and</w:t>
      </w:r>
    </w:p>
    <w:p>
      <w:pPr>
        <w:pStyle w:val="Indenta"/>
        <w:rPr>
          <w:snapToGrid w:val="0"/>
        </w:rPr>
      </w:pPr>
      <w:r>
        <w:rPr>
          <w:snapToGrid w:val="0"/>
        </w:rPr>
        <w:tab/>
        <w:t>(b)</w:t>
      </w:r>
      <w:r>
        <w:rPr>
          <w:snapToGrid w:val="0"/>
        </w:rPr>
        <w:tab/>
        <w:t>the name of the holder of the triennial certificate, and any business name of that holder, recorded in the register; and</w:t>
      </w:r>
    </w:p>
    <w:p>
      <w:pPr>
        <w:pStyle w:val="Indenta"/>
        <w:rPr>
          <w:snapToGrid w:val="0"/>
        </w:rPr>
      </w:pPr>
      <w:r>
        <w:rPr>
          <w:snapToGrid w:val="0"/>
        </w:rPr>
        <w:tab/>
        <w:t>(c)</w:t>
      </w:r>
      <w:r>
        <w:rPr>
          <w:snapToGrid w:val="0"/>
        </w:rPr>
        <w:tab/>
        <w:t>the letters “TC” followed by the triennial certificate number recorded in the register.</w:t>
      </w:r>
    </w:p>
    <w:p>
      <w:pPr>
        <w:pStyle w:val="Subsection"/>
        <w:keepNext/>
        <w:rPr>
          <w:snapToGrid w:val="0"/>
        </w:rPr>
      </w:pPr>
      <w:r>
        <w:rPr>
          <w:snapToGrid w:val="0"/>
        </w:rPr>
        <w:lastRenderedPageBreak/>
        <w:tab/>
        <w:t>(3)</w:t>
      </w:r>
      <w:r>
        <w:rPr>
          <w:snapToGrid w:val="0"/>
        </w:rPr>
        <w:tab/>
        <w:t>The designation of a separate account is to include —</w:t>
      </w:r>
    </w:p>
    <w:p>
      <w:pPr>
        <w:pStyle w:val="Indenta"/>
        <w:rPr>
          <w:snapToGrid w:val="0"/>
        </w:rPr>
      </w:pPr>
      <w:r>
        <w:rPr>
          <w:snapToGrid w:val="0"/>
        </w:rPr>
        <w:tab/>
        <w:t>(a)</w:t>
      </w:r>
      <w:r>
        <w:rPr>
          <w:snapToGrid w:val="0"/>
        </w:rPr>
        <w:tab/>
        <w:t>the description “SA Trust Account — IB”; and</w:t>
      </w:r>
    </w:p>
    <w:p>
      <w:pPr>
        <w:pStyle w:val="Indenta"/>
        <w:rPr>
          <w:snapToGrid w:val="0"/>
        </w:rPr>
      </w:pPr>
      <w:r>
        <w:rPr>
          <w:snapToGrid w:val="0"/>
        </w:rPr>
        <w:tab/>
        <w:t>(b)</w:t>
      </w:r>
      <w:r>
        <w:rPr>
          <w:snapToGrid w:val="0"/>
        </w:rPr>
        <w:tab/>
        <w:t>the name of the holder of the triennial certificate, and any business name of that holder, recorded in the register; and</w:t>
      </w:r>
    </w:p>
    <w:p>
      <w:pPr>
        <w:pStyle w:val="Indenta"/>
        <w:rPr>
          <w:snapToGrid w:val="0"/>
        </w:rPr>
      </w:pPr>
      <w:r>
        <w:rPr>
          <w:snapToGrid w:val="0"/>
        </w:rPr>
        <w:tab/>
        <w:t>(c)</w:t>
      </w:r>
      <w:r>
        <w:rPr>
          <w:snapToGrid w:val="0"/>
        </w:rPr>
        <w:tab/>
        <w:t>the words “in trust for” followed by the name of the person who requested the separate account; and</w:t>
      </w:r>
    </w:p>
    <w:p>
      <w:pPr>
        <w:pStyle w:val="Indenta"/>
        <w:rPr>
          <w:snapToGrid w:val="0"/>
        </w:rPr>
      </w:pPr>
      <w:r>
        <w:rPr>
          <w:snapToGrid w:val="0"/>
        </w:rPr>
        <w:tab/>
        <w:t>(d)</w:t>
      </w:r>
      <w:r>
        <w:rPr>
          <w:snapToGrid w:val="0"/>
        </w:rPr>
        <w:tab/>
        <w:t>the letters “TC” followed by the triennial certificate number recorded in the register.</w:t>
      </w:r>
    </w:p>
    <w:p>
      <w:pPr>
        <w:pStyle w:val="Footnotesection"/>
      </w:pPr>
      <w:r>
        <w:tab/>
        <w:t>[Regulation 6B inserted: Gazette 25 Jun 1996 p. 2926.]</w:t>
      </w:r>
    </w:p>
    <w:p>
      <w:pPr>
        <w:pStyle w:val="Heading5"/>
        <w:rPr>
          <w:snapToGrid w:val="0"/>
        </w:rPr>
      </w:pPr>
      <w:bookmarkStart w:id="15" w:name="_Toc155172951"/>
      <w:r>
        <w:rPr>
          <w:rStyle w:val="CharSectno"/>
        </w:rPr>
        <w:t>6C</w:t>
      </w:r>
      <w:r>
        <w:rPr>
          <w:snapToGrid w:val="0"/>
        </w:rPr>
        <w:t>.</w:t>
      </w:r>
      <w:r>
        <w:rPr>
          <w:snapToGrid w:val="0"/>
        </w:rPr>
        <w:tab/>
        <w:t>Prescribed requirements for separate accounts (Act s. 49A(4))</w:t>
      </w:r>
      <w:bookmarkEnd w:id="15"/>
    </w:p>
    <w:p>
      <w:pPr>
        <w:pStyle w:val="Subsection"/>
        <w:rPr>
          <w:snapToGrid w:val="0"/>
        </w:rPr>
      </w:pPr>
      <w:r>
        <w:rPr>
          <w:snapToGrid w:val="0"/>
        </w:rPr>
        <w:tab/>
      </w:r>
      <w:r>
        <w:rPr>
          <w:snapToGrid w:val="0"/>
        </w:rPr>
        <w:tab/>
        <w:t>For the purposes of section 49A(4) of the Act, a settlement agent shall only comply with a request for a separate account if the settlement agent is satisfied that —</w:t>
      </w:r>
    </w:p>
    <w:p>
      <w:pPr>
        <w:pStyle w:val="Indenta"/>
        <w:rPr>
          <w:snapToGrid w:val="0"/>
        </w:rPr>
      </w:pPr>
      <w:r>
        <w:rPr>
          <w:snapToGrid w:val="0"/>
        </w:rPr>
        <w:tab/>
        <w:t>(a)</w:t>
      </w:r>
      <w:r>
        <w:rPr>
          <w:snapToGrid w:val="0"/>
        </w:rPr>
        <w:tab/>
        <w:t>the amount of moneys paid to the settlement agent exceeds $20 000; or</w:t>
      </w:r>
    </w:p>
    <w:p>
      <w:pPr>
        <w:pStyle w:val="Indenta"/>
        <w:rPr>
          <w:snapToGrid w:val="0"/>
        </w:rPr>
      </w:pPr>
      <w:r>
        <w:rPr>
          <w:snapToGrid w:val="0"/>
        </w:rPr>
        <w:tab/>
        <w:t>(b)</w:t>
      </w:r>
      <w:r>
        <w:rPr>
          <w:snapToGrid w:val="0"/>
        </w:rPr>
        <w:tab/>
        <w:t>the transaction in respect of which moneys are paid is not to be settled within 60 days.</w:t>
      </w:r>
    </w:p>
    <w:p>
      <w:pPr>
        <w:pStyle w:val="Footnotesection"/>
      </w:pPr>
      <w:r>
        <w:tab/>
        <w:t>[Regulation 6C inserted: Gazette 25 Jun 1996 p. 2926.]</w:t>
      </w:r>
    </w:p>
    <w:p>
      <w:pPr>
        <w:pStyle w:val="Heading5"/>
        <w:rPr>
          <w:snapToGrid w:val="0"/>
        </w:rPr>
      </w:pPr>
      <w:bookmarkStart w:id="16" w:name="_Toc155172952"/>
      <w:r>
        <w:rPr>
          <w:rStyle w:val="CharSectno"/>
        </w:rPr>
        <w:t>6D</w:t>
      </w:r>
      <w:r>
        <w:t>.</w:t>
      </w:r>
      <w:r>
        <w:rPr>
          <w:snapToGrid w:val="0"/>
        </w:rPr>
        <w:tab/>
        <w:t>Interest payable on trust accounts (Act s. 49B(1))</w:t>
      </w:r>
      <w:bookmarkEnd w:id="16"/>
    </w:p>
    <w:p>
      <w:pPr>
        <w:pStyle w:val="Subsection"/>
        <w:rPr>
          <w:snapToGrid w:val="0"/>
        </w:rPr>
      </w:pPr>
      <w:r>
        <w:rPr>
          <w:snapToGrid w:val="0"/>
        </w:rPr>
        <w:tab/>
        <w:t>(1)</w:t>
      </w:r>
      <w:r>
        <w:rPr>
          <w:snapToGrid w:val="0"/>
        </w:rPr>
        <w:tab/>
        <w:t>For the purposes of section 49B(1) of the Act, interest on the balance of a trust account is to be paid —</w:t>
      </w:r>
    </w:p>
    <w:p>
      <w:pPr>
        <w:pStyle w:val="Indenta"/>
        <w:rPr>
          <w:snapToGrid w:val="0"/>
        </w:rPr>
      </w:pPr>
      <w:r>
        <w:rPr>
          <w:snapToGrid w:val="0"/>
        </w:rPr>
        <w:tab/>
        <w:t>(a)</w:t>
      </w:r>
      <w:r>
        <w:rPr>
          <w:snapToGrid w:val="0"/>
        </w:rPr>
        <w:tab/>
        <w:t>at the rate that is 70% of the relevant bank accepted bills rate calculated on a daily basis; and</w:t>
      </w:r>
    </w:p>
    <w:p>
      <w:pPr>
        <w:pStyle w:val="Indenta"/>
        <w:rPr>
          <w:snapToGrid w:val="0"/>
        </w:rPr>
      </w:pPr>
      <w:r>
        <w:rPr>
          <w:snapToGrid w:val="0"/>
        </w:rPr>
        <w:tab/>
        <w:t>(b)</w:t>
      </w:r>
      <w:r>
        <w:rPr>
          <w:snapToGrid w:val="0"/>
        </w:rPr>
        <w:tab/>
        <w:t>within 5 working days of the end of each month.</w:t>
      </w:r>
    </w:p>
    <w:p>
      <w:pPr>
        <w:pStyle w:val="Subsection"/>
        <w:rPr>
          <w:snapToGrid w:val="0"/>
        </w:rPr>
      </w:pPr>
      <w:r>
        <w:rPr>
          <w:snapToGrid w:val="0"/>
        </w:rPr>
        <w:tab/>
        <w:t>(2)</w:t>
      </w:r>
      <w:r>
        <w:rPr>
          <w:snapToGrid w:val="0"/>
        </w:rPr>
        <w:tab/>
        <w:t>In subregulation (1)(a) —</w:t>
      </w:r>
    </w:p>
    <w:p>
      <w:pPr>
        <w:pStyle w:val="Defstart"/>
      </w:pPr>
      <w:r>
        <w:rPr>
          <w:b/>
        </w:rPr>
        <w:tab/>
      </w:r>
      <w:r>
        <w:rPr>
          <w:rStyle w:val="CharDefText"/>
        </w:rPr>
        <w:t>relevant bank accepted bills rate</w:t>
      </w:r>
      <w:r>
        <w:t xml:space="preserve"> means the 30 day bank accepted bills rate as published in Table F.1 of the “Reserve </w:t>
      </w:r>
      <w:r>
        <w:lastRenderedPageBreak/>
        <w:t>Bank of Australia Bulletin” for the month that is 2 months before the month in respect of which the interest is to be paid.</w:t>
      </w:r>
    </w:p>
    <w:p>
      <w:pPr>
        <w:pStyle w:val="Subsection"/>
      </w:pPr>
      <w:r>
        <w:tab/>
      </w:r>
      <w:r>
        <w:tab/>
        <w:t>(For example, the relevant bank accepted bills rate for May is the 30 day bank accepted bills rate for March.)</w:t>
      </w:r>
    </w:p>
    <w:p>
      <w:pPr>
        <w:pStyle w:val="Footnotesection"/>
      </w:pPr>
      <w:r>
        <w:tab/>
        <w:t>[Regulation 6D inserted: Gazette 25 Jun 1996 p. 2926</w:t>
      </w:r>
      <w:r>
        <w:noBreakHyphen/>
        <w:t>7.]</w:t>
      </w:r>
    </w:p>
    <w:p>
      <w:pPr>
        <w:pStyle w:val="Heading5"/>
      </w:pPr>
      <w:bookmarkStart w:id="17" w:name="_Toc155172953"/>
      <w:r>
        <w:rPr>
          <w:rStyle w:val="CharSectno"/>
        </w:rPr>
        <w:t>6E</w:t>
      </w:r>
      <w:r>
        <w:t>.</w:t>
      </w:r>
      <w:r>
        <w:tab/>
        <w:t>Content of receipts (Act s. 50(1)(a))</w:t>
      </w:r>
      <w:bookmarkEnd w:id="17"/>
    </w:p>
    <w:p>
      <w:pPr>
        <w:pStyle w:val="Subsection"/>
        <w:spacing w:before="100"/>
      </w:pPr>
      <w:r>
        <w:tab/>
      </w:r>
      <w:r>
        <w:tab/>
        <w:t>A receipt given under section 50(1)(a) of the Act shall contain the following information —</w:t>
      </w:r>
    </w:p>
    <w:p>
      <w:pPr>
        <w:pStyle w:val="Indenta"/>
        <w:spacing w:before="60"/>
      </w:pPr>
      <w:r>
        <w:tab/>
        <w:t>(a)</w:t>
      </w:r>
      <w:r>
        <w:tab/>
        <w:t>the name of the holder of the triennial certificate, and any business name of that holder, recorded in the register; and</w:t>
      </w:r>
    </w:p>
    <w:p>
      <w:pPr>
        <w:pStyle w:val="Indenta"/>
        <w:spacing w:before="60"/>
      </w:pPr>
      <w:r>
        <w:tab/>
        <w:t>(b)</w:t>
      </w:r>
      <w:r>
        <w:tab/>
        <w:t>a number or letter, or a combination of both, in consecutive order that allows the receipt to be uniquely identified; and</w:t>
      </w:r>
    </w:p>
    <w:p>
      <w:pPr>
        <w:pStyle w:val="Indenta"/>
        <w:spacing w:before="60"/>
      </w:pPr>
      <w:r>
        <w:tab/>
        <w:t>(c)</w:t>
      </w:r>
      <w:r>
        <w:tab/>
        <w:t>the date on which the money is received; and</w:t>
      </w:r>
    </w:p>
    <w:p>
      <w:pPr>
        <w:pStyle w:val="Indenta"/>
        <w:spacing w:before="60"/>
      </w:pPr>
      <w:r>
        <w:tab/>
        <w:t>(d)</w:t>
      </w:r>
      <w:r>
        <w:tab/>
        <w:t>the name of the person paying the money; and</w:t>
      </w:r>
    </w:p>
    <w:p>
      <w:pPr>
        <w:pStyle w:val="Indenta"/>
        <w:spacing w:before="60"/>
      </w:pPr>
      <w:r>
        <w:tab/>
        <w:t>(e)</w:t>
      </w:r>
      <w:r>
        <w:tab/>
        <w:t>the amount of money received; and</w:t>
      </w:r>
    </w:p>
    <w:p>
      <w:pPr>
        <w:pStyle w:val="Indenta"/>
        <w:spacing w:before="60"/>
      </w:pPr>
      <w:r>
        <w:tab/>
        <w:t>(f)</w:t>
      </w:r>
      <w:r>
        <w:tab/>
        <w:t>a brief description of the purpose of the payment; and</w:t>
      </w:r>
    </w:p>
    <w:p>
      <w:pPr>
        <w:pStyle w:val="Indenta"/>
        <w:keepNext/>
        <w:keepLines/>
        <w:spacing w:before="60"/>
      </w:pPr>
      <w:r>
        <w:tab/>
        <w:t>(g)</w:t>
      </w:r>
      <w:r>
        <w:tab/>
        <w:t>if the receipt is hand</w:t>
      </w:r>
      <w:r>
        <w:noBreakHyphen/>
        <w:t>written, the name of the person receiving the money evidenced by the signature of that person.</w:t>
      </w:r>
    </w:p>
    <w:p>
      <w:pPr>
        <w:pStyle w:val="Footnotesection"/>
        <w:spacing w:before="100"/>
        <w:ind w:left="890" w:hanging="890"/>
      </w:pPr>
      <w:r>
        <w:tab/>
        <w:t>[Regulation 6E inserted: Gazette 25 Jun 1996 p. 2927.]</w:t>
      </w:r>
    </w:p>
    <w:p>
      <w:pPr>
        <w:pStyle w:val="Heading5"/>
        <w:rPr>
          <w:snapToGrid w:val="0"/>
        </w:rPr>
      </w:pPr>
      <w:bookmarkStart w:id="18" w:name="_Toc155172954"/>
      <w:r>
        <w:rPr>
          <w:rStyle w:val="CharSectno"/>
        </w:rPr>
        <w:t>6F</w:t>
      </w:r>
      <w:r>
        <w:rPr>
          <w:snapToGrid w:val="0"/>
        </w:rPr>
        <w:t>.</w:t>
      </w:r>
      <w:r>
        <w:rPr>
          <w:snapToGrid w:val="0"/>
        </w:rPr>
        <w:tab/>
        <w:t>Records under Act s. 50(1)(b)</w:t>
      </w:r>
      <w:bookmarkEnd w:id="18"/>
    </w:p>
    <w:p>
      <w:pPr>
        <w:pStyle w:val="Subsection"/>
        <w:spacing w:before="100"/>
        <w:rPr>
          <w:snapToGrid w:val="0"/>
        </w:rPr>
      </w:pPr>
      <w:r>
        <w:rPr>
          <w:snapToGrid w:val="0"/>
        </w:rPr>
        <w:tab/>
        <w:t>(1)</w:t>
      </w:r>
      <w:r>
        <w:rPr>
          <w:snapToGrid w:val="0"/>
        </w:rPr>
        <w:tab/>
        <w:t xml:space="preserve">A </w:t>
      </w:r>
      <w:r>
        <w:t>record</w:t>
      </w:r>
      <w:r>
        <w:rPr>
          <w:snapToGrid w:val="0"/>
        </w:rPr>
        <w:t xml:space="preserve"> shall be —</w:t>
      </w:r>
    </w:p>
    <w:p>
      <w:pPr>
        <w:pStyle w:val="Indenta"/>
        <w:spacing w:before="60"/>
        <w:rPr>
          <w:snapToGrid w:val="0"/>
        </w:rPr>
      </w:pPr>
      <w:r>
        <w:rPr>
          <w:snapToGrid w:val="0"/>
        </w:rPr>
        <w:tab/>
        <w:t>(a)</w:t>
      </w:r>
      <w:r>
        <w:rPr>
          <w:snapToGrid w:val="0"/>
        </w:rPr>
        <w:tab/>
        <w:t>kept in written form; and</w:t>
      </w:r>
    </w:p>
    <w:p>
      <w:pPr>
        <w:pStyle w:val="Indenta"/>
        <w:spacing w:before="60"/>
        <w:rPr>
          <w:snapToGrid w:val="0"/>
        </w:rPr>
      </w:pPr>
      <w:r>
        <w:rPr>
          <w:snapToGrid w:val="0"/>
        </w:rPr>
        <w:tab/>
        <w:t>(b)</w:t>
      </w:r>
      <w:r>
        <w:rPr>
          <w:snapToGrid w:val="0"/>
        </w:rPr>
        <w:tab/>
        <w:t>kept for a period of not less than 6 years from the date on which the money was received; and</w:t>
      </w:r>
    </w:p>
    <w:p>
      <w:pPr>
        <w:pStyle w:val="Indenta"/>
        <w:spacing w:before="60"/>
        <w:rPr>
          <w:snapToGrid w:val="0"/>
        </w:rPr>
      </w:pPr>
      <w:r>
        <w:rPr>
          <w:snapToGrid w:val="0"/>
        </w:rPr>
        <w:tab/>
        <w:t>(c)</w:t>
      </w:r>
      <w:r>
        <w:rPr>
          <w:snapToGrid w:val="0"/>
        </w:rPr>
        <w:tab/>
        <w:t>readily accessible.</w:t>
      </w:r>
    </w:p>
    <w:p>
      <w:pPr>
        <w:pStyle w:val="Subsection"/>
        <w:rPr>
          <w:snapToGrid w:val="0"/>
        </w:rPr>
      </w:pPr>
      <w:r>
        <w:rPr>
          <w:snapToGrid w:val="0"/>
        </w:rPr>
        <w:lastRenderedPageBreak/>
        <w:tab/>
        <w:t>(2)</w:t>
      </w:r>
      <w:r>
        <w:rPr>
          <w:snapToGrid w:val="0"/>
        </w:rPr>
        <w:tab/>
        <w:t xml:space="preserve">Where a receipt has been given for money received, a record shall </w:t>
      </w:r>
      <w:r>
        <w:t>contain</w:t>
      </w:r>
      <w:r>
        <w:rPr>
          <w:snapToGrid w:val="0"/>
        </w:rPr>
        <w:t xml:space="preserve"> the information contained in the receipt and may take the form of a duplicate copy of the receipt.</w:t>
      </w:r>
    </w:p>
    <w:p>
      <w:pPr>
        <w:pStyle w:val="Subsection"/>
        <w:rPr>
          <w:snapToGrid w:val="0"/>
        </w:rPr>
      </w:pPr>
      <w:r>
        <w:rPr>
          <w:snapToGrid w:val="0"/>
        </w:rPr>
        <w:tab/>
        <w:t>(3)</w:t>
      </w:r>
      <w:r>
        <w:rPr>
          <w:snapToGrid w:val="0"/>
        </w:rPr>
        <w:tab/>
        <w:t xml:space="preserve">Where </w:t>
      </w:r>
      <w:r>
        <w:t>money</w:t>
      </w:r>
      <w:r>
        <w:rPr>
          <w:snapToGrid w:val="0"/>
        </w:rPr>
        <w:t xml:space="preserve"> has been received by electronic transfer, a record shall contain the information specified in regulation 6E(b), (c), (d), (e) and (f) and, for that purpose, the reference in regulation 6E(b) to “receipt” is to be read as a reference to “record”.</w:t>
      </w:r>
    </w:p>
    <w:p>
      <w:pPr>
        <w:pStyle w:val="Footnotesection"/>
        <w:spacing w:before="100"/>
        <w:ind w:left="890" w:hanging="890"/>
      </w:pPr>
      <w:r>
        <w:tab/>
        <w:t>[Regulation 6F inserted: Gazette 25 Jun 1996 p. 2927.]</w:t>
      </w:r>
    </w:p>
    <w:p>
      <w:pPr>
        <w:pStyle w:val="Heading5"/>
        <w:rPr>
          <w:snapToGrid w:val="0"/>
        </w:rPr>
      </w:pPr>
      <w:bookmarkStart w:id="19" w:name="_Toc155172955"/>
      <w:r>
        <w:rPr>
          <w:rStyle w:val="CharSectno"/>
        </w:rPr>
        <w:t>7</w:t>
      </w:r>
      <w:r>
        <w:rPr>
          <w:snapToGrid w:val="0"/>
        </w:rPr>
        <w:t>.</w:t>
      </w:r>
      <w:r>
        <w:rPr>
          <w:snapToGrid w:val="0"/>
        </w:rPr>
        <w:tab/>
        <w:t>Particulars to be included in registers (Act s. 110(2))</w:t>
      </w:r>
      <w:bookmarkEnd w:id="19"/>
    </w:p>
    <w:p>
      <w:pPr>
        <w:pStyle w:val="Subsection"/>
        <w:keepNext/>
        <w:rPr>
          <w:snapToGrid w:val="0"/>
        </w:rPr>
      </w:pPr>
      <w:r>
        <w:rPr>
          <w:snapToGrid w:val="0"/>
        </w:rPr>
        <w:tab/>
      </w:r>
      <w:r>
        <w:rPr>
          <w:snapToGrid w:val="0"/>
        </w:rPr>
        <w:tab/>
        <w:t>The particulars to be recorded, pursuant to section 110(2) of the Act, by the</w:t>
      </w:r>
      <w:r>
        <w:t xml:space="preserve"> Commissioner</w:t>
      </w:r>
      <w:r>
        <w:rPr>
          <w:snapToGrid w:val="0"/>
        </w:rPr>
        <w:t> —</w:t>
      </w:r>
    </w:p>
    <w:p>
      <w:pPr>
        <w:pStyle w:val="Indenta"/>
        <w:keepNext/>
        <w:rPr>
          <w:snapToGrid w:val="0"/>
        </w:rPr>
      </w:pPr>
      <w:r>
        <w:rPr>
          <w:snapToGrid w:val="0"/>
        </w:rPr>
        <w:tab/>
        <w:t>(a)</w:t>
      </w:r>
      <w:r>
        <w:rPr>
          <w:snapToGrid w:val="0"/>
        </w:rPr>
        <w:tab/>
        <w:t>in the register of licensees are, in respect of each licensee —</w:t>
      </w:r>
    </w:p>
    <w:p>
      <w:pPr>
        <w:pStyle w:val="Indenti"/>
        <w:rPr>
          <w:snapToGrid w:val="0"/>
        </w:rPr>
      </w:pPr>
      <w:r>
        <w:rPr>
          <w:snapToGrid w:val="0"/>
        </w:rPr>
        <w:tab/>
        <w:t>(i)</w:t>
      </w:r>
      <w:r>
        <w:rPr>
          <w:snapToGrid w:val="0"/>
        </w:rPr>
        <w:tab/>
        <w:t>the name and address of the licensee;</w:t>
      </w:r>
    </w:p>
    <w:p>
      <w:pPr>
        <w:pStyle w:val="Indenti"/>
        <w:rPr>
          <w:snapToGrid w:val="0"/>
        </w:rPr>
      </w:pPr>
      <w:r>
        <w:rPr>
          <w:snapToGrid w:val="0"/>
        </w:rPr>
        <w:tab/>
        <w:t>(ii)</w:t>
      </w:r>
      <w:r>
        <w:rPr>
          <w:snapToGrid w:val="0"/>
        </w:rPr>
        <w:tab/>
        <w:t>where the licensee is a firm, the name and address of each partner constituting the firm and the licence number of each partner in the firm who is licensed;</w:t>
      </w:r>
    </w:p>
    <w:p>
      <w:pPr>
        <w:pStyle w:val="Indenti"/>
        <w:rPr>
          <w:snapToGrid w:val="0"/>
        </w:rPr>
      </w:pPr>
      <w:r>
        <w:rPr>
          <w:snapToGrid w:val="0"/>
        </w:rPr>
        <w:tab/>
        <w:t>(iii)</w:t>
      </w:r>
      <w:r>
        <w:rPr>
          <w:snapToGrid w:val="0"/>
        </w:rPr>
        <w:tab/>
        <w:t>where the licensee is a body corporate, the name and address of each director of the licensee and the licence number of each director who is licensed;</w:t>
      </w:r>
    </w:p>
    <w:p>
      <w:pPr>
        <w:pStyle w:val="Indenti"/>
        <w:rPr>
          <w:snapToGrid w:val="0"/>
        </w:rPr>
      </w:pPr>
      <w:r>
        <w:rPr>
          <w:snapToGrid w:val="0"/>
        </w:rPr>
        <w:tab/>
        <w:t>(iv)</w:t>
      </w:r>
      <w:r>
        <w:rPr>
          <w:snapToGrid w:val="0"/>
        </w:rPr>
        <w:tab/>
        <w:t>the licence number and the date on which the licence held by the licensee was granted;</w:t>
      </w:r>
    </w:p>
    <w:p>
      <w:pPr>
        <w:pStyle w:val="Indenti"/>
        <w:rPr>
          <w:snapToGrid w:val="0"/>
        </w:rPr>
      </w:pPr>
      <w:r>
        <w:rPr>
          <w:snapToGrid w:val="0"/>
        </w:rPr>
        <w:tab/>
        <w:t>(v)</w:t>
      </w:r>
      <w:r>
        <w:rPr>
          <w:snapToGrid w:val="0"/>
        </w:rPr>
        <w:tab/>
        <w:t>any special conditions to which the licence held by the licensee is subject;</w:t>
      </w:r>
    </w:p>
    <w:p>
      <w:pPr>
        <w:pStyle w:val="Indenti"/>
        <w:rPr>
          <w:snapToGrid w:val="0"/>
        </w:rPr>
      </w:pPr>
      <w:r>
        <w:rPr>
          <w:snapToGrid w:val="0"/>
        </w:rPr>
        <w:tab/>
        <w:t>(vi)</w:t>
      </w:r>
      <w:r>
        <w:rPr>
          <w:snapToGrid w:val="0"/>
        </w:rPr>
        <w:tab/>
        <w:t xml:space="preserve">where a claim has been made or sustained against the </w:t>
      </w:r>
      <w:r>
        <w:t>Account</w:t>
      </w:r>
      <w:r>
        <w:rPr>
          <w:snapToGrid w:val="0"/>
        </w:rPr>
        <w:t xml:space="preserve"> in respect of the licensee, a reference to that claim;</w:t>
      </w:r>
    </w:p>
    <w:p>
      <w:pPr>
        <w:pStyle w:val="Indenta"/>
        <w:rPr>
          <w:snapToGrid w:val="0"/>
        </w:rPr>
      </w:pPr>
      <w:r>
        <w:rPr>
          <w:snapToGrid w:val="0"/>
        </w:rPr>
        <w:tab/>
        <w:t>(b)</w:t>
      </w:r>
      <w:r>
        <w:rPr>
          <w:snapToGrid w:val="0"/>
        </w:rPr>
        <w:tab/>
        <w:t>in the register of holders of current triennial certificates are, in respect of each holder —</w:t>
      </w:r>
    </w:p>
    <w:p>
      <w:pPr>
        <w:pStyle w:val="Indenti"/>
        <w:rPr>
          <w:snapToGrid w:val="0"/>
        </w:rPr>
      </w:pPr>
      <w:r>
        <w:rPr>
          <w:snapToGrid w:val="0"/>
        </w:rPr>
        <w:lastRenderedPageBreak/>
        <w:tab/>
        <w:t>(i)</w:t>
      </w:r>
      <w:r>
        <w:rPr>
          <w:snapToGrid w:val="0"/>
        </w:rPr>
        <w:tab/>
        <w:t>the name and address of the holder; and</w:t>
      </w:r>
    </w:p>
    <w:p>
      <w:pPr>
        <w:pStyle w:val="Indenti"/>
        <w:rPr>
          <w:snapToGrid w:val="0"/>
        </w:rPr>
      </w:pPr>
      <w:r>
        <w:rPr>
          <w:snapToGrid w:val="0"/>
        </w:rPr>
        <w:tab/>
        <w:t>(ii)</w:t>
      </w:r>
      <w:r>
        <w:rPr>
          <w:snapToGrid w:val="0"/>
        </w:rPr>
        <w:tab/>
        <w:t>any business name under which the holder carries on business as a settlement agent; and</w:t>
      </w:r>
    </w:p>
    <w:p>
      <w:pPr>
        <w:pStyle w:val="Indenti"/>
        <w:rPr>
          <w:snapToGrid w:val="0"/>
        </w:rPr>
      </w:pPr>
      <w:r>
        <w:rPr>
          <w:snapToGrid w:val="0"/>
        </w:rPr>
        <w:tab/>
        <w:t>(iii)</w:t>
      </w:r>
      <w:r>
        <w:rPr>
          <w:snapToGrid w:val="0"/>
        </w:rPr>
        <w:tab/>
        <w:t>the situation of the registered office of the holder; and</w:t>
      </w:r>
    </w:p>
    <w:p>
      <w:pPr>
        <w:pStyle w:val="Indenti"/>
        <w:rPr>
          <w:snapToGrid w:val="0"/>
        </w:rPr>
      </w:pPr>
      <w:r>
        <w:rPr>
          <w:snapToGrid w:val="0"/>
        </w:rPr>
        <w:tab/>
        <w:t>(iv)</w:t>
      </w:r>
      <w:r>
        <w:rPr>
          <w:snapToGrid w:val="0"/>
        </w:rPr>
        <w:tab/>
        <w:t>the situation of every registered branch office of the holder and the name and licence numbers of each branch manager; and</w:t>
      </w:r>
    </w:p>
    <w:p>
      <w:pPr>
        <w:pStyle w:val="Indenti"/>
        <w:rPr>
          <w:snapToGrid w:val="0"/>
        </w:rPr>
      </w:pPr>
      <w:r>
        <w:rPr>
          <w:snapToGrid w:val="0"/>
        </w:rPr>
        <w:tab/>
        <w:t>(v)</w:t>
      </w:r>
      <w:r>
        <w:rPr>
          <w:snapToGrid w:val="0"/>
        </w:rPr>
        <w:tab/>
        <w:t>where the holder is a firm, the name and address of each partner constituting the firm and the licence number of each partner in the firm who is licensed; and</w:t>
      </w:r>
    </w:p>
    <w:p>
      <w:pPr>
        <w:pStyle w:val="Indenti"/>
        <w:rPr>
          <w:snapToGrid w:val="0"/>
        </w:rPr>
      </w:pPr>
      <w:r>
        <w:rPr>
          <w:snapToGrid w:val="0"/>
        </w:rPr>
        <w:tab/>
        <w:t>(vi)</w:t>
      </w:r>
      <w:r>
        <w:rPr>
          <w:snapToGrid w:val="0"/>
        </w:rPr>
        <w:tab/>
        <w:t>where the holder is a body corporate, the name and address of each director of the holder and the licence number of each director who is licensed; and</w:t>
      </w:r>
    </w:p>
    <w:p>
      <w:pPr>
        <w:pStyle w:val="Indenti"/>
        <w:rPr>
          <w:snapToGrid w:val="0"/>
        </w:rPr>
      </w:pPr>
      <w:r>
        <w:rPr>
          <w:snapToGrid w:val="0"/>
        </w:rPr>
        <w:tab/>
        <w:t>(vii)</w:t>
      </w:r>
      <w:r>
        <w:rPr>
          <w:snapToGrid w:val="0"/>
        </w:rPr>
        <w:tab/>
        <w:t xml:space="preserve">where the holder is a firm or body corporate the name and address of the person in </w:t>
      </w:r>
      <w:r>
        <w:rPr>
          <w:i/>
          <w:snapToGrid w:val="0"/>
        </w:rPr>
        <w:t>bona fide</w:t>
      </w:r>
      <w:r>
        <w:rPr>
          <w:snapToGrid w:val="0"/>
        </w:rPr>
        <w:t xml:space="preserve"> control of the business of the holder; and</w:t>
      </w:r>
    </w:p>
    <w:p>
      <w:pPr>
        <w:pStyle w:val="Indenti"/>
        <w:rPr>
          <w:snapToGrid w:val="0"/>
        </w:rPr>
      </w:pPr>
      <w:r>
        <w:rPr>
          <w:snapToGrid w:val="0"/>
        </w:rPr>
        <w:tab/>
        <w:t>(viii)</w:t>
      </w:r>
      <w:r>
        <w:rPr>
          <w:snapToGrid w:val="0"/>
        </w:rPr>
        <w:tab/>
        <w:t>the licence number and the date on which the licence held by the holder of the certificate was granted; and</w:t>
      </w:r>
    </w:p>
    <w:p>
      <w:pPr>
        <w:pStyle w:val="Indenti"/>
        <w:rPr>
          <w:snapToGrid w:val="0"/>
        </w:rPr>
      </w:pPr>
      <w:r>
        <w:rPr>
          <w:snapToGrid w:val="0"/>
        </w:rPr>
        <w:tab/>
        <w:t>(ix)</w:t>
      </w:r>
      <w:r>
        <w:rPr>
          <w:snapToGrid w:val="0"/>
        </w:rPr>
        <w:tab/>
        <w:t>whether the holder is licensed as a real estate settlement agent, business settlement agent or both; and</w:t>
      </w:r>
    </w:p>
    <w:p>
      <w:pPr>
        <w:pStyle w:val="Indenti"/>
        <w:rPr>
          <w:snapToGrid w:val="0"/>
        </w:rPr>
      </w:pPr>
      <w:r>
        <w:rPr>
          <w:snapToGrid w:val="0"/>
        </w:rPr>
        <w:tab/>
        <w:t>(x)</w:t>
      </w:r>
      <w:r>
        <w:rPr>
          <w:snapToGrid w:val="0"/>
        </w:rPr>
        <w:tab/>
        <w:t>the certificate number, and the date on which the certificate currently held by the holder was granted or renewed, as the case may be; and</w:t>
      </w:r>
    </w:p>
    <w:p>
      <w:pPr>
        <w:pStyle w:val="Indenti"/>
        <w:rPr>
          <w:snapToGrid w:val="0"/>
        </w:rPr>
      </w:pPr>
      <w:r>
        <w:rPr>
          <w:snapToGrid w:val="0"/>
        </w:rPr>
        <w:tab/>
        <w:t>(xi)</w:t>
      </w:r>
      <w:r>
        <w:rPr>
          <w:snapToGrid w:val="0"/>
        </w:rPr>
        <w:tab/>
        <w:t>the policy number of the current certificate of fidelity and professional indemnity insurance held by the holder of the triennial certificate; and</w:t>
      </w:r>
    </w:p>
    <w:p>
      <w:pPr>
        <w:pStyle w:val="Indenti"/>
        <w:rPr>
          <w:snapToGrid w:val="0"/>
        </w:rPr>
      </w:pPr>
      <w:r>
        <w:rPr>
          <w:snapToGrid w:val="0"/>
        </w:rPr>
        <w:tab/>
        <w:t>(xii)</w:t>
      </w:r>
      <w:r>
        <w:rPr>
          <w:snapToGrid w:val="0"/>
        </w:rPr>
        <w:tab/>
        <w:t>the name and address of the auditor appointed by the holder; and</w:t>
      </w:r>
    </w:p>
    <w:p>
      <w:pPr>
        <w:pStyle w:val="Indenti"/>
        <w:rPr>
          <w:snapToGrid w:val="0"/>
        </w:rPr>
      </w:pPr>
      <w:r>
        <w:rPr>
          <w:snapToGrid w:val="0"/>
        </w:rPr>
        <w:lastRenderedPageBreak/>
        <w:tab/>
        <w:t>(xiii)</w:t>
      </w:r>
      <w:r>
        <w:rPr>
          <w:snapToGrid w:val="0"/>
        </w:rPr>
        <w:tab/>
        <w:t>the amount of any payment made under section 92 of the Act by the holder.</w:t>
      </w:r>
    </w:p>
    <w:p>
      <w:pPr>
        <w:pStyle w:val="Footnotesection"/>
      </w:pPr>
      <w:r>
        <w:tab/>
        <w:t>[Regulation 7 amended: Gazette 26 Oct 2007 p. 5651; 30 Jun 2011 p. 2677.]</w:t>
      </w:r>
    </w:p>
    <w:p>
      <w:pPr>
        <w:pStyle w:val="Heading5"/>
        <w:rPr>
          <w:snapToGrid w:val="0"/>
        </w:rPr>
      </w:pPr>
      <w:bookmarkStart w:id="20" w:name="_Toc155172956"/>
      <w:r>
        <w:rPr>
          <w:rStyle w:val="CharSectno"/>
        </w:rPr>
        <w:t>8</w:t>
      </w:r>
      <w:r>
        <w:rPr>
          <w:snapToGrid w:val="0"/>
        </w:rPr>
        <w:t>.</w:t>
      </w:r>
      <w:r>
        <w:rPr>
          <w:snapToGrid w:val="0"/>
        </w:rPr>
        <w:tab/>
        <w:t>Recovery of fees and costs</w:t>
      </w:r>
      <w:bookmarkEnd w:id="20"/>
    </w:p>
    <w:p>
      <w:pPr>
        <w:pStyle w:val="Subsection"/>
        <w:rPr>
          <w:snapToGrid w:val="0"/>
        </w:rPr>
      </w:pPr>
      <w:r>
        <w:rPr>
          <w:snapToGrid w:val="0"/>
        </w:rPr>
        <w:tab/>
        <w:t>(1)</w:t>
      </w:r>
      <w:r>
        <w:rPr>
          <w:snapToGrid w:val="0"/>
        </w:rPr>
        <w:tab/>
        <w:t xml:space="preserve">The </w:t>
      </w:r>
      <w:r>
        <w:t>amount</w:t>
      </w:r>
      <w:r>
        <w:rPr>
          <w:snapToGrid w:val="0"/>
        </w:rPr>
        <w:t xml:space="preserve"> of —</w:t>
      </w:r>
    </w:p>
    <w:p>
      <w:pPr>
        <w:pStyle w:val="Indenta"/>
        <w:rPr>
          <w:snapToGrid w:val="0"/>
        </w:rPr>
      </w:pPr>
      <w:r>
        <w:rPr>
          <w:snapToGrid w:val="0"/>
        </w:rPr>
        <w:tab/>
        <w:t>(a)</w:t>
      </w:r>
      <w:r>
        <w:rPr>
          <w:snapToGrid w:val="0"/>
        </w:rPr>
        <w:tab/>
        <w:t>any fees prescribed by these regulations;</w:t>
      </w:r>
    </w:p>
    <w:p>
      <w:pPr>
        <w:pStyle w:val="Ednotepara"/>
        <w:spacing w:before="80"/>
        <w:ind w:left="1610" w:hanging="1610"/>
        <w:rPr>
          <w:snapToGrid w:val="0"/>
        </w:rPr>
      </w:pPr>
      <w:r>
        <w:rPr>
          <w:snapToGrid w:val="0"/>
        </w:rPr>
        <w:tab/>
        <w:t>[(b)</w:t>
      </w:r>
      <w:r>
        <w:rPr>
          <w:snapToGrid w:val="0"/>
        </w:rPr>
        <w:tab/>
        <w:t>deleted]</w:t>
      </w:r>
    </w:p>
    <w:p>
      <w:pPr>
        <w:pStyle w:val="Indenta"/>
        <w:keepNext/>
        <w:rPr>
          <w:snapToGrid w:val="0"/>
        </w:rPr>
      </w:pPr>
      <w:r>
        <w:rPr>
          <w:snapToGrid w:val="0"/>
        </w:rPr>
        <w:tab/>
        <w:t>(c)</w:t>
      </w:r>
      <w:r>
        <w:rPr>
          <w:snapToGrid w:val="0"/>
        </w:rPr>
        <w:tab/>
        <w:t xml:space="preserve">any costs ordered by </w:t>
      </w:r>
      <w:r>
        <w:t>a court or tribunal to be paid to the Commissioner</w:t>
      </w:r>
      <w:r>
        <w:rPr>
          <w:snapToGrid w:val="0"/>
        </w:rPr>
        <w:t xml:space="preserve"> upon the determination of any proceedings,</w:t>
      </w:r>
    </w:p>
    <w:p>
      <w:pPr>
        <w:pStyle w:val="Subsection"/>
        <w:spacing w:before="100"/>
        <w:rPr>
          <w:snapToGrid w:val="0"/>
        </w:rPr>
      </w:pPr>
      <w:r>
        <w:rPr>
          <w:snapToGrid w:val="0"/>
        </w:rPr>
        <w:tab/>
      </w:r>
      <w:r>
        <w:rPr>
          <w:snapToGrid w:val="0"/>
        </w:rPr>
        <w:tab/>
        <w:t xml:space="preserve">may be </w:t>
      </w:r>
      <w:r>
        <w:t>sued</w:t>
      </w:r>
      <w:r>
        <w:rPr>
          <w:snapToGrid w:val="0"/>
        </w:rPr>
        <w:t xml:space="preserve"> for and recovered by the </w:t>
      </w:r>
      <w:r>
        <w:t>Commissioner on</w:t>
      </w:r>
      <w:r>
        <w:rPr>
          <w:snapToGrid w:val="0"/>
        </w:rPr>
        <w:t xml:space="preserve"> behalf of the Crown in any court of competent jurisdiction.</w:t>
      </w:r>
    </w:p>
    <w:p>
      <w:pPr>
        <w:pStyle w:val="Subsection"/>
        <w:rPr>
          <w:snapToGrid w:val="0"/>
        </w:rPr>
      </w:pPr>
      <w:r>
        <w:rPr>
          <w:snapToGrid w:val="0"/>
        </w:rPr>
        <w:tab/>
        <w:t>(2)</w:t>
      </w:r>
      <w:r>
        <w:rPr>
          <w:snapToGrid w:val="0"/>
        </w:rPr>
        <w:tab/>
        <w:t xml:space="preserve">Where, upon the determination of any proceedings, </w:t>
      </w:r>
      <w:r>
        <w:t xml:space="preserve">a court or tribunal makes an order for costs in favour of a person other than the Commissioner, </w:t>
      </w:r>
      <w:r>
        <w:rPr>
          <w:snapToGrid w:val="0"/>
        </w:rPr>
        <w:t>the amount of those costs may be sued for by that person and recovered from the person against whom the order is made, in any court of competent jurisdiction.</w:t>
      </w:r>
    </w:p>
    <w:p>
      <w:pPr>
        <w:pStyle w:val="Footnotesection"/>
        <w:spacing w:before="100"/>
        <w:ind w:left="890" w:hanging="890"/>
      </w:pPr>
      <w:r>
        <w:tab/>
        <w:t>[Regulation 8 amended: Gazette 30 Dec 2004 p. 6927; 30 Jun 2011 p. 2677.]</w:t>
      </w:r>
    </w:p>
    <w:p>
      <w:pPr>
        <w:pStyle w:val="Heading5"/>
      </w:pPr>
      <w:bookmarkStart w:id="21" w:name="_Toc155172957"/>
      <w:r>
        <w:rPr>
          <w:rStyle w:val="CharSectno"/>
        </w:rPr>
        <w:t>9</w:t>
      </w:r>
      <w:r>
        <w:t>.</w:t>
      </w:r>
      <w:r>
        <w:tab/>
        <w:t>Settlement Agents Interest Account (Act s. 105)</w:t>
      </w:r>
      <w:bookmarkEnd w:id="21"/>
    </w:p>
    <w:p>
      <w:pPr>
        <w:pStyle w:val="Subsection"/>
      </w:pPr>
      <w:r>
        <w:tab/>
      </w:r>
      <w:r>
        <w:tab/>
        <w:t>For the purposes of section 105 of the Act moneys standing to the credit of the Interest Account are to be applied monthly before the end of each month.</w:t>
      </w:r>
    </w:p>
    <w:p>
      <w:pPr>
        <w:pStyle w:val="Footnotesection"/>
        <w:spacing w:before="100"/>
        <w:ind w:left="890" w:hanging="890"/>
      </w:pPr>
      <w:r>
        <w:tab/>
        <w:t>[Regulation 9 inserted: Gazette 6 Feb 2007 p. 310; amended: Gazette 30 Jun 2011 p. 2677.]</w:t>
      </w:r>
    </w:p>
    <w:p>
      <w:pPr>
        <w:pStyle w:val="Heading5"/>
        <w:rPr>
          <w:snapToGrid w:val="0"/>
        </w:rPr>
      </w:pPr>
      <w:bookmarkStart w:id="22" w:name="_Toc155172958"/>
      <w:r>
        <w:rPr>
          <w:rStyle w:val="CharSectno"/>
        </w:rPr>
        <w:t>10</w:t>
      </w:r>
      <w:r>
        <w:rPr>
          <w:snapToGrid w:val="0"/>
        </w:rPr>
        <w:t>.</w:t>
      </w:r>
      <w:r>
        <w:rPr>
          <w:snapToGrid w:val="0"/>
        </w:rPr>
        <w:tab/>
        <w:t>Claims against Fidelity Guarantee Account</w:t>
      </w:r>
      <w:bookmarkEnd w:id="22"/>
    </w:p>
    <w:p>
      <w:pPr>
        <w:pStyle w:val="Subsection"/>
        <w:spacing w:before="150"/>
        <w:rPr>
          <w:snapToGrid w:val="0"/>
        </w:rPr>
      </w:pPr>
      <w:r>
        <w:rPr>
          <w:snapToGrid w:val="0"/>
        </w:rPr>
        <w:tab/>
      </w:r>
      <w:r>
        <w:rPr>
          <w:snapToGrid w:val="0"/>
        </w:rPr>
        <w:tab/>
        <w:t xml:space="preserve">A claim against the Fidelity Guarantee </w:t>
      </w:r>
      <w:r>
        <w:t>Account</w:t>
      </w:r>
      <w:r>
        <w:rPr>
          <w:snapToGrid w:val="0"/>
        </w:rPr>
        <w:t xml:space="preserve"> shall be made in writing and be verified by a statutory declaration made by a </w:t>
      </w:r>
      <w:r>
        <w:rPr>
          <w:snapToGrid w:val="0"/>
        </w:rPr>
        <w:lastRenderedPageBreak/>
        <w:t>person who deposes to the facts therein set out of his own knowledge.</w:t>
      </w:r>
    </w:p>
    <w:p>
      <w:pPr>
        <w:pStyle w:val="Footnotesection"/>
        <w:spacing w:before="100"/>
        <w:ind w:left="890" w:hanging="890"/>
      </w:pPr>
      <w:r>
        <w:tab/>
        <w:t>[Regulation 10 amended: Gazette 26 Oct 2007 p. 5651.]</w:t>
      </w:r>
    </w:p>
    <w:p>
      <w:pPr>
        <w:pStyle w:val="Heading5"/>
        <w:rPr>
          <w:snapToGrid w:val="0"/>
        </w:rPr>
      </w:pPr>
      <w:bookmarkStart w:id="23" w:name="_Toc155172959"/>
      <w:r>
        <w:rPr>
          <w:rStyle w:val="CharSectno"/>
        </w:rPr>
        <w:t>11</w:t>
      </w:r>
      <w:r>
        <w:rPr>
          <w:snapToGrid w:val="0"/>
        </w:rPr>
        <w:t>.</w:t>
      </w:r>
      <w:r>
        <w:rPr>
          <w:snapToGrid w:val="0"/>
        </w:rPr>
        <w:tab/>
        <w:t>Documents that real estate settlement agent may draw etc.</w:t>
      </w:r>
      <w:bookmarkEnd w:id="23"/>
    </w:p>
    <w:p>
      <w:pPr>
        <w:pStyle w:val="Subsection"/>
        <w:spacing w:before="150"/>
        <w:rPr>
          <w:snapToGrid w:val="0"/>
        </w:rPr>
      </w:pPr>
      <w:r>
        <w:rPr>
          <w:snapToGrid w:val="0"/>
        </w:rPr>
        <w:tab/>
        <w:t>(1)</w:t>
      </w:r>
      <w:r>
        <w:rPr>
          <w:snapToGrid w:val="0"/>
        </w:rPr>
        <w:tab/>
        <w:t>For the purposes of clause 1(2)(a) of Schedule 2 to the Act the forms of offer and acceptance set out in Part A of Schedule 3 are prescribed and, if any of those forms is revised, the current revision of it is prescribed.</w:t>
      </w:r>
    </w:p>
    <w:p>
      <w:pPr>
        <w:pStyle w:val="Subsection"/>
        <w:keepLines/>
        <w:spacing w:before="150"/>
        <w:rPr>
          <w:snapToGrid w:val="0"/>
        </w:rPr>
      </w:pPr>
      <w:r>
        <w:rPr>
          <w:snapToGrid w:val="0"/>
        </w:rPr>
        <w:tab/>
        <w:t>(2)</w:t>
      </w:r>
      <w:r>
        <w:rPr>
          <w:snapToGrid w:val="0"/>
        </w:rPr>
        <w:tab/>
        <w:t xml:space="preserve">For the purposes of clause 1(2)(b) of Schedule 2 to the Act a licensee may draw or prepare a document containing any or all of the requisitions on title set out in Part B of Schedule 3 subject to the condition that the requisitions are only issued in respect of land that is registered under the </w:t>
      </w:r>
      <w:r>
        <w:rPr>
          <w:i/>
          <w:snapToGrid w:val="0"/>
        </w:rPr>
        <w:t>Transfer of Land Act 1893</w:t>
      </w:r>
      <w:r>
        <w:rPr>
          <w:snapToGrid w:val="0"/>
        </w:rPr>
        <w:t>.</w:t>
      </w:r>
    </w:p>
    <w:p>
      <w:pPr>
        <w:pStyle w:val="Subsection"/>
        <w:spacing w:before="150"/>
        <w:rPr>
          <w:snapToGrid w:val="0"/>
        </w:rPr>
      </w:pPr>
      <w:r>
        <w:rPr>
          <w:snapToGrid w:val="0"/>
        </w:rPr>
        <w:tab/>
        <w:t>(3)</w:t>
      </w:r>
      <w:r>
        <w:rPr>
          <w:snapToGrid w:val="0"/>
        </w:rPr>
        <w:tab/>
        <w:t>For the purposes of clause 1(2)(c) of Schedule 2 to the Act the documents set out in Part C of Schedule 3 are prescribed subject to any conditions set out in that Part.</w:t>
      </w:r>
    </w:p>
    <w:p>
      <w:pPr>
        <w:pStyle w:val="Footnotesection"/>
        <w:spacing w:before="100"/>
        <w:ind w:left="890" w:hanging="890"/>
      </w:pPr>
      <w:r>
        <w:tab/>
        <w:t>[Regulation 11 inserted: Gazette 23 May 1997 p. 2420.]</w:t>
      </w:r>
    </w:p>
    <w:p>
      <w:pPr>
        <w:pStyle w:val="Heading5"/>
        <w:rPr>
          <w:snapToGrid w:val="0"/>
        </w:rPr>
      </w:pPr>
      <w:bookmarkStart w:id="24" w:name="_Toc155172960"/>
      <w:r>
        <w:rPr>
          <w:rStyle w:val="CharSectno"/>
        </w:rPr>
        <w:t>12</w:t>
      </w:r>
      <w:r>
        <w:rPr>
          <w:snapToGrid w:val="0"/>
        </w:rPr>
        <w:t>.</w:t>
      </w:r>
      <w:r>
        <w:rPr>
          <w:snapToGrid w:val="0"/>
        </w:rPr>
        <w:tab/>
        <w:t>Documents that business settlement agent may draw etc.</w:t>
      </w:r>
      <w:bookmarkEnd w:id="24"/>
    </w:p>
    <w:p>
      <w:pPr>
        <w:pStyle w:val="Subsection"/>
        <w:rPr>
          <w:snapToGrid w:val="0"/>
        </w:rPr>
      </w:pPr>
      <w:r>
        <w:rPr>
          <w:snapToGrid w:val="0"/>
        </w:rPr>
        <w:tab/>
      </w:r>
      <w:r>
        <w:rPr>
          <w:snapToGrid w:val="0"/>
        </w:rPr>
        <w:tab/>
        <w:t>For the purposes of clause 2(fa)</w:t>
      </w:r>
      <w:r>
        <w:rPr>
          <w:snapToGrid w:val="0"/>
          <w:vertAlign w:val="superscript"/>
        </w:rPr>
        <w:t> 1</w:t>
      </w:r>
      <w:r>
        <w:rPr>
          <w:snapToGrid w:val="0"/>
        </w:rPr>
        <w:t xml:space="preserve"> of Schedule 2 to the Act any document set out in Schedule 4 is prescribed.</w:t>
      </w:r>
    </w:p>
    <w:p>
      <w:pPr>
        <w:pStyle w:val="Footnotesection"/>
      </w:pPr>
      <w:r>
        <w:tab/>
        <w:t>[Regulation 12 inserted: Gazette 23 May 1997 p. 2420.]</w:t>
      </w:r>
    </w:p>
    <w:p>
      <w:pPr>
        <w:pStyle w:val="Heading5"/>
        <w:rPr>
          <w:snapToGrid w:val="0"/>
        </w:rPr>
      </w:pPr>
      <w:bookmarkStart w:id="25" w:name="_Toc155172961"/>
      <w:r>
        <w:rPr>
          <w:rStyle w:val="CharSectno"/>
        </w:rPr>
        <w:t>12A</w:t>
      </w:r>
      <w:r>
        <w:rPr>
          <w:snapToGrid w:val="0"/>
        </w:rPr>
        <w:t>.</w:t>
      </w:r>
      <w:r>
        <w:rPr>
          <w:snapToGrid w:val="0"/>
        </w:rPr>
        <w:tab/>
        <w:t>Power of attorney</w:t>
      </w:r>
      <w:bookmarkEnd w:id="25"/>
    </w:p>
    <w:p>
      <w:pPr>
        <w:pStyle w:val="Subsection"/>
        <w:rPr>
          <w:snapToGrid w:val="0"/>
        </w:rPr>
      </w:pPr>
      <w:r>
        <w:rPr>
          <w:snapToGrid w:val="0"/>
        </w:rPr>
        <w:tab/>
      </w:r>
      <w:r>
        <w:rPr>
          <w:snapToGrid w:val="0"/>
        </w:rPr>
        <w:tab/>
        <w:t xml:space="preserve">The power of attorney prescribed for the purposes of clause 1(1)(h) of Schedule 2 of the Act is a power of attorney in the form set forth in the Nineteenth Schedule of the </w:t>
      </w:r>
      <w:r>
        <w:rPr>
          <w:i/>
          <w:snapToGrid w:val="0"/>
        </w:rPr>
        <w:t>Transfer of Land Act 1893</w:t>
      </w:r>
      <w:r>
        <w:rPr>
          <w:snapToGrid w:val="0"/>
        </w:rPr>
        <w:t>.</w:t>
      </w:r>
    </w:p>
    <w:p>
      <w:pPr>
        <w:pStyle w:val="Footnotesection"/>
      </w:pPr>
      <w:r>
        <w:tab/>
        <w:t>[Regulation 12A inserted: Gazette 30 Mar 1984 p. 910.]</w:t>
      </w:r>
    </w:p>
    <w:p>
      <w:pPr>
        <w:pStyle w:val="Heading5"/>
        <w:rPr>
          <w:snapToGrid w:val="0"/>
        </w:rPr>
      </w:pPr>
      <w:bookmarkStart w:id="26" w:name="_Toc155172962"/>
      <w:r>
        <w:rPr>
          <w:rStyle w:val="CharSectno"/>
        </w:rPr>
        <w:lastRenderedPageBreak/>
        <w:t>13</w:t>
      </w:r>
      <w:r>
        <w:rPr>
          <w:snapToGrid w:val="0"/>
        </w:rPr>
        <w:t>.</w:t>
      </w:r>
      <w:r>
        <w:rPr>
          <w:snapToGrid w:val="0"/>
        </w:rPr>
        <w:tab/>
        <w:t>Warning notice by certain exempted persons</w:t>
      </w:r>
      <w:bookmarkEnd w:id="26"/>
    </w:p>
    <w:p>
      <w:pPr>
        <w:pStyle w:val="Subsection"/>
        <w:rPr>
          <w:snapToGrid w:val="0"/>
        </w:rPr>
      </w:pPr>
      <w:r>
        <w:rPr>
          <w:snapToGrid w:val="0"/>
        </w:rPr>
        <w:tab/>
      </w:r>
      <w:r>
        <w:rPr>
          <w:snapToGrid w:val="0"/>
        </w:rPr>
        <w:tab/>
        <w:t>The form of the notice to be given by a person exempted under section 26A or 26B of the Act before arranging or effecting a settlement to which the exemption conferred by that section applies is as set out in Schedule 2.</w:t>
      </w:r>
    </w:p>
    <w:p>
      <w:pPr>
        <w:pStyle w:val="Footnotesection"/>
      </w:pPr>
      <w:r>
        <w:tab/>
        <w:t>[Regulation 13 inserted: Gazette 29 Oct 1982 p. 4323; amended: Gazette 23 May 1997 p. 2420.]</w:t>
      </w:r>
    </w:p>
    <w:p>
      <w:pPr>
        <w:pStyle w:val="Heading5"/>
        <w:rPr>
          <w:snapToGrid w:val="0"/>
        </w:rPr>
      </w:pPr>
      <w:bookmarkStart w:id="27" w:name="_Toc155172963"/>
      <w:r>
        <w:rPr>
          <w:rStyle w:val="CharSectno"/>
        </w:rPr>
        <w:t>14</w:t>
      </w:r>
      <w:r>
        <w:rPr>
          <w:snapToGrid w:val="0"/>
        </w:rPr>
        <w:t>.</w:t>
      </w:r>
      <w:r>
        <w:rPr>
          <w:snapToGrid w:val="0"/>
        </w:rPr>
        <w:tab/>
        <w:t>Absence of licensee</w:t>
      </w:r>
      <w:bookmarkEnd w:id="27"/>
    </w:p>
    <w:p>
      <w:pPr>
        <w:pStyle w:val="Subsection"/>
        <w:keepLines/>
        <w:rPr>
          <w:snapToGrid w:val="0"/>
        </w:rPr>
      </w:pPr>
      <w:r>
        <w:rPr>
          <w:snapToGrid w:val="0"/>
        </w:rPr>
        <w:tab/>
        <w:t>(1)</w:t>
      </w:r>
      <w:r>
        <w:rPr>
          <w:snapToGrid w:val="0"/>
        </w:rPr>
        <w:tab/>
        <w:t xml:space="preserve">A person who is in </w:t>
      </w:r>
      <w:r>
        <w:rPr>
          <w:i/>
          <w:snapToGrid w:val="0"/>
        </w:rPr>
        <w:t>bona fide</w:t>
      </w:r>
      <w:r>
        <w:rPr>
          <w:snapToGrid w:val="0"/>
        </w:rPr>
        <w:t xml:space="preserve"> control of a business operated under a licence shall not, without the prior approval in writing of the</w:t>
      </w:r>
      <w:r>
        <w:t xml:space="preserve"> Commissioner</w:t>
      </w:r>
      <w:r>
        <w:rPr>
          <w:snapToGrid w:val="0"/>
        </w:rPr>
        <w:t>, absent himself from that business for more than 4 continuous weeks in any one calendar year.</w:t>
      </w:r>
    </w:p>
    <w:p>
      <w:pPr>
        <w:pStyle w:val="Penstart"/>
        <w:rPr>
          <w:snapToGrid w:val="0"/>
        </w:rPr>
      </w:pPr>
      <w:r>
        <w:rPr>
          <w:snapToGrid w:val="0"/>
        </w:rPr>
        <w:tab/>
      </w:r>
      <w:r>
        <w:t>Penalty: $100</w:t>
      </w:r>
      <w:r>
        <w:rPr>
          <w:snapToGrid w:val="0"/>
        </w:rPr>
        <w:t>.</w:t>
      </w:r>
    </w:p>
    <w:p>
      <w:pPr>
        <w:pStyle w:val="Subsection"/>
        <w:rPr>
          <w:snapToGrid w:val="0"/>
        </w:rPr>
      </w:pPr>
      <w:r>
        <w:rPr>
          <w:snapToGrid w:val="0"/>
        </w:rPr>
        <w:tab/>
        <w:t>(2)</w:t>
      </w:r>
      <w:r>
        <w:rPr>
          <w:snapToGrid w:val="0"/>
        </w:rPr>
        <w:tab/>
        <w:t xml:space="preserve">An application for approval under subregulation (1) shall state whether, in the absence of the person in </w:t>
      </w:r>
      <w:r>
        <w:rPr>
          <w:i/>
          <w:snapToGrid w:val="0"/>
        </w:rPr>
        <w:t>bona fide</w:t>
      </w:r>
      <w:r>
        <w:rPr>
          <w:snapToGrid w:val="0"/>
        </w:rPr>
        <w:t xml:space="preserve"> control of the business, that business is to be —</w:t>
      </w:r>
    </w:p>
    <w:p>
      <w:pPr>
        <w:pStyle w:val="Indenta"/>
        <w:rPr>
          <w:snapToGrid w:val="0"/>
        </w:rPr>
      </w:pPr>
      <w:r>
        <w:rPr>
          <w:snapToGrid w:val="0"/>
        </w:rPr>
        <w:tab/>
        <w:t>(a)</w:t>
      </w:r>
      <w:r>
        <w:rPr>
          <w:snapToGrid w:val="0"/>
        </w:rPr>
        <w:tab/>
        <w:t>closed; or</w:t>
      </w:r>
    </w:p>
    <w:p>
      <w:pPr>
        <w:pStyle w:val="Indenta"/>
        <w:rPr>
          <w:snapToGrid w:val="0"/>
        </w:rPr>
      </w:pPr>
      <w:r>
        <w:rPr>
          <w:snapToGrid w:val="0"/>
        </w:rPr>
        <w:tab/>
        <w:t>(b)</w:t>
      </w:r>
      <w:r>
        <w:rPr>
          <w:snapToGrid w:val="0"/>
        </w:rPr>
        <w:tab/>
        <w:t>conducted by another person.</w:t>
      </w:r>
    </w:p>
    <w:p>
      <w:pPr>
        <w:pStyle w:val="Subsection"/>
        <w:keepNext/>
        <w:rPr>
          <w:snapToGrid w:val="0"/>
        </w:rPr>
      </w:pPr>
      <w:r>
        <w:rPr>
          <w:snapToGrid w:val="0"/>
        </w:rPr>
        <w:tab/>
        <w:t>(3)</w:t>
      </w:r>
      <w:r>
        <w:rPr>
          <w:snapToGrid w:val="0"/>
        </w:rPr>
        <w:tab/>
        <w:t xml:space="preserve">The </w:t>
      </w:r>
      <w:r>
        <w:t>Commissioner</w:t>
      </w:r>
      <w:r>
        <w:rPr>
          <w:snapToGrid w:val="0"/>
        </w:rPr>
        <w:t xml:space="preserve"> may refuse to grant approval under subregulation (1) —</w:t>
      </w:r>
    </w:p>
    <w:p>
      <w:pPr>
        <w:pStyle w:val="Indenta"/>
        <w:spacing w:before="60"/>
        <w:rPr>
          <w:snapToGrid w:val="0"/>
        </w:rPr>
      </w:pPr>
      <w:r>
        <w:rPr>
          <w:snapToGrid w:val="0"/>
        </w:rPr>
        <w:tab/>
        <w:t>(a)</w:t>
      </w:r>
      <w:r>
        <w:rPr>
          <w:snapToGrid w:val="0"/>
        </w:rPr>
        <w:tab/>
        <w:t xml:space="preserve">where the business is to be closed, unless and until the person in </w:t>
      </w:r>
      <w:r>
        <w:rPr>
          <w:i/>
          <w:snapToGrid w:val="0"/>
        </w:rPr>
        <w:t>bona fide</w:t>
      </w:r>
      <w:r>
        <w:rPr>
          <w:snapToGrid w:val="0"/>
        </w:rPr>
        <w:t xml:space="preserve"> control of that business has satisfied the </w:t>
      </w:r>
      <w:r>
        <w:t>Commissioner</w:t>
      </w:r>
      <w:r>
        <w:rPr>
          <w:snapToGrid w:val="0"/>
        </w:rPr>
        <w:t xml:space="preserve"> that at the date of closure he will have carried out all his obligations under the Act or the code of conduct; or</w:t>
      </w:r>
    </w:p>
    <w:p>
      <w:pPr>
        <w:pStyle w:val="Indenta"/>
        <w:spacing w:before="60"/>
        <w:rPr>
          <w:snapToGrid w:val="0"/>
        </w:rPr>
      </w:pPr>
      <w:r>
        <w:rPr>
          <w:snapToGrid w:val="0"/>
        </w:rPr>
        <w:tab/>
        <w:t>(b)</w:t>
      </w:r>
      <w:r>
        <w:rPr>
          <w:snapToGrid w:val="0"/>
        </w:rPr>
        <w:tab/>
        <w:t xml:space="preserve">where the business is to be conducted by another person, if the </w:t>
      </w:r>
      <w:r>
        <w:t>Commissioner</w:t>
      </w:r>
      <w:r>
        <w:rPr>
          <w:snapToGrid w:val="0"/>
        </w:rPr>
        <w:t xml:space="preserve"> does not consider that person is suitable to conduct that business.</w:t>
      </w:r>
    </w:p>
    <w:p>
      <w:pPr>
        <w:pStyle w:val="Subsection"/>
        <w:spacing w:before="140"/>
        <w:rPr>
          <w:snapToGrid w:val="0"/>
        </w:rPr>
      </w:pPr>
      <w:r>
        <w:rPr>
          <w:snapToGrid w:val="0"/>
        </w:rPr>
        <w:tab/>
        <w:t>(4)</w:t>
      </w:r>
      <w:r>
        <w:rPr>
          <w:snapToGrid w:val="0"/>
        </w:rPr>
        <w:tab/>
        <w:t xml:space="preserve">A person who, pursuant to an approval granted by the </w:t>
      </w:r>
      <w:r>
        <w:t>Commissioner</w:t>
      </w:r>
      <w:r>
        <w:rPr>
          <w:snapToGrid w:val="0"/>
        </w:rPr>
        <w:t xml:space="preserve"> under this regulation, conducts a business operated under a licence during the absence of the person in </w:t>
      </w:r>
      <w:r>
        <w:rPr>
          <w:i/>
          <w:snapToGrid w:val="0"/>
        </w:rPr>
        <w:lastRenderedPageBreak/>
        <w:t>bona fide</w:t>
      </w:r>
      <w:r>
        <w:rPr>
          <w:snapToGrid w:val="0"/>
        </w:rPr>
        <w:t xml:space="preserve"> control of that business does not commit an offence under section 26 of the Act.</w:t>
      </w:r>
    </w:p>
    <w:p>
      <w:pPr>
        <w:pStyle w:val="Footnotesection"/>
        <w:spacing w:before="100"/>
      </w:pPr>
      <w:r>
        <w:tab/>
        <w:t>[Regulation 14 inserted: Gazette 30 Mar 1984 p. 910; erratum: Gazette 6 Apr 1984 p. 998; amended: Gazette 30 Jun 2011 p. 2677.]</w:t>
      </w:r>
    </w:p>
    <w:p>
      <w:pPr>
        <w:pStyle w:val="Heading5"/>
      </w:pPr>
      <w:bookmarkStart w:id="28" w:name="_Toc155172964"/>
      <w:r>
        <w:rPr>
          <w:rStyle w:val="CharSectno"/>
        </w:rPr>
        <w:t>15</w:t>
      </w:r>
      <w:r>
        <w:t>.</w:t>
      </w:r>
      <w:r>
        <w:tab/>
        <w:t>Infringement notices</w:t>
      </w:r>
      <w:bookmarkEnd w:id="28"/>
    </w:p>
    <w:p>
      <w:pPr>
        <w:pStyle w:val="Subsection"/>
        <w:spacing w:before="140"/>
      </w:pPr>
      <w:r>
        <w:tab/>
        <w:t>(1)</w:t>
      </w:r>
      <w:r>
        <w:tab/>
        <w:t xml:space="preserve">An offence under section 65(1) in respect of a contravention or failure to observe a provision of the Act specified in Schedule 5 Part 1 is an offence for which an infringement notice may be issued under Part 2 of the </w:t>
      </w:r>
      <w:r>
        <w:rPr>
          <w:i/>
        </w:rPr>
        <w:t>Criminal Procedure Act 2004</w:t>
      </w:r>
      <w:r>
        <w:t>.</w:t>
      </w:r>
    </w:p>
    <w:p>
      <w:pPr>
        <w:pStyle w:val="Subsection"/>
        <w:spacing w:before="140"/>
      </w:pPr>
      <w:r>
        <w:tab/>
        <w:t>(2A)</w:t>
      </w:r>
      <w:r>
        <w:tab/>
        <w:t xml:space="preserve">An offence under section 120(1) in respect of a contravention or failure to comply with a provision of the Act specified in Schedule 5 Part 2 is an offence for which an infringement notice may be issued under Part 2 of the </w:t>
      </w:r>
      <w:r>
        <w:rPr>
          <w:i/>
        </w:rPr>
        <w:t>Criminal Procedure Act 2004</w:t>
      </w:r>
      <w:r>
        <w:t>.</w:t>
      </w:r>
    </w:p>
    <w:p>
      <w:pPr>
        <w:pStyle w:val="Subsection"/>
      </w:pPr>
      <w:r>
        <w:tab/>
        <w:t>(2B)</w:t>
      </w:r>
      <w:r>
        <w:tab/>
        <w:t xml:space="preserve">An offence under section 41B of the Act is an offence for which an infringement notice may be issued under the </w:t>
      </w:r>
      <w:r>
        <w:rPr>
          <w:i/>
        </w:rPr>
        <w:t>Criminal Procedure Act 2004</w:t>
      </w:r>
      <w:r>
        <w:t xml:space="preserve"> Part 2.</w:t>
      </w:r>
    </w:p>
    <w:p>
      <w:pPr>
        <w:pStyle w:val="Subsection"/>
        <w:spacing w:before="140"/>
      </w:pPr>
      <w:r>
        <w:tab/>
        <w:t>(2)</w:t>
      </w:r>
      <w:r>
        <w:tab/>
        <w:t xml:space="preserve">The modified penalty specified opposite a provision in Schedule 5 is the modified penalty for a contravention or failure to observe, or comply with, that provision for the purposes of section 5(3) of the </w:t>
      </w:r>
      <w:r>
        <w:rPr>
          <w:i/>
        </w:rPr>
        <w:t>Criminal Procedure Act 2004</w:t>
      </w:r>
      <w:r>
        <w:t>.</w:t>
      </w:r>
    </w:p>
    <w:p>
      <w:pPr>
        <w:pStyle w:val="Subsection"/>
        <w:spacing w:before="140"/>
      </w:pPr>
      <w:r>
        <w:tab/>
        <w:t>(3)</w:t>
      </w:r>
      <w:r>
        <w:tab/>
        <w:t xml:space="preserve">The Commissioner may, in writing, appoint persons or classes of persons to be authorised officers or approved officers for the purposes of Part 2 of the </w:t>
      </w:r>
      <w:r>
        <w:rPr>
          <w:i/>
        </w:rPr>
        <w:t>Criminal Procedure Act 2004</w:t>
      </w:r>
      <w:r>
        <w:t>.</w:t>
      </w:r>
    </w:p>
    <w:p>
      <w:pPr>
        <w:pStyle w:val="Subsection"/>
        <w:spacing w:before="140"/>
      </w:pPr>
      <w:r>
        <w:tab/>
        <w:t>(4)</w:t>
      </w:r>
      <w:r>
        <w:tab/>
        <w:t>The Commissioner is to issue to each authorised officer a certificate, badge or identity card identifying the officer as a person authorised to issue infringement notices.</w:t>
      </w:r>
    </w:p>
    <w:p>
      <w:pPr>
        <w:pStyle w:val="Footnotesection"/>
        <w:spacing w:before="100"/>
      </w:pPr>
      <w:r>
        <w:tab/>
        <w:t>[Regulation 15 inserted: Gazette 22 Sep 2006 p. 4131; amended: Gazette 23 Dec 2008 p. 5469</w:t>
      </w:r>
      <w:r>
        <w:noBreakHyphen/>
        <w:t>70; 30 Jun 2011 p. 2677-8; SL 2020/259 r. 7.]</w:t>
      </w:r>
    </w:p>
    <w:p>
      <w:pPr>
        <w:pStyle w:val="Heading5"/>
      </w:pPr>
      <w:bookmarkStart w:id="29" w:name="_Toc155172965"/>
      <w:r>
        <w:rPr>
          <w:rStyle w:val="CharSectno"/>
        </w:rPr>
        <w:lastRenderedPageBreak/>
        <w:t>16</w:t>
      </w:r>
      <w:r>
        <w:t>.</w:t>
      </w:r>
      <w:r>
        <w:tab/>
        <w:t>Forms</w:t>
      </w:r>
      <w:bookmarkEnd w:id="29"/>
    </w:p>
    <w:p>
      <w:pPr>
        <w:pStyle w:val="Subsection"/>
      </w:pPr>
      <w:r>
        <w:tab/>
      </w:r>
      <w:r>
        <w:tab/>
        <w:t>The forms set out in Schedule 6 are prescribed in relation to the matters specified in those forms.</w:t>
      </w:r>
    </w:p>
    <w:p>
      <w:pPr>
        <w:pStyle w:val="Footnotesection"/>
      </w:pPr>
      <w:r>
        <w:tab/>
        <w:t>[Regulation 16 inserted: Gazette 22 Sep 2006 p. 4131.]</w:t>
      </w:r>
    </w:p>
    <w:p>
      <w:pPr>
        <w:pStyle w:val="Heading5"/>
      </w:pPr>
      <w:bookmarkStart w:id="30" w:name="_Toc155172966"/>
      <w:r>
        <w:rPr>
          <w:rStyle w:val="CharSectno"/>
        </w:rPr>
        <w:t>17</w:t>
      </w:r>
      <w:r>
        <w:t>.</w:t>
      </w:r>
      <w:r>
        <w:tab/>
        <w:t xml:space="preserve">Transitional provision for </w:t>
      </w:r>
      <w:r>
        <w:rPr>
          <w:i/>
        </w:rPr>
        <w:t>Settlement Agents Amendment Regulations 2016</w:t>
      </w:r>
      <w:bookmarkEnd w:id="30"/>
    </w:p>
    <w:p>
      <w:pPr>
        <w:pStyle w:val="Subsection"/>
        <w:rPr>
          <w:snapToGrid w:val="0"/>
        </w:rPr>
      </w:pPr>
      <w:r>
        <w:tab/>
      </w:r>
      <w:r>
        <w:tab/>
        <w:t>For the purposes of section </w:t>
      </w:r>
      <w:r>
        <w:rPr>
          <w:snapToGrid w:val="0"/>
        </w:rPr>
        <w:t xml:space="preserve">43(2)(a) </w:t>
      </w:r>
      <w:r>
        <w:t xml:space="preserve">of the Act, during the </w:t>
      </w:r>
      <w:r>
        <w:rPr>
          <w:snapToGrid w:val="0"/>
        </w:rPr>
        <w:t xml:space="preserve">transitional period as defined in the </w:t>
      </w:r>
      <w:r>
        <w:rPr>
          <w:i/>
          <w:snapToGrid w:val="0"/>
        </w:rPr>
        <w:t>Settlement Agents Code of Conduct 2016</w:t>
      </w:r>
      <w:r>
        <w:rPr>
          <w:snapToGrid w:val="0"/>
        </w:rPr>
        <w:t xml:space="preserve"> rule 35, the following information is prescribed — </w:t>
      </w:r>
    </w:p>
    <w:p>
      <w:pPr>
        <w:pStyle w:val="Indenta"/>
      </w:pPr>
      <w:r>
        <w:rPr>
          <w:snapToGrid w:val="0"/>
        </w:rPr>
        <w:tab/>
        <w:t>(a)</w:t>
      </w:r>
      <w:r>
        <w:rPr>
          <w:snapToGrid w:val="0"/>
        </w:rPr>
        <w:tab/>
        <w:t xml:space="preserve">the information contained in the </w:t>
      </w:r>
      <w:r>
        <w:rPr>
          <w:i/>
        </w:rPr>
        <w:t>Settlement Agents’ Code of Conduct 1982</w:t>
      </w:r>
      <w:r>
        <w:rPr>
          <w:snapToGrid w:val="0"/>
        </w:rPr>
        <w:t xml:space="preserve"> Schedule Form 1</w:t>
      </w:r>
      <w:r>
        <w:t xml:space="preserve">; or </w:t>
      </w:r>
    </w:p>
    <w:p>
      <w:pPr>
        <w:pStyle w:val="Indenta"/>
        <w:keepNext/>
        <w:rPr>
          <w:snapToGrid w:val="0"/>
        </w:rPr>
      </w:pPr>
      <w:r>
        <w:tab/>
        <w:t>(b)</w:t>
      </w:r>
      <w:r>
        <w:tab/>
        <w:t xml:space="preserve">the information contained in </w:t>
      </w:r>
      <w:r>
        <w:rPr>
          <w:snapToGrid w:val="0"/>
        </w:rPr>
        <w:t xml:space="preserve">the </w:t>
      </w:r>
      <w:r>
        <w:rPr>
          <w:i/>
          <w:snapToGrid w:val="0"/>
        </w:rPr>
        <w:t xml:space="preserve">Settlement Agents Code of Conduct 2016 </w:t>
      </w:r>
      <w:r>
        <w:rPr>
          <w:snapToGrid w:val="0"/>
        </w:rPr>
        <w:t xml:space="preserve">Schedule 1 Form 1. </w:t>
      </w:r>
    </w:p>
    <w:p>
      <w:pPr>
        <w:pStyle w:val="Footnotesection"/>
      </w:pPr>
      <w:r>
        <w:tab/>
        <w:t>[Regulation 17 inserted: Gazette 4 Oct 2016 p. 4236.]</w:t>
      </w:r>
    </w:p>
    <w:p>
      <w:pPr>
        <w:pStyle w:val="Heading5"/>
      </w:pPr>
      <w:bookmarkStart w:id="31" w:name="_Toc155172967"/>
      <w:r>
        <w:rPr>
          <w:rStyle w:val="CharSectno"/>
        </w:rPr>
        <w:t>18</w:t>
      </w:r>
      <w:r>
        <w:t>.</w:t>
      </w:r>
      <w:r>
        <w:tab/>
        <w:t xml:space="preserve">Transitional regulation for </w:t>
      </w:r>
      <w:r>
        <w:rPr>
          <w:i/>
        </w:rPr>
        <w:t>Settlement Agents Amendment Regulations 2020</w:t>
      </w:r>
      <w:bookmarkEnd w:id="31"/>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 xml:space="preserve">Settlement Agents Amendment Regulations 2020 </w:t>
      </w:r>
      <w:r>
        <w:t>regulation 8 comes into operation;</w:t>
      </w:r>
    </w:p>
    <w:p>
      <w:pPr>
        <w:pStyle w:val="Defstart"/>
      </w:pPr>
      <w:r>
        <w:tab/>
      </w:r>
      <w:r>
        <w:rPr>
          <w:rStyle w:val="CharDefText"/>
        </w:rPr>
        <w:t>former regulation 4C</w:t>
      </w:r>
      <w:r>
        <w:t xml:space="preserve"> means regulation 4C as in force immediately before commencement day.</w:t>
      </w:r>
    </w:p>
    <w:p>
      <w:pPr>
        <w:pStyle w:val="Subsection"/>
      </w:pPr>
      <w:r>
        <w:tab/>
        <w:t>(2)</w:t>
      </w:r>
      <w:r>
        <w:tab/>
        <w:t>An approval of core professional development subjects, educational activities and points for 2020 made under former regulation 4C is taken, on and from commencement day, to be an approval of core professional development subjects, educational activities and points values made under regulation 4D for 2020.</w:t>
      </w:r>
    </w:p>
    <w:p>
      <w:pPr>
        <w:pStyle w:val="Footnotesection"/>
        <w:spacing w:before="80"/>
        <w:ind w:left="890" w:hanging="890"/>
      </w:pPr>
      <w:r>
        <w:tab/>
        <w:t>[Regulation 18 inserted: SL 2020/259 r. 8.]</w:t>
      </w:r>
    </w:p>
    <w:p>
      <w:pPr>
        <w:sectPr>
          <w:headerReference w:type="even" r:id="rId21"/>
          <w:headerReference w:type="default" r:id="rId22"/>
          <w:headerReference w:type="first" r:id="rId23"/>
          <w:pgSz w:w="11907" w:h="16840" w:code="9"/>
          <w:pgMar w:top="2376" w:right="2405" w:bottom="3542" w:left="2405" w:header="706" w:footer="3544" w:gutter="0"/>
          <w:pgNumType w:start="1"/>
          <w:cols w:space="720"/>
          <w:noEndnote/>
          <w:titlePg/>
          <w:docGrid w:linePitch="326"/>
        </w:sectPr>
      </w:pPr>
    </w:p>
    <w:p>
      <w:pPr>
        <w:pStyle w:val="yScheduleHeading"/>
      </w:pPr>
      <w:bookmarkStart w:id="32" w:name="_Toc155172968"/>
      <w:r>
        <w:rPr>
          <w:rStyle w:val="CharSchNo"/>
        </w:rPr>
        <w:lastRenderedPageBreak/>
        <w:t>Schedule 1</w:t>
      </w:r>
      <w:r>
        <w:t> — </w:t>
      </w:r>
      <w:r>
        <w:rPr>
          <w:rStyle w:val="CharSchText"/>
        </w:rPr>
        <w:t>Fees</w:t>
      </w:r>
      <w:bookmarkEnd w:id="32"/>
    </w:p>
    <w:p>
      <w:pPr>
        <w:pStyle w:val="yShoulderClause"/>
      </w:pPr>
      <w:r>
        <w:t>[r. 4 and 4A]</w:t>
      </w:r>
    </w:p>
    <w:p>
      <w:pPr>
        <w:pStyle w:val="yFootnoteheading"/>
        <w:spacing w:after="60"/>
      </w:pPr>
      <w:r>
        <w:tab/>
        <w:t>[Heading inserted: SL 2023/35 r. 43.]</w:t>
      </w:r>
    </w:p>
    <w:tbl>
      <w:tblPr>
        <w:tblW w:w="7088" w:type="dxa"/>
        <w:jc w:val="center"/>
        <w:tblLayout w:type="fixed"/>
        <w:tblLook w:val="0000" w:firstRow="0" w:lastRow="0" w:firstColumn="0" w:lastColumn="0" w:noHBand="0" w:noVBand="0"/>
      </w:tblPr>
      <w:tblGrid>
        <w:gridCol w:w="709"/>
        <w:gridCol w:w="4962"/>
        <w:gridCol w:w="1417"/>
      </w:tblGrid>
      <w:tr>
        <w:trPr>
          <w:cantSplit/>
          <w:tblHeader/>
          <w:jc w:val="center"/>
        </w:trPr>
        <w:tc>
          <w:tcPr>
            <w:tcW w:w="709" w:type="dxa"/>
            <w:tcBorders>
              <w:top w:val="single" w:sz="4" w:space="0" w:color="auto"/>
              <w:bottom w:val="single" w:sz="4" w:space="0" w:color="auto"/>
            </w:tcBorders>
            <w:noWrap/>
          </w:tcPr>
          <w:p>
            <w:pPr>
              <w:pStyle w:val="yTableNAm"/>
              <w:jc w:val="center"/>
              <w:rPr>
                <w:b/>
              </w:rPr>
            </w:pPr>
            <w:r>
              <w:rPr>
                <w:b/>
              </w:rPr>
              <w:t>Item</w:t>
            </w:r>
          </w:p>
        </w:tc>
        <w:tc>
          <w:tcPr>
            <w:tcW w:w="4962" w:type="dxa"/>
            <w:tcBorders>
              <w:top w:val="single" w:sz="4" w:space="0" w:color="auto"/>
              <w:bottom w:val="single" w:sz="4" w:space="0" w:color="auto"/>
            </w:tcBorders>
            <w:noWrap/>
          </w:tcPr>
          <w:p>
            <w:pPr>
              <w:pStyle w:val="yTableNAm"/>
              <w:jc w:val="center"/>
              <w:rPr>
                <w:b/>
                <w:bCs/>
              </w:rPr>
            </w:pPr>
            <w:r>
              <w:rPr>
                <w:b/>
                <w:bCs/>
              </w:rPr>
              <w:t>Column 1</w:t>
            </w:r>
          </w:p>
          <w:p>
            <w:pPr>
              <w:pStyle w:val="yTableNAm"/>
              <w:jc w:val="center"/>
              <w:rPr>
                <w:b/>
                <w:bCs/>
              </w:rPr>
            </w:pPr>
            <w:r>
              <w:rPr>
                <w:b/>
                <w:bCs/>
              </w:rPr>
              <w:t>Description of fee</w:t>
            </w:r>
          </w:p>
        </w:tc>
        <w:tc>
          <w:tcPr>
            <w:tcW w:w="1417" w:type="dxa"/>
            <w:tcBorders>
              <w:top w:val="single" w:sz="4" w:space="0" w:color="auto"/>
              <w:bottom w:val="single" w:sz="4" w:space="0" w:color="auto"/>
            </w:tcBorders>
            <w:noWrap/>
          </w:tcPr>
          <w:p>
            <w:pPr>
              <w:pStyle w:val="yTableNAm"/>
              <w:jc w:val="center"/>
              <w:rPr>
                <w:b/>
              </w:rPr>
            </w:pPr>
            <w:r>
              <w:rPr>
                <w:b/>
              </w:rPr>
              <w:t>Column 2</w:t>
            </w:r>
          </w:p>
          <w:p>
            <w:pPr>
              <w:pStyle w:val="yTableNAm"/>
              <w:jc w:val="center"/>
              <w:rPr>
                <w:b/>
              </w:rPr>
            </w:pPr>
            <w:r>
              <w:rPr>
                <w:b/>
              </w:rPr>
              <w:t>Fee ($)</w:t>
            </w:r>
          </w:p>
        </w:tc>
      </w:tr>
      <w:tr>
        <w:trPr>
          <w:cantSplit/>
          <w:jc w:val="center"/>
        </w:trPr>
        <w:tc>
          <w:tcPr>
            <w:tcW w:w="709" w:type="dxa"/>
            <w:noWrap/>
          </w:tcPr>
          <w:p>
            <w:pPr>
              <w:pStyle w:val="yTableNAm"/>
            </w:pPr>
            <w:r>
              <w:t>1.</w:t>
            </w:r>
          </w:p>
        </w:tc>
        <w:tc>
          <w:tcPr>
            <w:tcW w:w="4962" w:type="dxa"/>
            <w:noWrap/>
          </w:tcPr>
          <w:p>
            <w:pPr>
              <w:pStyle w:val="yTableNAm"/>
            </w:pPr>
            <w:r>
              <w:t>Grant of licence (including a triennial certificate) to a natural person</w:t>
            </w:r>
          </w:p>
        </w:tc>
        <w:tc>
          <w:tcPr>
            <w:tcW w:w="1417" w:type="dxa"/>
            <w:noWrap/>
            <w:vAlign w:val="bottom"/>
          </w:tcPr>
          <w:p>
            <w:pPr>
              <w:pStyle w:val="yTableNAm"/>
              <w:ind w:right="182"/>
              <w:jc w:val="right"/>
            </w:pPr>
            <w:r>
              <w:t>995.00</w:t>
            </w:r>
          </w:p>
        </w:tc>
      </w:tr>
      <w:tr>
        <w:trPr>
          <w:cantSplit/>
          <w:jc w:val="center"/>
        </w:trPr>
        <w:tc>
          <w:tcPr>
            <w:tcW w:w="709" w:type="dxa"/>
            <w:noWrap/>
          </w:tcPr>
          <w:p>
            <w:pPr>
              <w:pStyle w:val="yTableNAm"/>
            </w:pPr>
            <w:r>
              <w:t>2.</w:t>
            </w:r>
          </w:p>
        </w:tc>
        <w:tc>
          <w:tcPr>
            <w:tcW w:w="4962" w:type="dxa"/>
            <w:noWrap/>
          </w:tcPr>
          <w:p>
            <w:pPr>
              <w:pStyle w:val="yTableNAm"/>
            </w:pPr>
            <w:r>
              <w:t>Grant of licence (including a triennial certificate) to a firm</w:t>
            </w:r>
          </w:p>
        </w:tc>
        <w:tc>
          <w:tcPr>
            <w:tcW w:w="1417" w:type="dxa"/>
            <w:noWrap/>
            <w:vAlign w:val="bottom"/>
          </w:tcPr>
          <w:p>
            <w:pPr>
              <w:pStyle w:val="yTableNAm"/>
              <w:ind w:right="182"/>
              <w:jc w:val="right"/>
            </w:pPr>
            <w:r>
              <w:t>1 301.00</w:t>
            </w:r>
          </w:p>
        </w:tc>
      </w:tr>
      <w:tr>
        <w:trPr>
          <w:cantSplit/>
          <w:jc w:val="center"/>
        </w:trPr>
        <w:tc>
          <w:tcPr>
            <w:tcW w:w="709" w:type="dxa"/>
            <w:noWrap/>
          </w:tcPr>
          <w:p>
            <w:pPr>
              <w:pStyle w:val="yTableNAm"/>
            </w:pPr>
            <w:r>
              <w:t>3.</w:t>
            </w:r>
          </w:p>
        </w:tc>
        <w:tc>
          <w:tcPr>
            <w:tcW w:w="4962" w:type="dxa"/>
            <w:noWrap/>
          </w:tcPr>
          <w:p>
            <w:pPr>
              <w:pStyle w:val="yTableNAm"/>
            </w:pPr>
            <w:r>
              <w:t>Grant of licence (including a triennial certificate) to a body corporate</w:t>
            </w:r>
          </w:p>
        </w:tc>
        <w:tc>
          <w:tcPr>
            <w:tcW w:w="1417" w:type="dxa"/>
            <w:noWrap/>
            <w:vAlign w:val="bottom"/>
          </w:tcPr>
          <w:p>
            <w:pPr>
              <w:pStyle w:val="yTableNAm"/>
              <w:ind w:right="182"/>
              <w:jc w:val="right"/>
            </w:pPr>
            <w:r>
              <w:t>1 301.00</w:t>
            </w:r>
          </w:p>
        </w:tc>
      </w:tr>
      <w:tr>
        <w:trPr>
          <w:cantSplit/>
          <w:jc w:val="center"/>
        </w:trPr>
        <w:tc>
          <w:tcPr>
            <w:tcW w:w="709" w:type="dxa"/>
            <w:noWrap/>
          </w:tcPr>
          <w:p>
            <w:pPr>
              <w:pStyle w:val="yTableNAm"/>
            </w:pPr>
            <w:r>
              <w:t>4.</w:t>
            </w:r>
          </w:p>
        </w:tc>
        <w:tc>
          <w:tcPr>
            <w:tcW w:w="4962" w:type="dxa"/>
            <w:noWrap/>
          </w:tcPr>
          <w:p>
            <w:pPr>
              <w:pStyle w:val="yTableNAm"/>
            </w:pPr>
            <w:r>
              <w:t>Renewal of triennial certificate</w:t>
            </w:r>
          </w:p>
        </w:tc>
        <w:tc>
          <w:tcPr>
            <w:tcW w:w="1417" w:type="dxa"/>
            <w:noWrap/>
            <w:vAlign w:val="bottom"/>
          </w:tcPr>
          <w:p>
            <w:pPr>
              <w:pStyle w:val="yTableNAm"/>
              <w:ind w:right="182"/>
              <w:jc w:val="right"/>
            </w:pPr>
            <w:r>
              <w:t>823.00</w:t>
            </w:r>
          </w:p>
        </w:tc>
      </w:tr>
      <w:tr>
        <w:trPr>
          <w:cantSplit/>
          <w:trHeight w:val="83"/>
          <w:jc w:val="center"/>
        </w:trPr>
        <w:tc>
          <w:tcPr>
            <w:tcW w:w="709" w:type="dxa"/>
            <w:noWrap/>
          </w:tcPr>
          <w:p>
            <w:pPr>
              <w:pStyle w:val="yTableNAm"/>
            </w:pPr>
            <w:r>
              <w:t>5.</w:t>
            </w:r>
          </w:p>
        </w:tc>
        <w:tc>
          <w:tcPr>
            <w:tcW w:w="4962" w:type="dxa"/>
            <w:noWrap/>
          </w:tcPr>
          <w:p>
            <w:pPr>
              <w:pStyle w:val="yTableNAm"/>
            </w:pPr>
            <w:r>
              <w:t>Inspection of register</w:t>
            </w:r>
          </w:p>
        </w:tc>
        <w:tc>
          <w:tcPr>
            <w:tcW w:w="1417" w:type="dxa"/>
            <w:noWrap/>
            <w:vAlign w:val="bottom"/>
          </w:tcPr>
          <w:p>
            <w:pPr>
              <w:pStyle w:val="yTableNAm"/>
              <w:ind w:right="182"/>
              <w:jc w:val="right"/>
            </w:pPr>
            <w:r>
              <w:t>11.80</w:t>
            </w:r>
          </w:p>
        </w:tc>
      </w:tr>
      <w:tr>
        <w:trPr>
          <w:cantSplit/>
          <w:jc w:val="center"/>
        </w:trPr>
        <w:tc>
          <w:tcPr>
            <w:tcW w:w="709" w:type="dxa"/>
            <w:noWrap/>
          </w:tcPr>
          <w:p>
            <w:pPr>
              <w:pStyle w:val="yTableNAm"/>
            </w:pPr>
            <w:r>
              <w:t>6.</w:t>
            </w:r>
          </w:p>
        </w:tc>
        <w:tc>
          <w:tcPr>
            <w:tcW w:w="4962" w:type="dxa"/>
            <w:noWrap/>
          </w:tcPr>
          <w:p>
            <w:pPr>
              <w:pStyle w:val="yTableNAm"/>
            </w:pPr>
            <w:r>
              <w:t>Issue of duplicate licence or duplicate triennial certificate</w:t>
            </w:r>
          </w:p>
        </w:tc>
        <w:tc>
          <w:tcPr>
            <w:tcW w:w="1417" w:type="dxa"/>
            <w:noWrap/>
            <w:vAlign w:val="bottom"/>
          </w:tcPr>
          <w:p>
            <w:pPr>
              <w:pStyle w:val="yTableNAm"/>
              <w:ind w:right="182"/>
              <w:jc w:val="right"/>
            </w:pPr>
            <w:r>
              <w:t>33.00</w:t>
            </w:r>
          </w:p>
        </w:tc>
      </w:tr>
      <w:tr>
        <w:trPr>
          <w:cantSplit/>
          <w:jc w:val="center"/>
        </w:trPr>
        <w:tc>
          <w:tcPr>
            <w:tcW w:w="709" w:type="dxa"/>
            <w:noWrap/>
          </w:tcPr>
          <w:p>
            <w:pPr>
              <w:pStyle w:val="yTableNAm"/>
            </w:pPr>
            <w:r>
              <w:t>7.</w:t>
            </w:r>
          </w:p>
        </w:tc>
        <w:tc>
          <w:tcPr>
            <w:tcW w:w="4962" w:type="dxa"/>
            <w:noWrap/>
          </w:tcPr>
          <w:p>
            <w:pPr>
              <w:pStyle w:val="yTableNAm"/>
            </w:pPr>
            <w:r>
              <w:t>Certificate as to an individual registration —</w:t>
            </w:r>
          </w:p>
        </w:tc>
        <w:tc>
          <w:tcPr>
            <w:tcW w:w="1417" w:type="dxa"/>
            <w:noWrap/>
            <w:vAlign w:val="bottom"/>
          </w:tcPr>
          <w:p>
            <w:pPr>
              <w:pStyle w:val="yTableNAm"/>
              <w:ind w:right="182"/>
              <w:jc w:val="right"/>
            </w:pPr>
          </w:p>
        </w:tc>
      </w:tr>
      <w:tr>
        <w:trPr>
          <w:cantSplit/>
          <w:jc w:val="center"/>
        </w:trPr>
        <w:tc>
          <w:tcPr>
            <w:tcW w:w="709" w:type="dxa"/>
            <w:noWrap/>
          </w:tcPr>
          <w:p>
            <w:pPr>
              <w:pStyle w:val="yTableNAm"/>
            </w:pPr>
          </w:p>
        </w:tc>
        <w:tc>
          <w:tcPr>
            <w:tcW w:w="4962" w:type="dxa"/>
            <w:noWrap/>
          </w:tcPr>
          <w:p>
            <w:pPr>
              <w:pStyle w:val="yTableNAm"/>
            </w:pPr>
            <w:r>
              <w:t>(a)</w:t>
            </w:r>
            <w:r>
              <w:tab/>
              <w:t>first page</w:t>
            </w:r>
          </w:p>
        </w:tc>
        <w:tc>
          <w:tcPr>
            <w:tcW w:w="1417" w:type="dxa"/>
            <w:noWrap/>
            <w:vAlign w:val="bottom"/>
          </w:tcPr>
          <w:p>
            <w:pPr>
              <w:pStyle w:val="yTableNAm"/>
              <w:ind w:right="182"/>
              <w:jc w:val="right"/>
            </w:pPr>
            <w:r>
              <w:t>14.00</w:t>
            </w:r>
          </w:p>
        </w:tc>
      </w:tr>
      <w:tr>
        <w:trPr>
          <w:cantSplit/>
          <w:jc w:val="center"/>
        </w:trPr>
        <w:tc>
          <w:tcPr>
            <w:tcW w:w="709" w:type="dxa"/>
            <w:noWrap/>
          </w:tcPr>
          <w:p>
            <w:pPr>
              <w:pStyle w:val="yTableNAm"/>
            </w:pPr>
          </w:p>
        </w:tc>
        <w:tc>
          <w:tcPr>
            <w:tcW w:w="4962" w:type="dxa"/>
            <w:noWrap/>
          </w:tcPr>
          <w:p>
            <w:pPr>
              <w:pStyle w:val="yTableNAm"/>
            </w:pPr>
            <w:r>
              <w:t>(b)</w:t>
            </w:r>
            <w:r>
              <w:tab/>
              <w:t>each subsequent page</w:t>
            </w:r>
          </w:p>
        </w:tc>
        <w:tc>
          <w:tcPr>
            <w:tcW w:w="1417" w:type="dxa"/>
            <w:noWrap/>
            <w:vAlign w:val="bottom"/>
          </w:tcPr>
          <w:p>
            <w:pPr>
              <w:pStyle w:val="yTableNAm"/>
              <w:ind w:right="182"/>
              <w:jc w:val="right"/>
            </w:pPr>
            <w:r>
              <w:t>2.30</w:t>
            </w:r>
          </w:p>
        </w:tc>
      </w:tr>
      <w:tr>
        <w:trPr>
          <w:cantSplit/>
          <w:jc w:val="center"/>
        </w:trPr>
        <w:tc>
          <w:tcPr>
            <w:tcW w:w="709" w:type="dxa"/>
            <w:noWrap/>
          </w:tcPr>
          <w:p>
            <w:pPr>
              <w:pStyle w:val="yTableNAm"/>
              <w:keepNext/>
            </w:pPr>
            <w:r>
              <w:t>8.</w:t>
            </w:r>
          </w:p>
        </w:tc>
        <w:tc>
          <w:tcPr>
            <w:tcW w:w="4962" w:type="dxa"/>
            <w:noWrap/>
          </w:tcPr>
          <w:p>
            <w:pPr>
              <w:pStyle w:val="yTableNAm"/>
              <w:keepNext/>
            </w:pPr>
            <w:r>
              <w:t>Certificate as to all registrations in register</w:t>
            </w:r>
          </w:p>
        </w:tc>
        <w:tc>
          <w:tcPr>
            <w:tcW w:w="1417" w:type="dxa"/>
            <w:noWrap/>
            <w:vAlign w:val="bottom"/>
          </w:tcPr>
          <w:p>
            <w:pPr>
              <w:pStyle w:val="yTableNAm"/>
              <w:keepNext/>
              <w:ind w:right="182"/>
              <w:jc w:val="right"/>
            </w:pPr>
            <w:r>
              <w:t>133.00</w:t>
            </w:r>
          </w:p>
        </w:tc>
      </w:tr>
      <w:tr>
        <w:trPr>
          <w:cantSplit/>
          <w:jc w:val="center"/>
        </w:trPr>
        <w:tc>
          <w:tcPr>
            <w:tcW w:w="709" w:type="dxa"/>
            <w:tcBorders>
              <w:bottom w:val="single" w:sz="4" w:space="0" w:color="auto"/>
            </w:tcBorders>
            <w:noWrap/>
          </w:tcPr>
          <w:p>
            <w:pPr>
              <w:pStyle w:val="yTableNAm"/>
              <w:keepNext/>
            </w:pPr>
            <w:r>
              <w:t>9.</w:t>
            </w:r>
          </w:p>
        </w:tc>
        <w:tc>
          <w:tcPr>
            <w:tcW w:w="4962" w:type="dxa"/>
            <w:tcBorders>
              <w:bottom w:val="single" w:sz="4" w:space="0" w:color="auto"/>
            </w:tcBorders>
            <w:noWrap/>
          </w:tcPr>
          <w:p>
            <w:pPr>
              <w:pStyle w:val="yTableNAm"/>
              <w:keepNext/>
            </w:pPr>
            <w:r>
              <w:t>Fee for the purposes of section 30(3a)(b) of the Act (the holding fee)</w:t>
            </w:r>
          </w:p>
        </w:tc>
        <w:tc>
          <w:tcPr>
            <w:tcW w:w="1417" w:type="dxa"/>
            <w:tcBorders>
              <w:bottom w:val="single" w:sz="4" w:space="0" w:color="auto"/>
            </w:tcBorders>
            <w:noWrap/>
            <w:vAlign w:val="bottom"/>
          </w:tcPr>
          <w:p>
            <w:pPr>
              <w:pStyle w:val="yTableNAm"/>
              <w:keepNext/>
              <w:ind w:right="182"/>
              <w:jc w:val="right"/>
            </w:pPr>
            <w:r>
              <w:t>271.00</w:t>
            </w:r>
          </w:p>
        </w:tc>
      </w:tr>
    </w:tbl>
    <w:p>
      <w:pPr>
        <w:pStyle w:val="yFootnotesection"/>
      </w:pPr>
      <w:r>
        <w:tab/>
        <w:t>[Schedule 1 inserted: SL 2023/35 r. 43.]</w:t>
      </w:r>
    </w:p>
    <w:p>
      <w:pPr>
        <w:pStyle w:val="yScheduleHeading"/>
      </w:pPr>
      <w:bookmarkStart w:id="33" w:name="_Toc155172969"/>
      <w:r>
        <w:rPr>
          <w:rStyle w:val="CharSchNo"/>
        </w:rPr>
        <w:lastRenderedPageBreak/>
        <w:t>Schedule 1A</w:t>
      </w:r>
      <w:r>
        <w:rPr>
          <w:rStyle w:val="CharSDivNo"/>
        </w:rPr>
        <w:t> </w:t>
      </w:r>
      <w:r>
        <w:t>—</w:t>
      </w:r>
      <w:r>
        <w:rPr>
          <w:rStyle w:val="CharSDivText"/>
        </w:rPr>
        <w:t> </w:t>
      </w:r>
      <w:r>
        <w:rPr>
          <w:rStyle w:val="CharSchText"/>
        </w:rPr>
        <w:t>Professional development subjects</w:t>
      </w:r>
      <w:bookmarkEnd w:id="33"/>
    </w:p>
    <w:p>
      <w:pPr>
        <w:pStyle w:val="yShoulderClause"/>
      </w:pPr>
      <w:r>
        <w:rPr>
          <w:szCs w:val="22"/>
        </w:rPr>
        <w:t>[r. 2]</w:t>
      </w:r>
    </w:p>
    <w:p>
      <w:pPr>
        <w:pStyle w:val="yFootnoteheading"/>
      </w:pPr>
      <w:r>
        <w:tab/>
        <w:t>[Heading inserted: Gazette 28 Dec 2007 p. 6411; amended: SL 2020/259 r. 9.]</w:t>
      </w:r>
    </w:p>
    <w:p>
      <w:pPr>
        <w:pStyle w:val="yNumberedItem"/>
      </w:pPr>
      <w:r>
        <w:t>1.</w:t>
      </w:r>
      <w:r>
        <w:tab/>
        <w:t>Joint Form of General Conditions</w:t>
      </w:r>
    </w:p>
    <w:p>
      <w:pPr>
        <w:pStyle w:val="yNumberedItem"/>
      </w:pPr>
      <w:r>
        <w:t>2.</w:t>
      </w:r>
      <w:r>
        <w:tab/>
        <w:t>Conflicts of interest and disclosures</w:t>
      </w:r>
    </w:p>
    <w:p>
      <w:pPr>
        <w:pStyle w:val="yNumberedItem"/>
      </w:pPr>
      <w:r>
        <w:t>3.</w:t>
      </w:r>
      <w:r>
        <w:tab/>
        <w:t>Reconciliation of trust accounts</w:t>
      </w:r>
    </w:p>
    <w:p>
      <w:pPr>
        <w:pStyle w:val="yNumberedItem"/>
      </w:pPr>
      <w:r>
        <w:t>4.</w:t>
      </w:r>
      <w:r>
        <w:tab/>
        <w:t>Risk management — Professional indemnity insurance claims</w:t>
      </w:r>
    </w:p>
    <w:p>
      <w:pPr>
        <w:pStyle w:val="yNumberedItem"/>
      </w:pPr>
      <w:r>
        <w:t>5.</w:t>
      </w:r>
      <w:r>
        <w:tab/>
        <w:t>Business management practices</w:t>
      </w:r>
    </w:p>
    <w:p>
      <w:pPr>
        <w:pStyle w:val="yNumberedItem"/>
      </w:pPr>
      <w:r>
        <w:t>6.</w:t>
      </w:r>
      <w:r>
        <w:tab/>
        <w:t>Communication</w:t>
      </w:r>
    </w:p>
    <w:p>
      <w:pPr>
        <w:pStyle w:val="yNumberedItem"/>
      </w:pPr>
      <w:r>
        <w:t>7.</w:t>
      </w:r>
      <w:r>
        <w:tab/>
        <w:t>Customer service skills</w:t>
      </w:r>
    </w:p>
    <w:p>
      <w:pPr>
        <w:pStyle w:val="yNumberedItem"/>
      </w:pPr>
      <w:r>
        <w:t>8.</w:t>
      </w:r>
      <w:r>
        <w:tab/>
        <w:t>Disciplinary proceedings</w:t>
      </w:r>
    </w:p>
    <w:p>
      <w:pPr>
        <w:pStyle w:val="yNumberedItem"/>
      </w:pPr>
      <w:r>
        <w:t>9.</w:t>
      </w:r>
      <w:r>
        <w:tab/>
        <w:t>Law of contract</w:t>
      </w:r>
    </w:p>
    <w:p>
      <w:pPr>
        <w:pStyle w:val="yNumberedItem"/>
      </w:pPr>
      <w:r>
        <w:t>10.</w:t>
      </w:r>
      <w:r>
        <w:tab/>
        <w:t>Managing agency risk</w:t>
      </w:r>
    </w:p>
    <w:p>
      <w:pPr>
        <w:pStyle w:val="yNumberedItem"/>
      </w:pPr>
      <w:r>
        <w:t>11.</w:t>
      </w:r>
      <w:r>
        <w:tab/>
        <w:t>Legislation regulating the carrying on of business as a settlement agent in Western Australia</w:t>
      </w:r>
    </w:p>
    <w:p>
      <w:pPr>
        <w:pStyle w:val="yNumberedItem"/>
      </w:pPr>
      <w:r>
        <w:t>12.</w:t>
      </w:r>
      <w:r>
        <w:tab/>
        <w:t>Settlement of commercial property</w:t>
      </w:r>
    </w:p>
    <w:p>
      <w:pPr>
        <w:pStyle w:val="yNumberedItem"/>
      </w:pPr>
      <w:r>
        <w:t>13.</w:t>
      </w:r>
      <w:r>
        <w:tab/>
        <w:t>Strata title settlements</w:t>
      </w:r>
    </w:p>
    <w:p>
      <w:pPr>
        <w:pStyle w:val="yNumberedItem"/>
      </w:pPr>
      <w:r>
        <w:t>14.</w:t>
      </w:r>
      <w:r>
        <w:tab/>
        <w:t>Understanding real estate and settlement documents</w:t>
      </w:r>
    </w:p>
    <w:p>
      <w:pPr>
        <w:pStyle w:val="yNumberedItem"/>
      </w:pPr>
      <w:r>
        <w:t>15.</w:t>
      </w:r>
      <w:r>
        <w:tab/>
        <w:t>Valid appointment to act</w:t>
      </w:r>
    </w:p>
    <w:p>
      <w:pPr>
        <w:pStyle w:val="yNumberedItem"/>
      </w:pPr>
      <w:r>
        <w:t>16.</w:t>
      </w:r>
      <w:r>
        <w:tab/>
        <w:t>Office of State Revenue rulings and practices</w:t>
      </w:r>
    </w:p>
    <w:p>
      <w:pPr>
        <w:pStyle w:val="yNumberedItem"/>
      </w:pPr>
      <w:r>
        <w:t>17.</w:t>
      </w:r>
      <w:r>
        <w:tab/>
        <w:t>Landgate practices and procedures</w:t>
      </w:r>
    </w:p>
    <w:p>
      <w:pPr>
        <w:pStyle w:val="yNumberedItem"/>
      </w:pPr>
      <w:r>
        <w:t>18.</w:t>
      </w:r>
      <w:r>
        <w:tab/>
        <w:t>Legislative change affecting conveyancing</w:t>
      </w:r>
    </w:p>
    <w:p>
      <w:pPr>
        <w:pStyle w:val="yNumberedItem"/>
      </w:pPr>
      <w:r>
        <w:t>19.</w:t>
      </w:r>
      <w:r>
        <w:tab/>
        <w:t>Community title settlements</w:t>
      </w:r>
    </w:p>
    <w:p>
      <w:pPr>
        <w:pStyle w:val="yFootnotesection"/>
      </w:pPr>
      <w:r>
        <w:tab/>
        <w:t>[Schedule 1A inserted: Gazette 28 Dec 2007 p. 6411; amended: SL 2021/71 r. 24.]</w:t>
      </w:r>
    </w:p>
    <w:p>
      <w:pPr>
        <w:pStyle w:val="yScheduleHeading"/>
        <w:rPr>
          <w:b w:val="0"/>
        </w:rPr>
      </w:pPr>
      <w:bookmarkStart w:id="34" w:name="_Toc155172970"/>
      <w:r>
        <w:rPr>
          <w:rStyle w:val="CharSchNo"/>
        </w:rPr>
        <w:lastRenderedPageBreak/>
        <w:t>Schedule 2</w:t>
      </w:r>
      <w:r>
        <w:t> — </w:t>
      </w:r>
      <w:r>
        <w:rPr>
          <w:rStyle w:val="CharSchText"/>
        </w:rPr>
        <w:t>Notice under section 26A or 26B of the Act</w:t>
      </w:r>
      <w:bookmarkEnd w:id="34"/>
    </w:p>
    <w:p>
      <w:pPr>
        <w:pStyle w:val="yMiscellaneousHeading"/>
        <w:rPr>
          <w:snapToGrid w:val="0"/>
        </w:rPr>
      </w:pPr>
      <w:r>
        <w:rPr>
          <w:snapToGrid w:val="0"/>
        </w:rPr>
        <w:t>WESTERN AUSTRALIA</w:t>
      </w:r>
    </w:p>
    <w:p>
      <w:pPr>
        <w:pStyle w:val="yMiscellaneousHeading"/>
        <w:rPr>
          <w:i/>
          <w:snapToGrid w:val="0"/>
        </w:rPr>
      </w:pPr>
      <w:r>
        <w:rPr>
          <w:i/>
          <w:snapToGrid w:val="0"/>
        </w:rPr>
        <w:t>SETTLEMENT AGENTS ACT 1981</w:t>
      </w:r>
    </w:p>
    <w:p>
      <w:pPr>
        <w:pStyle w:val="yMiscellaneousBody"/>
        <w:rPr>
          <w:snapToGrid w:val="0"/>
        </w:rPr>
      </w:pPr>
      <w:r>
        <w:rPr>
          <w:snapToGrid w:val="0"/>
        </w:rPr>
        <w:t>Take notice that I/We</w:t>
      </w:r>
      <w:r>
        <w:rPr>
          <w:snapToGrid w:val="0"/>
        </w:rPr>
        <w:br/>
        <w:t>of</w:t>
      </w:r>
      <w:r>
        <w:rPr>
          <w:snapToGrid w:val="0"/>
        </w:rPr>
        <w:br/>
        <w:t>being a licensed Real Estate and/or Business Agent exempted under section(s) 26A and/or 26B of the above Act may not arrange or effect settlements for reward.</w:t>
      </w:r>
    </w:p>
    <w:p>
      <w:pPr>
        <w:pStyle w:val="yMiscellaneousBody"/>
        <w:rPr>
          <w:snapToGrid w:val="0"/>
        </w:rPr>
      </w:pPr>
      <w:r>
        <w:rPr>
          <w:snapToGrid w:val="0"/>
        </w:rPr>
        <w:t>This means that I/We can arrange or effect your settlement free of charge but you will not be entitled to make any claim against the “Settlement Agents Fidelity Guarantee Account” or to the protection of the Settlement Agents Act generally in respect of the settlement.</w:t>
      </w:r>
    </w:p>
    <w:p>
      <w:pPr>
        <w:pStyle w:val="yFootnotesection"/>
      </w:pPr>
      <w:r>
        <w:tab/>
        <w:t>[Schedule 2 inserted: Gazette 29 Oct 1982 p. 4323</w:t>
      </w:r>
      <w:r>
        <w:noBreakHyphen/>
        <w:t>4; amended: Gazette 23 May 1997 p. 2421; 26 Oct 2007 p. 5652.]</w:t>
      </w:r>
    </w:p>
    <w:p>
      <w:pPr>
        <w:pStyle w:val="yScheduleHeading"/>
      </w:pPr>
      <w:bookmarkStart w:id="35" w:name="_Toc155172971"/>
      <w:r>
        <w:rPr>
          <w:rStyle w:val="CharSchNo"/>
        </w:rPr>
        <w:lastRenderedPageBreak/>
        <w:t>Schedule 3</w:t>
      </w:r>
      <w:r>
        <w:t> — </w:t>
      </w:r>
      <w:r>
        <w:rPr>
          <w:rStyle w:val="CharSchText"/>
        </w:rPr>
        <w:t>Documents that a real estate settlement agent may draw or prepare</w:t>
      </w:r>
      <w:bookmarkEnd w:id="35"/>
    </w:p>
    <w:p>
      <w:pPr>
        <w:pStyle w:val="yShoulderClause"/>
        <w:rPr>
          <w:snapToGrid w:val="0"/>
        </w:rPr>
      </w:pPr>
      <w:r>
        <w:t xml:space="preserve"> </w:t>
      </w:r>
      <w:r>
        <w:rPr>
          <w:snapToGrid w:val="0"/>
        </w:rPr>
        <w:t>[Reg. 11]</w:t>
      </w:r>
    </w:p>
    <w:p>
      <w:pPr>
        <w:pStyle w:val="yFootnoteheading"/>
      </w:pPr>
      <w:r>
        <w:tab/>
        <w:t>[Heading inserted: Gazette 23 May 1997 p. 2421.]</w:t>
      </w:r>
    </w:p>
    <w:p>
      <w:pPr>
        <w:pStyle w:val="yHeading3"/>
        <w:rPr>
          <w:snapToGrid w:val="0"/>
        </w:rPr>
      </w:pPr>
      <w:bookmarkStart w:id="36" w:name="_Toc155172972"/>
      <w:r>
        <w:rPr>
          <w:rStyle w:val="CharSDivNo"/>
        </w:rPr>
        <w:t>Part A</w:t>
      </w:r>
      <w:r>
        <w:rPr>
          <w:snapToGrid w:val="0"/>
        </w:rPr>
        <w:t> — </w:t>
      </w:r>
      <w:r>
        <w:rPr>
          <w:rStyle w:val="CharSDivText"/>
        </w:rPr>
        <w:t>Offer and acceptance</w:t>
      </w:r>
      <w:bookmarkEnd w:id="36"/>
    </w:p>
    <w:p>
      <w:pPr>
        <w:pStyle w:val="yMiscellaneousBody"/>
        <w:ind w:left="567" w:hanging="567"/>
        <w:rPr>
          <w:snapToGrid w:val="0"/>
        </w:rPr>
      </w:pPr>
      <w:r>
        <w:rPr>
          <w:snapToGrid w:val="0"/>
        </w:rPr>
        <w:t>1.</w:t>
      </w:r>
      <w:r>
        <w:rPr>
          <w:snapToGrid w:val="0"/>
        </w:rPr>
        <w:tab/>
        <w:t>“Contract for Sale of Land by Offer and Acceptance” (1994 revision) incorporating the “1994 Joint Form of General Conditions for the Sale of Land”, as adopted jointly by the Law Society of Western Australia (Inc) and the Real Estate Institute of Western Australia (Inc) and approved by the Settlement Agents Association (Inc) and the Associated Settlement Agents of Western Australia (Inc).</w:t>
      </w:r>
    </w:p>
    <w:p>
      <w:pPr>
        <w:pStyle w:val="yMiscellaneousBody"/>
        <w:ind w:left="567" w:hanging="567"/>
        <w:rPr>
          <w:snapToGrid w:val="0"/>
        </w:rPr>
      </w:pPr>
      <w:r>
        <w:rPr>
          <w:snapToGrid w:val="0"/>
        </w:rPr>
        <w:t>2.</w:t>
      </w:r>
      <w:r>
        <w:rPr>
          <w:snapToGrid w:val="0"/>
        </w:rPr>
        <w:tab/>
        <w:t>“Contract for Sale of Strata Title Property by Offer and Acceptance” incorporating the “1994 Joint Form of General Conditions for the Sale of Land”, as adopted jointly by the Law Society of Western Australia (Inc) and the Real Estate Institute of Western Australia (Inc) and approved by the Settlement Agents Association (Inc) and the Associated Settlement Agents of Western Australia (Inc).</w:t>
      </w:r>
    </w:p>
    <w:p>
      <w:pPr>
        <w:pStyle w:val="yMiscellaneousBody"/>
        <w:ind w:left="567" w:hanging="567"/>
      </w:pPr>
      <w:r>
        <w:t>3.</w:t>
      </w:r>
      <w:r>
        <w:tab/>
        <w:t>“Contract for Sale of Community Title Property by Offer and Acceptance” incorporating the “1994 Joint Form of General Conditions for the Sale of Land”, as adopted jointly by the Law Society of Western Australia (Inc) and the Real Estate Institute of Western Australia (Inc) and approved by the Settlement Agents Association (Inc) and the Associated Settlement Agents of Western Australia (Inc).</w:t>
      </w:r>
    </w:p>
    <w:p>
      <w:pPr>
        <w:pStyle w:val="yFootnotesection"/>
        <w:tabs>
          <w:tab w:val="clear" w:pos="893"/>
          <w:tab w:val="left" w:pos="567"/>
        </w:tabs>
        <w:ind w:left="600" w:hanging="600"/>
      </w:pPr>
      <w:r>
        <w:tab/>
        <w:t>[Part A inserted: Gazette 23 May 1997 p. 2421; amended: SL 2021/71 r. 25.]</w:t>
      </w:r>
    </w:p>
    <w:p>
      <w:pPr>
        <w:pStyle w:val="yHeading3"/>
        <w:rPr>
          <w:snapToGrid w:val="0"/>
        </w:rPr>
      </w:pPr>
      <w:bookmarkStart w:id="37" w:name="_Toc155172973"/>
      <w:r>
        <w:rPr>
          <w:rStyle w:val="CharSDivNo"/>
        </w:rPr>
        <w:t>Part B</w:t>
      </w:r>
      <w:r>
        <w:rPr>
          <w:snapToGrid w:val="0"/>
        </w:rPr>
        <w:t> — </w:t>
      </w:r>
      <w:r>
        <w:rPr>
          <w:rStyle w:val="CharSDivText"/>
        </w:rPr>
        <w:t>Requisitions on title</w:t>
      </w:r>
      <w:bookmarkEnd w:id="37"/>
    </w:p>
    <w:p>
      <w:pPr>
        <w:pStyle w:val="yMiscellaneousBody"/>
        <w:ind w:left="567" w:hanging="567"/>
        <w:rPr>
          <w:snapToGrid w:val="0"/>
        </w:rPr>
      </w:pPr>
      <w:r>
        <w:rPr>
          <w:snapToGrid w:val="0"/>
        </w:rPr>
        <w:t>1.</w:t>
      </w:r>
      <w:r>
        <w:rPr>
          <w:snapToGrid w:val="0"/>
        </w:rPr>
        <w:tab/>
        <w:t>Is the certificate or certificates of title to the land the subject of any dealing or dealings</w:t>
      </w:r>
      <w:r>
        <w:t xml:space="preserve"> under the </w:t>
      </w:r>
      <w:r>
        <w:rPr>
          <w:i/>
        </w:rPr>
        <w:t>Transfer of Land Act 1893</w:t>
      </w:r>
      <w:r>
        <w:rPr>
          <w:snapToGrid w:val="0"/>
        </w:rPr>
        <w:t xml:space="preserve">? If so, please provide true copies of all documents lodged </w:t>
      </w:r>
      <w:r>
        <w:t xml:space="preserve">under the </w:t>
      </w:r>
      <w:r>
        <w:rPr>
          <w:i/>
        </w:rPr>
        <w:t xml:space="preserve">Transfer of Land Act 1893 </w:t>
      </w:r>
      <w:r>
        <w:rPr>
          <w:snapToGrid w:val="0"/>
        </w:rPr>
        <w:t>relating to such dealing or dealings.</w:t>
      </w:r>
    </w:p>
    <w:p>
      <w:pPr>
        <w:pStyle w:val="yMiscellaneousBody"/>
        <w:ind w:left="567" w:hanging="567"/>
        <w:rPr>
          <w:snapToGrid w:val="0"/>
        </w:rPr>
      </w:pPr>
      <w:r>
        <w:rPr>
          <w:snapToGrid w:val="0"/>
        </w:rPr>
        <w:t>2.</w:t>
      </w:r>
      <w:r>
        <w:rPr>
          <w:snapToGrid w:val="0"/>
        </w:rPr>
        <w:tab/>
        <w:t>Is the vendor aware of any circumstances which could give rise to a claim to an interest in the land, or any parts of it, by virtue of adverse possession? If so, please provide details.</w:t>
      </w:r>
    </w:p>
    <w:p>
      <w:pPr>
        <w:pStyle w:val="yMiscellaneousBody"/>
        <w:ind w:left="567" w:hanging="567"/>
        <w:rPr>
          <w:snapToGrid w:val="0"/>
        </w:rPr>
      </w:pPr>
      <w:r>
        <w:rPr>
          <w:snapToGrid w:val="0"/>
        </w:rPr>
        <w:lastRenderedPageBreak/>
        <w:t>3.</w:t>
      </w:r>
      <w:r>
        <w:rPr>
          <w:snapToGrid w:val="0"/>
        </w:rPr>
        <w:tab/>
        <w:t>Is the vendor, after due enquiry, aware of any pending or threatened suit relating to the title of the land or any claim to its use generally or for any particular purpose adverse to the title of the vendor? If so, please provide details.</w:t>
      </w:r>
    </w:p>
    <w:p>
      <w:pPr>
        <w:pStyle w:val="yMiscellaneousBody"/>
        <w:ind w:left="567" w:hanging="567"/>
        <w:rPr>
          <w:snapToGrid w:val="0"/>
        </w:rPr>
      </w:pPr>
      <w:r>
        <w:rPr>
          <w:snapToGrid w:val="0"/>
        </w:rPr>
        <w:t>4.</w:t>
      </w:r>
      <w:r>
        <w:rPr>
          <w:snapToGrid w:val="0"/>
        </w:rPr>
        <w:tab/>
        <w:t>Is the vendor aware of any circumstances, including enjoyment or use, which would give rise to claims to rights of way, liens, restrictive covenants, grants of licence or of other rights or easements, public or private, or trusts, affecting the land, not referred to in the certificate or certificates of title to the land? If so, please provide details.</w:t>
      </w:r>
    </w:p>
    <w:p>
      <w:pPr>
        <w:pStyle w:val="yMiscellaneousBody"/>
        <w:ind w:left="567" w:hanging="567"/>
        <w:rPr>
          <w:snapToGrid w:val="0"/>
        </w:rPr>
      </w:pPr>
      <w:r>
        <w:rPr>
          <w:snapToGrid w:val="0"/>
        </w:rPr>
        <w:t>5.</w:t>
      </w:r>
      <w:r>
        <w:rPr>
          <w:snapToGrid w:val="0"/>
        </w:rPr>
        <w:tab/>
        <w:t>Does the vendor have any knowledge of any circumstances which could give rise to a charge against or interest in the land pursuant to any statute including, but not limited to, any of the following Acts:</w:t>
      </w:r>
    </w:p>
    <w:p>
      <w:pPr>
        <w:pStyle w:val="yMiscellaneousBody"/>
        <w:ind w:left="1134" w:hanging="567"/>
        <w:rPr>
          <w:snapToGrid w:val="0"/>
        </w:rPr>
      </w:pPr>
      <w:r>
        <w:rPr>
          <w:snapToGrid w:val="0"/>
        </w:rPr>
        <w:t>(a)</w:t>
      </w:r>
      <w:r>
        <w:rPr>
          <w:snapToGrid w:val="0"/>
        </w:rPr>
        <w:tab/>
      </w:r>
      <w:r>
        <w:rPr>
          <w:i/>
          <w:snapToGrid w:val="0"/>
        </w:rPr>
        <w:t>Lands Acquisition Act 1989</w:t>
      </w:r>
      <w:r>
        <w:rPr>
          <w:snapToGrid w:val="0"/>
        </w:rPr>
        <w:t xml:space="preserve"> (Cwlth);</w:t>
      </w:r>
    </w:p>
    <w:p>
      <w:pPr>
        <w:pStyle w:val="yMiscellaneousBody"/>
        <w:ind w:left="1134" w:hanging="567"/>
        <w:rPr>
          <w:snapToGrid w:val="0"/>
        </w:rPr>
      </w:pPr>
      <w:r>
        <w:rPr>
          <w:snapToGrid w:val="0"/>
        </w:rPr>
        <w:t>(b)</w:t>
      </w:r>
      <w:r>
        <w:rPr>
          <w:snapToGrid w:val="0"/>
        </w:rPr>
        <w:tab/>
      </w:r>
      <w:r>
        <w:rPr>
          <w:i/>
          <w:snapToGrid w:val="0"/>
        </w:rPr>
        <w:t>Energy Operators (Powers) Act 1979</w:t>
      </w:r>
      <w:r>
        <w:rPr>
          <w:snapToGrid w:val="0"/>
        </w:rPr>
        <w:t>;</w:t>
      </w:r>
    </w:p>
    <w:p>
      <w:pPr>
        <w:pStyle w:val="yMiscellaneousBody"/>
        <w:ind w:left="1134" w:hanging="567"/>
        <w:rPr>
          <w:snapToGrid w:val="0"/>
        </w:rPr>
      </w:pPr>
      <w:r>
        <w:rPr>
          <w:snapToGrid w:val="0"/>
        </w:rPr>
        <w:t>(c)</w:t>
      </w:r>
      <w:r>
        <w:rPr>
          <w:snapToGrid w:val="0"/>
        </w:rPr>
        <w:tab/>
      </w:r>
      <w:r>
        <w:rPr>
          <w:i/>
          <w:snapToGrid w:val="0"/>
        </w:rPr>
        <w:t>Environmental Protection Act 1986</w:t>
      </w:r>
      <w:r>
        <w:rPr>
          <w:snapToGrid w:val="0"/>
        </w:rPr>
        <w:t>;</w:t>
      </w:r>
    </w:p>
    <w:p>
      <w:pPr>
        <w:pStyle w:val="yMiscellaneousBody"/>
        <w:ind w:left="1134" w:hanging="567"/>
        <w:rPr>
          <w:snapToGrid w:val="0"/>
        </w:rPr>
      </w:pPr>
      <w:r>
        <w:rPr>
          <w:snapToGrid w:val="0"/>
        </w:rPr>
        <w:t>(d)</w:t>
      </w:r>
      <w:r>
        <w:rPr>
          <w:snapToGrid w:val="0"/>
        </w:rPr>
        <w:tab/>
      </w:r>
      <w:r>
        <w:rPr>
          <w:i/>
          <w:snapToGrid w:val="0"/>
        </w:rPr>
        <w:t>Heritage of Western Australia Act 1990</w:t>
      </w:r>
      <w:r>
        <w:rPr>
          <w:snapToGrid w:val="0"/>
        </w:rPr>
        <w:t>;</w:t>
      </w:r>
    </w:p>
    <w:p>
      <w:pPr>
        <w:pStyle w:val="yMiscellaneousBody"/>
        <w:ind w:left="1134" w:hanging="567"/>
        <w:rPr>
          <w:i/>
          <w:snapToGrid w:val="0"/>
        </w:rPr>
      </w:pPr>
      <w:r>
        <w:rPr>
          <w:i/>
          <w:snapToGrid w:val="0"/>
        </w:rPr>
        <w:t>[(e)</w:t>
      </w:r>
      <w:r>
        <w:rPr>
          <w:i/>
          <w:snapToGrid w:val="0"/>
        </w:rPr>
        <w:tab/>
        <w:t>deleted]</w:t>
      </w:r>
    </w:p>
    <w:p>
      <w:pPr>
        <w:pStyle w:val="yMiscellaneousBody"/>
        <w:ind w:left="1134" w:hanging="567"/>
        <w:rPr>
          <w:snapToGrid w:val="0"/>
        </w:rPr>
      </w:pPr>
      <w:r>
        <w:rPr>
          <w:snapToGrid w:val="0"/>
        </w:rPr>
        <w:t>(f)</w:t>
      </w:r>
      <w:r>
        <w:rPr>
          <w:snapToGrid w:val="0"/>
        </w:rPr>
        <w:tab/>
      </w:r>
      <w:r>
        <w:rPr>
          <w:i/>
          <w:snapToGrid w:val="0"/>
        </w:rPr>
        <w:t>Local Government Act 1995</w:t>
      </w:r>
      <w:r>
        <w:rPr>
          <w:snapToGrid w:val="0"/>
        </w:rPr>
        <w:t>;</w:t>
      </w:r>
    </w:p>
    <w:p>
      <w:pPr>
        <w:pStyle w:val="yMiscellaneousBody"/>
        <w:ind w:left="1134" w:hanging="567"/>
      </w:pPr>
      <w:r>
        <w:t>(g)</w:t>
      </w:r>
      <w:r>
        <w:tab/>
      </w:r>
      <w:r>
        <w:rPr>
          <w:i/>
        </w:rPr>
        <w:t>Water Services Act 2012</w:t>
      </w:r>
      <w:r>
        <w:t>;</w:t>
      </w:r>
    </w:p>
    <w:p>
      <w:pPr>
        <w:pStyle w:val="yMiscellaneousBody"/>
        <w:ind w:left="1134" w:hanging="567"/>
        <w:rPr>
          <w:snapToGrid w:val="0"/>
        </w:rPr>
      </w:pPr>
      <w:r>
        <w:rPr>
          <w:snapToGrid w:val="0"/>
        </w:rPr>
        <w:t>(ga)</w:t>
      </w:r>
      <w:r>
        <w:rPr>
          <w:snapToGrid w:val="0"/>
        </w:rPr>
        <w:tab/>
      </w:r>
      <w:r>
        <w:rPr>
          <w:i/>
          <w:snapToGrid w:val="0"/>
        </w:rPr>
        <w:t>Public Works Act 1902</w:t>
      </w:r>
      <w:r>
        <w:rPr>
          <w:snapToGrid w:val="0"/>
        </w:rPr>
        <w:t>;</w:t>
      </w:r>
    </w:p>
    <w:p>
      <w:pPr>
        <w:pStyle w:val="yMiscellaneousBody"/>
        <w:ind w:left="1134" w:hanging="567"/>
        <w:rPr>
          <w:snapToGrid w:val="0"/>
        </w:rPr>
      </w:pPr>
      <w:r>
        <w:rPr>
          <w:snapToGrid w:val="0"/>
        </w:rPr>
        <w:t>(h)</w:t>
      </w:r>
      <w:r>
        <w:rPr>
          <w:snapToGrid w:val="0"/>
        </w:rPr>
        <w:tab/>
      </w:r>
      <w:r>
        <w:rPr>
          <w:i/>
          <w:snapToGrid w:val="0"/>
        </w:rPr>
        <w:t>Retirement Villages Act 1992</w:t>
      </w:r>
      <w:r>
        <w:rPr>
          <w:snapToGrid w:val="0"/>
        </w:rPr>
        <w:t>;</w:t>
      </w:r>
    </w:p>
    <w:p>
      <w:pPr>
        <w:pStyle w:val="yMiscellaneousBody"/>
        <w:ind w:left="1134" w:hanging="567"/>
        <w:rPr>
          <w:snapToGrid w:val="0"/>
        </w:rPr>
      </w:pPr>
      <w:r>
        <w:rPr>
          <w:snapToGrid w:val="0"/>
        </w:rPr>
        <w:t>(i)</w:t>
      </w:r>
      <w:r>
        <w:rPr>
          <w:snapToGrid w:val="0"/>
        </w:rPr>
        <w:tab/>
      </w:r>
      <w:r>
        <w:rPr>
          <w:i/>
          <w:snapToGrid w:val="0"/>
        </w:rPr>
        <w:t>Soil and Land Conservation Act 1945</w:t>
      </w:r>
      <w:r>
        <w:rPr>
          <w:snapToGrid w:val="0"/>
        </w:rPr>
        <w:t>;</w:t>
      </w:r>
    </w:p>
    <w:p>
      <w:pPr>
        <w:pStyle w:val="yMiscellaneousBody"/>
        <w:ind w:left="1134" w:hanging="567"/>
        <w:rPr>
          <w:snapToGrid w:val="0"/>
        </w:rPr>
      </w:pPr>
      <w:r>
        <w:rPr>
          <w:snapToGrid w:val="0"/>
        </w:rPr>
        <w:t>(j)</w:t>
      </w:r>
      <w:r>
        <w:rPr>
          <w:snapToGrid w:val="0"/>
        </w:rPr>
        <w:tab/>
      </w:r>
      <w:r>
        <w:rPr>
          <w:i/>
          <w:snapToGrid w:val="0"/>
        </w:rPr>
        <w:t>Strata Titles Act </w:t>
      </w:r>
      <w:r>
        <w:rPr>
          <w:i/>
        </w:rPr>
        <w:t>1985</w:t>
      </w:r>
      <w:r>
        <w:t>;</w:t>
      </w:r>
    </w:p>
    <w:p>
      <w:pPr>
        <w:pStyle w:val="yMiscellaneousBody"/>
        <w:ind w:left="1134" w:hanging="567"/>
      </w:pPr>
      <w:r>
        <w:t>(k)</w:t>
      </w:r>
      <w:r>
        <w:tab/>
      </w:r>
      <w:r>
        <w:rPr>
          <w:i/>
        </w:rPr>
        <w:t>Community Titles Act 2018</w:t>
      </w:r>
      <w:r>
        <w:t>?</w:t>
      </w:r>
    </w:p>
    <w:p>
      <w:pPr>
        <w:pStyle w:val="yMiscellaneousBody"/>
        <w:ind w:left="567" w:hanging="567"/>
        <w:rPr>
          <w:snapToGrid w:val="0"/>
        </w:rPr>
      </w:pPr>
      <w:r>
        <w:rPr>
          <w:snapToGrid w:val="0"/>
        </w:rPr>
        <w:t>6.</w:t>
      </w:r>
      <w:r>
        <w:rPr>
          <w:snapToGrid w:val="0"/>
        </w:rPr>
        <w:tab/>
        <w:t>Is anybody in occupation of the land under any or any alleged lease or licence? If so, please provide precise details of the terms of any such lease or licence or alleged lease or licence and provide copies of any agreements in respect thereof.</w:t>
      </w:r>
    </w:p>
    <w:p>
      <w:pPr>
        <w:pStyle w:val="yMiscellaneousBody"/>
        <w:ind w:left="567" w:hanging="567"/>
        <w:rPr>
          <w:snapToGrid w:val="0"/>
        </w:rPr>
      </w:pPr>
      <w:r>
        <w:rPr>
          <w:snapToGrid w:val="0"/>
        </w:rPr>
        <w:lastRenderedPageBreak/>
        <w:t xml:space="preserve">7. </w:t>
      </w:r>
      <w:r>
        <w:rPr>
          <w:snapToGrid w:val="0"/>
        </w:rPr>
        <w:tab/>
        <w:t xml:space="preserve">Are there any claims by any third parties to a mining lease or licence under the </w:t>
      </w:r>
      <w:r>
        <w:rPr>
          <w:i/>
          <w:snapToGrid w:val="0"/>
        </w:rPr>
        <w:t>Mining Act 1978</w:t>
      </w:r>
      <w:r>
        <w:rPr>
          <w:snapToGrid w:val="0"/>
        </w:rPr>
        <w:t>? If so, please provide precise details of the terms of any claim.</w:t>
      </w:r>
    </w:p>
    <w:p>
      <w:pPr>
        <w:pStyle w:val="yMiscellaneousBody"/>
        <w:ind w:left="567" w:hanging="567"/>
        <w:rPr>
          <w:snapToGrid w:val="0"/>
        </w:rPr>
      </w:pPr>
      <w:r>
        <w:rPr>
          <w:snapToGrid w:val="0"/>
        </w:rPr>
        <w:t xml:space="preserve">8. </w:t>
      </w:r>
      <w:r>
        <w:rPr>
          <w:snapToGrid w:val="0"/>
        </w:rPr>
        <w:tab/>
        <w:t>The vendor is to list all applications, transfers, instruments, statutory declarations, discharges of mortgages, withdrawals of caveats or other documents to be tendered at settlement in order for the purchaser to become registered as the proprietor of the freehold of the land without any encumbrances on the title to it.</w:t>
      </w:r>
    </w:p>
    <w:p>
      <w:pPr>
        <w:pStyle w:val="yFootnotesection"/>
        <w:tabs>
          <w:tab w:val="clear" w:pos="893"/>
          <w:tab w:val="left" w:pos="567"/>
        </w:tabs>
        <w:ind w:left="600" w:hanging="600"/>
      </w:pPr>
      <w:r>
        <w:tab/>
        <w:t>[Part B inserted: Gazette 23 May 1997 p. 2421</w:t>
      </w:r>
      <w:r>
        <w:noBreakHyphen/>
        <w:t>2; amended: Gazette 15 Jun 2004 p. 2026; 22 Dec 2006 p. 5808; 14 Nov 2013 p. 5067.]</w:t>
      </w:r>
    </w:p>
    <w:p>
      <w:pPr>
        <w:pStyle w:val="yHeading3"/>
        <w:rPr>
          <w:b w:val="0"/>
          <w:snapToGrid w:val="0"/>
        </w:rPr>
      </w:pPr>
      <w:bookmarkStart w:id="38" w:name="_Toc155172974"/>
      <w:r>
        <w:rPr>
          <w:rStyle w:val="CharSDivNo"/>
        </w:rPr>
        <w:t>Part C</w:t>
      </w:r>
      <w:r>
        <w:rPr>
          <w:snapToGrid w:val="0"/>
        </w:rPr>
        <w:t> — </w:t>
      </w:r>
      <w:r>
        <w:rPr>
          <w:rStyle w:val="CharSDivText"/>
        </w:rPr>
        <w:t>Documents for registration or lodgement</w:t>
      </w:r>
      <w:bookmarkEnd w:id="38"/>
    </w:p>
    <w:p>
      <w:pPr>
        <w:pStyle w:val="yMiscellaneousBody"/>
        <w:ind w:left="567" w:hanging="567"/>
        <w:rPr>
          <w:snapToGrid w:val="0"/>
        </w:rPr>
      </w:pPr>
      <w:r>
        <w:rPr>
          <w:snapToGrid w:val="0"/>
        </w:rPr>
        <w:t>1.</w:t>
      </w:r>
      <w:r>
        <w:rPr>
          <w:snapToGrid w:val="0"/>
        </w:rPr>
        <w:tab/>
        <w:t xml:space="preserve">Under or for the purposes of the </w:t>
      </w:r>
      <w:r>
        <w:rPr>
          <w:i/>
          <w:snapToGrid w:val="0"/>
        </w:rPr>
        <w:t>Strata Titles Act 1985</w:t>
      </w:r>
      <w:r>
        <w:rPr>
          <w:snapToGrid w:val="0"/>
        </w:rPr>
        <w:t xml:space="preserve"> the following documents, subject to the condition that a licensee shall not draft a resolution of a strata company under or for the purposes of that Act </w:t>
      </w:r>
      <w:r>
        <w:t>—</w:t>
      </w:r>
    </w:p>
    <w:p>
      <w:pPr>
        <w:pStyle w:val="yMiscellaneousBody"/>
        <w:ind w:left="1134" w:hanging="567"/>
      </w:pPr>
      <w:r>
        <w:t>(a)</w:t>
      </w:r>
      <w:r>
        <w:tab/>
        <w:t>documents in the forms approved under the following provisions of that Act:</w:t>
      </w:r>
    </w:p>
    <w:tbl>
      <w:tblPr>
        <w:tblW w:w="5954" w:type="dxa"/>
        <w:tblInd w:w="1134" w:type="dxa"/>
        <w:tblLayout w:type="fixed"/>
        <w:tblCellMar>
          <w:left w:w="141" w:type="dxa"/>
          <w:right w:w="141" w:type="dxa"/>
        </w:tblCellMar>
        <w:tblLook w:val="0000" w:firstRow="0" w:lastRow="0" w:firstColumn="0" w:lastColumn="0" w:noHBand="0" w:noVBand="0"/>
      </w:tblPr>
      <w:tblGrid>
        <w:gridCol w:w="1418"/>
        <w:gridCol w:w="4536"/>
      </w:tblGrid>
      <w:tr>
        <w:trPr>
          <w:tblHeader/>
        </w:trPr>
        <w:tc>
          <w:tcPr>
            <w:tcW w:w="1418" w:type="dxa"/>
          </w:tcPr>
          <w:p>
            <w:pPr>
              <w:pStyle w:val="yTableNAm"/>
              <w:tabs>
                <w:tab w:val="clear" w:pos="567"/>
                <w:tab w:val="left" w:pos="0"/>
              </w:tabs>
              <w:rPr>
                <w:b/>
              </w:rPr>
            </w:pPr>
            <w:r>
              <w:rPr>
                <w:b/>
              </w:rPr>
              <w:t>Provision</w:t>
            </w:r>
          </w:p>
        </w:tc>
        <w:tc>
          <w:tcPr>
            <w:tcW w:w="4536" w:type="dxa"/>
          </w:tcPr>
          <w:p>
            <w:pPr>
              <w:pStyle w:val="yTableNAm"/>
              <w:tabs>
                <w:tab w:val="clear" w:pos="567"/>
                <w:tab w:val="left" w:pos="0"/>
              </w:tabs>
              <w:rPr>
                <w:b/>
              </w:rPr>
            </w:pPr>
            <w:r>
              <w:rPr>
                <w:b/>
              </w:rPr>
              <w:t>Description of document</w:t>
            </w:r>
          </w:p>
        </w:tc>
      </w:tr>
      <w:tr>
        <w:trPr>
          <w:cantSplit/>
        </w:trPr>
        <w:tc>
          <w:tcPr>
            <w:tcW w:w="1418" w:type="dxa"/>
          </w:tcPr>
          <w:p>
            <w:pPr>
              <w:pStyle w:val="yTableNAm"/>
              <w:tabs>
                <w:tab w:val="clear" w:pos="567"/>
                <w:tab w:val="left" w:pos="0"/>
              </w:tabs>
            </w:pPr>
            <w:r>
              <w:t>s. 15(5)(a)</w:t>
            </w:r>
          </w:p>
        </w:tc>
        <w:tc>
          <w:tcPr>
            <w:tcW w:w="4536" w:type="dxa"/>
          </w:tcPr>
          <w:p>
            <w:pPr>
              <w:pStyle w:val="yTableNAm"/>
              <w:tabs>
                <w:tab w:val="clear" w:pos="567"/>
                <w:tab w:val="left" w:pos="0"/>
              </w:tabs>
            </w:pPr>
            <w:r>
              <w:t>Application for approval of a strata plan or an amendment of a strata plan to give effect to a subdivision of land by a strata scheme</w:t>
            </w:r>
          </w:p>
        </w:tc>
      </w:tr>
      <w:tr>
        <w:trPr>
          <w:cantSplit/>
        </w:trPr>
        <w:tc>
          <w:tcPr>
            <w:tcW w:w="1418" w:type="dxa"/>
          </w:tcPr>
          <w:p>
            <w:pPr>
              <w:pStyle w:val="yTableNAm"/>
              <w:tabs>
                <w:tab w:val="clear" w:pos="567"/>
                <w:tab w:val="left" w:pos="0"/>
              </w:tabs>
            </w:pPr>
            <w:r>
              <w:t>s. 29(2)</w:t>
            </w:r>
          </w:p>
        </w:tc>
        <w:tc>
          <w:tcPr>
            <w:tcW w:w="4536" w:type="dxa"/>
          </w:tcPr>
          <w:p>
            <w:pPr>
              <w:pStyle w:val="yTableNAm"/>
              <w:tabs>
                <w:tab w:val="clear" w:pos="567"/>
                <w:tab w:val="left" w:pos="0"/>
              </w:tabs>
            </w:pPr>
            <w:r>
              <w:t>Scheme notice or amendment of a scheme notice</w:t>
            </w:r>
          </w:p>
        </w:tc>
      </w:tr>
      <w:tr>
        <w:trPr>
          <w:cantSplit/>
        </w:trPr>
        <w:tc>
          <w:tcPr>
            <w:tcW w:w="1418" w:type="dxa"/>
          </w:tcPr>
          <w:p>
            <w:pPr>
              <w:pStyle w:val="yTableNAm"/>
              <w:tabs>
                <w:tab w:val="clear" w:pos="567"/>
                <w:tab w:val="left" w:pos="0"/>
              </w:tabs>
            </w:pPr>
            <w:r>
              <w:t>s. 35(5)</w:t>
            </w:r>
          </w:p>
        </w:tc>
        <w:tc>
          <w:tcPr>
            <w:tcW w:w="4536" w:type="dxa"/>
          </w:tcPr>
          <w:p>
            <w:pPr>
              <w:pStyle w:val="yTableNAm"/>
              <w:tabs>
                <w:tab w:val="clear" w:pos="567"/>
                <w:tab w:val="left" w:pos="0"/>
              </w:tabs>
            </w:pPr>
            <w:r>
              <w:t>Notice of resolution for amendment of a scheme plan</w:t>
            </w:r>
          </w:p>
        </w:tc>
      </w:tr>
      <w:tr>
        <w:trPr>
          <w:cantSplit/>
        </w:trPr>
        <w:tc>
          <w:tcPr>
            <w:tcW w:w="1418" w:type="dxa"/>
          </w:tcPr>
          <w:p>
            <w:pPr>
              <w:pStyle w:val="yTableNAm"/>
              <w:tabs>
                <w:tab w:val="clear" w:pos="567"/>
                <w:tab w:val="left" w:pos="0"/>
              </w:tabs>
            </w:pPr>
            <w:r>
              <w:t>s. 44(5)</w:t>
            </w:r>
          </w:p>
        </w:tc>
        <w:tc>
          <w:tcPr>
            <w:tcW w:w="4536" w:type="dxa"/>
          </w:tcPr>
          <w:p>
            <w:pPr>
              <w:pStyle w:val="yTableNAm"/>
              <w:tabs>
                <w:tab w:val="clear" w:pos="567"/>
                <w:tab w:val="left" w:pos="0"/>
              </w:tabs>
            </w:pPr>
            <w:r>
              <w:t>Scheme by</w:t>
            </w:r>
            <w:r>
              <w:noBreakHyphen/>
              <w:t>laws</w:t>
            </w:r>
          </w:p>
        </w:tc>
      </w:tr>
      <w:tr>
        <w:trPr>
          <w:cantSplit/>
        </w:trPr>
        <w:tc>
          <w:tcPr>
            <w:tcW w:w="1418" w:type="dxa"/>
          </w:tcPr>
          <w:p>
            <w:pPr>
              <w:pStyle w:val="yTableNAm"/>
              <w:tabs>
                <w:tab w:val="clear" w:pos="567"/>
                <w:tab w:val="left" w:pos="0"/>
              </w:tabs>
            </w:pPr>
            <w:r>
              <w:t>s. 56(2)</w:t>
            </w:r>
          </w:p>
        </w:tc>
        <w:tc>
          <w:tcPr>
            <w:tcW w:w="4536" w:type="dxa"/>
          </w:tcPr>
          <w:p>
            <w:pPr>
              <w:pStyle w:val="yTableNAm"/>
              <w:tabs>
                <w:tab w:val="clear" w:pos="567"/>
                <w:tab w:val="left" w:pos="0"/>
              </w:tabs>
            </w:pPr>
            <w:r>
              <w:t>Application for registration of a strata titles scheme or amendment of a strata titles scheme and accompanying documents in approved forms</w:t>
            </w:r>
          </w:p>
        </w:tc>
      </w:tr>
      <w:tr>
        <w:trPr>
          <w:cantSplit/>
        </w:trPr>
        <w:tc>
          <w:tcPr>
            <w:tcW w:w="1418" w:type="dxa"/>
          </w:tcPr>
          <w:p>
            <w:pPr>
              <w:pStyle w:val="yTableNAm"/>
              <w:tabs>
                <w:tab w:val="clear" w:pos="567"/>
                <w:tab w:val="left" w:pos="0"/>
              </w:tabs>
            </w:pPr>
            <w:r>
              <w:t>s. 193(1)</w:t>
            </w:r>
          </w:p>
        </w:tc>
        <w:tc>
          <w:tcPr>
            <w:tcW w:w="4536" w:type="dxa"/>
          </w:tcPr>
          <w:p>
            <w:pPr>
              <w:pStyle w:val="yTableNAm"/>
              <w:tabs>
                <w:tab w:val="clear" w:pos="567"/>
                <w:tab w:val="left" w:pos="0"/>
              </w:tabs>
            </w:pPr>
            <w:r>
              <w:t>Notice of expiry of a leasehold scheme or application for termination of a strata titles scheme and accompanying documents in approved forms</w:t>
            </w:r>
          </w:p>
        </w:tc>
      </w:tr>
      <w:tr>
        <w:trPr>
          <w:cantSplit/>
        </w:trPr>
        <w:tc>
          <w:tcPr>
            <w:tcW w:w="1418" w:type="dxa"/>
          </w:tcPr>
          <w:p>
            <w:pPr>
              <w:pStyle w:val="yTableNAm"/>
              <w:tabs>
                <w:tab w:val="clear" w:pos="567"/>
                <w:tab w:val="left" w:pos="0"/>
              </w:tabs>
            </w:pPr>
            <w:r>
              <w:lastRenderedPageBreak/>
              <w:t>Sch. 2A cl. 21G(1)</w:t>
            </w:r>
          </w:p>
        </w:tc>
        <w:tc>
          <w:tcPr>
            <w:tcW w:w="4536" w:type="dxa"/>
          </w:tcPr>
          <w:p>
            <w:pPr>
              <w:pStyle w:val="yTableNAm"/>
              <w:tabs>
                <w:tab w:val="clear" w:pos="567"/>
                <w:tab w:val="left" w:pos="0"/>
              </w:tabs>
            </w:pPr>
            <w:r>
              <w:t>Notice of resolution under Schedule 2A clause 21F of that Act</w:t>
            </w:r>
          </w:p>
        </w:tc>
      </w:tr>
      <w:tr>
        <w:trPr>
          <w:cantSplit/>
        </w:trPr>
        <w:tc>
          <w:tcPr>
            <w:tcW w:w="1418" w:type="dxa"/>
          </w:tcPr>
          <w:p>
            <w:pPr>
              <w:pStyle w:val="yTableNAm"/>
              <w:tabs>
                <w:tab w:val="clear" w:pos="567"/>
                <w:tab w:val="left" w:pos="0"/>
              </w:tabs>
            </w:pPr>
            <w:r>
              <w:t>Sch. 2A cl. 21S(1)</w:t>
            </w:r>
          </w:p>
        </w:tc>
        <w:tc>
          <w:tcPr>
            <w:tcW w:w="4536" w:type="dxa"/>
          </w:tcPr>
          <w:p>
            <w:pPr>
              <w:pStyle w:val="yTableNAm"/>
              <w:tabs>
                <w:tab w:val="clear" w:pos="567"/>
                <w:tab w:val="left" w:pos="0"/>
              </w:tabs>
            </w:pPr>
            <w:r>
              <w:t>Notice of resolution under Schedule 2A clause 21Q of that Act</w:t>
            </w:r>
          </w:p>
        </w:tc>
      </w:tr>
      <w:tr>
        <w:trPr>
          <w:cantSplit/>
        </w:trPr>
        <w:tc>
          <w:tcPr>
            <w:tcW w:w="1418" w:type="dxa"/>
          </w:tcPr>
          <w:p>
            <w:pPr>
              <w:pStyle w:val="yTableNAm"/>
              <w:tabs>
                <w:tab w:val="clear" w:pos="567"/>
                <w:tab w:val="left" w:pos="0"/>
              </w:tabs>
            </w:pPr>
            <w:r>
              <w:t>Sch. 2A cl. 31D(1)</w:t>
            </w:r>
          </w:p>
        </w:tc>
        <w:tc>
          <w:tcPr>
            <w:tcW w:w="4536" w:type="dxa"/>
          </w:tcPr>
          <w:p>
            <w:pPr>
              <w:pStyle w:val="yTableNAm"/>
              <w:tabs>
                <w:tab w:val="clear" w:pos="567"/>
                <w:tab w:val="left" w:pos="0"/>
              </w:tabs>
            </w:pPr>
            <w:r>
              <w:t>Notice of resolution under Schedule 2A clause 31C of that Act</w:t>
            </w:r>
          </w:p>
        </w:tc>
      </w:tr>
    </w:tbl>
    <w:p>
      <w:pPr>
        <w:pStyle w:val="yMiscellaneousBody"/>
        <w:ind w:left="1134" w:hanging="567"/>
      </w:pPr>
      <w:r>
        <w:t>(b)</w:t>
      </w:r>
      <w:r>
        <w:tab/>
        <w:t>a disposition statement under section 222 of that Act in the form approved under the Strata Titles (General) Regulations 2019.</w:t>
      </w:r>
    </w:p>
    <w:p>
      <w:pPr>
        <w:pStyle w:val="yMiscellaneousBody"/>
        <w:keepNext/>
        <w:ind w:left="567" w:hanging="567"/>
      </w:pPr>
      <w:r>
        <w:t>2.</w:t>
      </w:r>
      <w:r>
        <w:tab/>
        <w:t xml:space="preserve">Under or for the purposes of the </w:t>
      </w:r>
      <w:r>
        <w:rPr>
          <w:i/>
        </w:rPr>
        <w:t>Transfer of Land Act 1893</w:t>
      </w:r>
      <w:r>
        <w:t> —</w:t>
      </w:r>
    </w:p>
    <w:p>
      <w:pPr>
        <w:pStyle w:val="yMiscellaneousBody"/>
        <w:ind w:left="1134" w:hanging="567"/>
      </w:pPr>
      <w:r>
        <w:t>(a)</w:t>
      </w:r>
      <w:r>
        <w:tab/>
        <w:t>these documents under these provisions of that Act for the purposes described:</w:t>
      </w:r>
    </w:p>
    <w:tbl>
      <w:tblPr>
        <w:tblW w:w="5954" w:type="dxa"/>
        <w:tblInd w:w="1134" w:type="dxa"/>
        <w:tblLayout w:type="fixed"/>
        <w:tblCellMar>
          <w:left w:w="141" w:type="dxa"/>
          <w:right w:w="141" w:type="dxa"/>
        </w:tblCellMar>
        <w:tblLook w:val="0000" w:firstRow="0" w:lastRow="0" w:firstColumn="0" w:lastColumn="0" w:noHBand="0" w:noVBand="0"/>
      </w:tblPr>
      <w:tblGrid>
        <w:gridCol w:w="1418"/>
        <w:gridCol w:w="4536"/>
      </w:tblGrid>
      <w:tr>
        <w:trPr>
          <w:tblHeader/>
        </w:trPr>
        <w:tc>
          <w:tcPr>
            <w:tcW w:w="1418" w:type="dxa"/>
          </w:tcPr>
          <w:p>
            <w:pPr>
              <w:pStyle w:val="yTableNAm"/>
              <w:rPr>
                <w:b/>
                <w:bCs/>
              </w:rPr>
            </w:pPr>
            <w:r>
              <w:rPr>
                <w:b/>
                <w:bCs/>
              </w:rPr>
              <w:t>Provision</w:t>
            </w:r>
          </w:p>
        </w:tc>
        <w:tc>
          <w:tcPr>
            <w:tcW w:w="4536" w:type="dxa"/>
          </w:tcPr>
          <w:p>
            <w:pPr>
              <w:pStyle w:val="yTableNAm"/>
              <w:rPr>
                <w:b/>
                <w:bCs/>
              </w:rPr>
            </w:pPr>
            <w:r>
              <w:rPr>
                <w:b/>
                <w:bCs/>
              </w:rPr>
              <w:t>Description of document and purpose</w:t>
            </w:r>
          </w:p>
        </w:tc>
      </w:tr>
      <w:tr>
        <w:trPr>
          <w:cantSplit/>
        </w:trPr>
        <w:tc>
          <w:tcPr>
            <w:tcW w:w="1418" w:type="dxa"/>
          </w:tcPr>
          <w:p>
            <w:pPr>
              <w:pStyle w:val="yTableNAm"/>
            </w:pPr>
            <w:r>
              <w:t>s. 48B</w:t>
            </w:r>
          </w:p>
        </w:tc>
        <w:tc>
          <w:tcPr>
            <w:tcW w:w="4536" w:type="dxa"/>
          </w:tcPr>
          <w:p>
            <w:pPr>
              <w:pStyle w:val="yTableNAm"/>
            </w:pPr>
            <w:r>
              <w:t>Request in relation to the issue of duplicate certificate of title</w:t>
            </w:r>
          </w:p>
        </w:tc>
      </w:tr>
      <w:tr>
        <w:trPr>
          <w:cantSplit/>
        </w:trPr>
        <w:tc>
          <w:tcPr>
            <w:tcW w:w="1418" w:type="dxa"/>
          </w:tcPr>
          <w:p>
            <w:pPr>
              <w:pStyle w:val="yTableNAm"/>
            </w:pPr>
            <w:r>
              <w:t>s. 59</w:t>
            </w:r>
          </w:p>
        </w:tc>
        <w:tc>
          <w:tcPr>
            <w:tcW w:w="4536" w:type="dxa"/>
          </w:tcPr>
          <w:p>
            <w:pPr>
              <w:pStyle w:val="yTableNAm"/>
            </w:pPr>
            <w:r>
              <w:t>Application to remove notation as to legal disability</w:t>
            </w:r>
          </w:p>
        </w:tc>
      </w:tr>
      <w:tr>
        <w:trPr>
          <w:cantSplit/>
        </w:trPr>
        <w:tc>
          <w:tcPr>
            <w:tcW w:w="1418" w:type="dxa"/>
          </w:tcPr>
          <w:p>
            <w:pPr>
              <w:pStyle w:val="yTableNAm"/>
            </w:pPr>
            <w:r>
              <w:t>s. 71</w:t>
            </w:r>
          </w:p>
        </w:tc>
        <w:tc>
          <w:tcPr>
            <w:tcW w:w="4536" w:type="dxa"/>
          </w:tcPr>
          <w:p>
            <w:pPr>
              <w:pStyle w:val="yTableNAm"/>
            </w:pPr>
            <w:r>
              <w:t>Application for a consolidated certificate of title</w:t>
            </w:r>
          </w:p>
        </w:tc>
      </w:tr>
      <w:tr>
        <w:trPr>
          <w:cantSplit/>
        </w:trPr>
        <w:tc>
          <w:tcPr>
            <w:tcW w:w="1418" w:type="dxa"/>
          </w:tcPr>
          <w:p>
            <w:pPr>
              <w:pStyle w:val="yTableNAm"/>
            </w:pPr>
            <w:r>
              <w:t>s. 71A</w:t>
            </w:r>
          </w:p>
        </w:tc>
        <w:tc>
          <w:tcPr>
            <w:tcW w:w="4536" w:type="dxa"/>
          </w:tcPr>
          <w:p>
            <w:pPr>
              <w:pStyle w:val="yTableNAm"/>
            </w:pPr>
            <w:r>
              <w:t>Application for a certificate of title for the balance of land in a certificate of title</w:t>
            </w:r>
          </w:p>
        </w:tc>
      </w:tr>
      <w:tr>
        <w:trPr>
          <w:cantSplit/>
        </w:trPr>
        <w:tc>
          <w:tcPr>
            <w:tcW w:w="1418" w:type="dxa"/>
          </w:tcPr>
          <w:p>
            <w:pPr>
              <w:pStyle w:val="yTableNAm"/>
            </w:pPr>
            <w:r>
              <w:t>s. 74B</w:t>
            </w:r>
          </w:p>
        </w:tc>
        <w:tc>
          <w:tcPr>
            <w:tcW w:w="4536" w:type="dxa"/>
          </w:tcPr>
          <w:p>
            <w:pPr>
              <w:pStyle w:val="yTableNAm"/>
            </w:pPr>
            <w:r>
              <w:t>Application for a new duplicate certificate of title</w:t>
            </w:r>
          </w:p>
        </w:tc>
      </w:tr>
      <w:tr>
        <w:trPr>
          <w:cantSplit/>
        </w:trPr>
        <w:tc>
          <w:tcPr>
            <w:tcW w:w="1418" w:type="dxa"/>
          </w:tcPr>
          <w:p>
            <w:pPr>
              <w:pStyle w:val="yTableNAm"/>
            </w:pPr>
            <w:r>
              <w:t>s. 75</w:t>
            </w:r>
          </w:p>
        </w:tc>
        <w:tc>
          <w:tcPr>
            <w:tcW w:w="4536" w:type="dxa"/>
          </w:tcPr>
          <w:p>
            <w:pPr>
              <w:pStyle w:val="yTableNAm"/>
            </w:pPr>
            <w:r>
              <w:t>Application for a replacement duplicate certificate of title</w:t>
            </w:r>
          </w:p>
        </w:tc>
      </w:tr>
      <w:tr>
        <w:trPr>
          <w:cantSplit/>
        </w:trPr>
        <w:tc>
          <w:tcPr>
            <w:tcW w:w="1418" w:type="dxa"/>
          </w:tcPr>
          <w:p>
            <w:pPr>
              <w:pStyle w:val="yTableNAm"/>
            </w:pPr>
            <w:r>
              <w:t>s. 82</w:t>
            </w:r>
          </w:p>
        </w:tc>
        <w:tc>
          <w:tcPr>
            <w:tcW w:w="4536" w:type="dxa"/>
          </w:tcPr>
          <w:p>
            <w:pPr>
              <w:pStyle w:val="yTableNAm"/>
            </w:pPr>
            <w:r>
              <w:t>Transfer</w:t>
            </w:r>
          </w:p>
        </w:tc>
      </w:tr>
      <w:tr>
        <w:trPr>
          <w:cantSplit/>
        </w:trPr>
        <w:tc>
          <w:tcPr>
            <w:tcW w:w="1418" w:type="dxa"/>
          </w:tcPr>
          <w:p>
            <w:pPr>
              <w:pStyle w:val="yTableNAm"/>
            </w:pPr>
            <w:r>
              <w:t>s. 84</w:t>
            </w:r>
          </w:p>
        </w:tc>
        <w:tc>
          <w:tcPr>
            <w:tcW w:w="4536" w:type="dxa"/>
          </w:tcPr>
          <w:p>
            <w:pPr>
              <w:pStyle w:val="yTableNAm"/>
            </w:pPr>
            <w:r>
              <w:t>Transfer</w:t>
            </w:r>
          </w:p>
        </w:tc>
      </w:tr>
      <w:tr>
        <w:trPr>
          <w:cantSplit/>
        </w:trPr>
        <w:tc>
          <w:tcPr>
            <w:tcW w:w="1418" w:type="dxa"/>
          </w:tcPr>
          <w:p>
            <w:pPr>
              <w:pStyle w:val="yTableNAm"/>
            </w:pPr>
            <w:r>
              <w:t>s. 129BB</w:t>
            </w:r>
          </w:p>
        </w:tc>
        <w:tc>
          <w:tcPr>
            <w:tcW w:w="4536" w:type="dxa"/>
          </w:tcPr>
          <w:p>
            <w:pPr>
              <w:pStyle w:val="yTableNAm"/>
            </w:pPr>
            <w:r>
              <w:t>Application for discharge or modification of restrictive covenant</w:t>
            </w:r>
          </w:p>
        </w:tc>
      </w:tr>
      <w:tr>
        <w:trPr>
          <w:cantSplit/>
        </w:trPr>
        <w:tc>
          <w:tcPr>
            <w:tcW w:w="1418" w:type="dxa"/>
          </w:tcPr>
          <w:p>
            <w:pPr>
              <w:pStyle w:val="yTableNAm"/>
            </w:pPr>
            <w:r>
              <w:t>s. 136J</w:t>
            </w:r>
          </w:p>
        </w:tc>
        <w:tc>
          <w:tcPr>
            <w:tcW w:w="4536" w:type="dxa"/>
          </w:tcPr>
          <w:p>
            <w:pPr>
              <w:pStyle w:val="yTableNAm"/>
            </w:pPr>
            <w:r>
              <w:t>Application for discharge or modification of restrictive covenant</w:t>
            </w:r>
          </w:p>
        </w:tc>
      </w:tr>
      <w:tr>
        <w:trPr>
          <w:cantSplit/>
        </w:trPr>
        <w:tc>
          <w:tcPr>
            <w:tcW w:w="1418" w:type="dxa"/>
          </w:tcPr>
          <w:p>
            <w:pPr>
              <w:pStyle w:val="yTableNAm"/>
            </w:pPr>
            <w:r>
              <w:lastRenderedPageBreak/>
              <w:t>s. 137</w:t>
            </w:r>
          </w:p>
        </w:tc>
        <w:tc>
          <w:tcPr>
            <w:tcW w:w="4536" w:type="dxa"/>
          </w:tcPr>
          <w:p>
            <w:pPr>
              <w:pStyle w:val="yTableNAm"/>
            </w:pPr>
            <w:r>
              <w:t>Caveat to protect the interest of a purchaser or mortgagee for whom the licensee is acting</w:t>
            </w:r>
          </w:p>
        </w:tc>
      </w:tr>
      <w:tr>
        <w:trPr>
          <w:cantSplit/>
        </w:trPr>
        <w:tc>
          <w:tcPr>
            <w:tcW w:w="1418" w:type="dxa"/>
          </w:tcPr>
          <w:p>
            <w:pPr>
              <w:pStyle w:val="yTableNAm"/>
            </w:pPr>
            <w:r>
              <w:t>s. 138B</w:t>
            </w:r>
          </w:p>
        </w:tc>
        <w:tc>
          <w:tcPr>
            <w:tcW w:w="4536" w:type="dxa"/>
          </w:tcPr>
          <w:p>
            <w:pPr>
              <w:pStyle w:val="yTableNAm"/>
            </w:pPr>
            <w:r>
              <w:t>Application to have notice sent to caveator</w:t>
            </w:r>
          </w:p>
        </w:tc>
      </w:tr>
      <w:tr>
        <w:trPr>
          <w:cantSplit/>
        </w:trPr>
        <w:tc>
          <w:tcPr>
            <w:tcW w:w="1418" w:type="dxa"/>
          </w:tcPr>
          <w:p>
            <w:pPr>
              <w:pStyle w:val="yTableNAm"/>
            </w:pPr>
            <w:r>
              <w:t>s. 146</w:t>
            </w:r>
          </w:p>
        </w:tc>
        <w:tc>
          <w:tcPr>
            <w:tcW w:w="4536" w:type="dxa"/>
          </w:tcPr>
          <w:p>
            <w:pPr>
              <w:pStyle w:val="yTableNAm"/>
            </w:pPr>
            <w:r>
              <w:t>Application for search certificate</w:t>
            </w:r>
          </w:p>
        </w:tc>
      </w:tr>
      <w:tr>
        <w:trPr>
          <w:cantSplit/>
        </w:trPr>
        <w:tc>
          <w:tcPr>
            <w:tcW w:w="1418" w:type="dxa"/>
          </w:tcPr>
          <w:p>
            <w:pPr>
              <w:pStyle w:val="yTableNAm"/>
            </w:pPr>
            <w:r>
              <w:t>s. 148</w:t>
            </w:r>
          </w:p>
        </w:tc>
        <w:tc>
          <w:tcPr>
            <w:tcW w:w="4536" w:type="dxa"/>
          </w:tcPr>
          <w:p>
            <w:pPr>
              <w:pStyle w:val="yTableNAm"/>
            </w:pPr>
            <w:r>
              <w:t>Application for stay of registration</w:t>
            </w:r>
          </w:p>
        </w:tc>
      </w:tr>
      <w:tr>
        <w:trPr>
          <w:cantSplit/>
        </w:trPr>
        <w:tc>
          <w:tcPr>
            <w:tcW w:w="1418" w:type="dxa"/>
          </w:tcPr>
          <w:p>
            <w:pPr>
              <w:pStyle w:val="yTableNAm"/>
            </w:pPr>
            <w:r>
              <w:t>s. 166</w:t>
            </w:r>
          </w:p>
        </w:tc>
        <w:tc>
          <w:tcPr>
            <w:tcW w:w="4536" w:type="dxa"/>
          </w:tcPr>
          <w:p>
            <w:pPr>
              <w:pStyle w:val="yTableNAm"/>
            </w:pPr>
            <w:r>
              <w:t>Application for new certificates of title on a subdivision of land that is held in fee simple</w:t>
            </w:r>
          </w:p>
        </w:tc>
      </w:tr>
      <w:tr>
        <w:trPr>
          <w:cantSplit/>
        </w:trPr>
        <w:tc>
          <w:tcPr>
            <w:tcW w:w="1418" w:type="dxa"/>
          </w:tcPr>
          <w:p>
            <w:pPr>
              <w:pStyle w:val="yTableNAm"/>
            </w:pPr>
            <w:r>
              <w:t>s. 219</w:t>
            </w:r>
          </w:p>
        </w:tc>
        <w:tc>
          <w:tcPr>
            <w:tcW w:w="4536" w:type="dxa"/>
          </w:tcPr>
          <w:p>
            <w:pPr>
              <w:pStyle w:val="yTableNAm"/>
            </w:pPr>
            <w:r>
              <w:t>Application on a transmission</w:t>
            </w:r>
          </w:p>
        </w:tc>
      </w:tr>
      <w:tr>
        <w:trPr>
          <w:cantSplit/>
        </w:trPr>
        <w:tc>
          <w:tcPr>
            <w:tcW w:w="1418" w:type="dxa"/>
          </w:tcPr>
          <w:p>
            <w:pPr>
              <w:pStyle w:val="yTableNAm"/>
            </w:pPr>
            <w:r>
              <w:t>s. 221</w:t>
            </w:r>
          </w:p>
        </w:tc>
        <w:tc>
          <w:tcPr>
            <w:tcW w:w="4536" w:type="dxa"/>
          </w:tcPr>
          <w:p>
            <w:pPr>
              <w:pStyle w:val="yTableNAm"/>
            </w:pPr>
            <w:r>
              <w:t>Application by remainderman on a transmission</w:t>
            </w:r>
          </w:p>
        </w:tc>
      </w:tr>
      <w:tr>
        <w:trPr>
          <w:cantSplit/>
        </w:trPr>
        <w:tc>
          <w:tcPr>
            <w:tcW w:w="1418" w:type="dxa"/>
          </w:tcPr>
          <w:p>
            <w:pPr>
              <w:pStyle w:val="yTableNAm"/>
            </w:pPr>
            <w:r>
              <w:t>s. 227</w:t>
            </w:r>
          </w:p>
        </w:tc>
        <w:tc>
          <w:tcPr>
            <w:tcW w:w="4536" w:type="dxa"/>
          </w:tcPr>
          <w:p>
            <w:pPr>
              <w:pStyle w:val="yTableNAm"/>
            </w:pPr>
            <w:r>
              <w:t>Application by the survivor of joint proprietors</w:t>
            </w:r>
          </w:p>
        </w:tc>
      </w:tr>
      <w:tr>
        <w:trPr>
          <w:cantSplit/>
        </w:trPr>
        <w:tc>
          <w:tcPr>
            <w:tcW w:w="1418" w:type="dxa"/>
          </w:tcPr>
          <w:p>
            <w:pPr>
              <w:pStyle w:val="yTableNAm"/>
            </w:pPr>
            <w:r>
              <w:t>s. 240A</w:t>
            </w:r>
          </w:p>
        </w:tc>
        <w:tc>
          <w:tcPr>
            <w:tcW w:w="4536" w:type="dxa"/>
          </w:tcPr>
          <w:p>
            <w:pPr>
              <w:pStyle w:val="yTableNAm"/>
            </w:pPr>
            <w:r>
              <w:t>Application to change an address;</w:t>
            </w:r>
          </w:p>
        </w:tc>
      </w:tr>
    </w:tbl>
    <w:p>
      <w:pPr>
        <w:pStyle w:val="yMiscellaneousBody"/>
        <w:ind w:left="1134" w:hanging="567"/>
        <w:rPr>
          <w:snapToGrid w:val="0"/>
        </w:rPr>
      </w:pPr>
      <w:r>
        <w:rPr>
          <w:snapToGrid w:val="0"/>
        </w:rPr>
        <w:t>(b)</w:t>
      </w:r>
      <w:r>
        <w:rPr>
          <w:snapToGrid w:val="0"/>
        </w:rPr>
        <w:tab/>
        <w:t>a withdrawal of a caveat lodged by a purchaser or mortgagee, or prepared by the licensee to protect the interest of a purchaser or mortgagee for whom the licensee is acting, if —</w:t>
      </w:r>
    </w:p>
    <w:p>
      <w:pPr>
        <w:pStyle w:val="yMiscellaneousBody"/>
        <w:spacing w:before="120"/>
        <w:ind w:left="1701" w:hanging="567"/>
        <w:rPr>
          <w:snapToGrid w:val="0"/>
        </w:rPr>
      </w:pPr>
      <w:r>
        <w:rPr>
          <w:snapToGrid w:val="0"/>
        </w:rPr>
        <w:t>(i)</w:t>
      </w:r>
      <w:r>
        <w:rPr>
          <w:snapToGrid w:val="0"/>
        </w:rPr>
        <w:tab/>
        <w:t>there is to be lodged with the withdrawal a transfer of the whole of the land the subject of the withdrawal to the caveator or to a person nominated in writing by the caveator, or if there is more than one caveator, by each of them; and</w:t>
      </w:r>
    </w:p>
    <w:p>
      <w:pPr>
        <w:pStyle w:val="yMiscellaneousBody"/>
        <w:spacing w:before="120"/>
        <w:ind w:left="1701" w:hanging="567"/>
        <w:rPr>
          <w:snapToGrid w:val="0"/>
        </w:rPr>
      </w:pPr>
      <w:r>
        <w:rPr>
          <w:snapToGrid w:val="0"/>
        </w:rPr>
        <w:t>(ii)</w:t>
      </w:r>
      <w:r>
        <w:rPr>
          <w:snapToGrid w:val="0"/>
        </w:rPr>
        <w:tab/>
        <w:t>no other person has acquired or claims any interest in the land that has priority over, or that is adverse to, the caveator’s claim; and</w:t>
      </w:r>
    </w:p>
    <w:p>
      <w:pPr>
        <w:pStyle w:val="yMiscellaneousBody"/>
        <w:spacing w:before="120"/>
        <w:ind w:left="1701" w:hanging="567"/>
        <w:rPr>
          <w:snapToGrid w:val="0"/>
        </w:rPr>
      </w:pPr>
      <w:r>
        <w:rPr>
          <w:snapToGrid w:val="0"/>
        </w:rPr>
        <w:t>(iii)</w:t>
      </w:r>
      <w:r>
        <w:rPr>
          <w:snapToGrid w:val="0"/>
        </w:rPr>
        <w:tab/>
        <w:t>no dealing that is adverse to, or that derogates from, the caveator’s claim is lodged or is to be lodged after the withdrawal and before the transfer to the caveator or the caveator’s nominee;</w:t>
      </w:r>
    </w:p>
    <w:p>
      <w:pPr>
        <w:pStyle w:val="yMiscellaneousBody"/>
        <w:ind w:left="1134" w:hanging="567"/>
        <w:rPr>
          <w:snapToGrid w:val="0"/>
        </w:rPr>
      </w:pPr>
      <w:r>
        <w:rPr>
          <w:snapToGrid w:val="0"/>
        </w:rPr>
        <w:t>(c)</w:t>
      </w:r>
      <w:r>
        <w:rPr>
          <w:snapToGrid w:val="0"/>
        </w:rPr>
        <w:tab/>
        <w:t>an application to amend the Register as to the name of a registered proprietor;</w:t>
      </w:r>
    </w:p>
    <w:p>
      <w:pPr>
        <w:pStyle w:val="yMiscellaneousBody"/>
        <w:ind w:left="1134" w:hanging="567"/>
      </w:pPr>
      <w:r>
        <w:t>(d)</w:t>
      </w:r>
      <w:r>
        <w:tab/>
        <w:t xml:space="preserve">a </w:t>
      </w:r>
      <w:r>
        <w:rPr>
          <w:snapToGrid w:val="0"/>
        </w:rPr>
        <w:t>withdrawal</w:t>
      </w:r>
      <w:r>
        <w:t xml:space="preserve"> of memorial under the </w:t>
      </w:r>
      <w:r>
        <w:rPr>
          <w:i/>
        </w:rPr>
        <w:t>Water Services Act 2012</w:t>
      </w:r>
      <w:r>
        <w:t xml:space="preserve"> section 128 for a memorial lodged by a water corporation (as defined in that Act) in relation to the payment of an infrastructure contribution under section 128(2)(b) of that Act.</w:t>
      </w:r>
    </w:p>
    <w:p>
      <w:pPr>
        <w:pStyle w:val="yMiscellaneousBody"/>
        <w:ind w:left="567" w:hanging="567"/>
      </w:pPr>
      <w:r>
        <w:rPr>
          <w:snapToGrid w:val="0"/>
        </w:rPr>
        <w:lastRenderedPageBreak/>
        <w:t>3.</w:t>
      </w:r>
      <w:r>
        <w:rPr>
          <w:snapToGrid w:val="0"/>
        </w:rPr>
        <w:tab/>
        <w:t xml:space="preserve">Under or for the purposes of the </w:t>
      </w:r>
      <w:r>
        <w:rPr>
          <w:i/>
          <w:snapToGrid w:val="0"/>
        </w:rPr>
        <w:t>Community Titles Act 2018</w:t>
      </w:r>
      <w:r>
        <w:rPr>
          <w:snapToGrid w:val="0"/>
        </w:rPr>
        <w:t xml:space="preserve"> the following documents, subject to the condition that a licensee shall not draft a resolution of a community corporation under or for the purposes of that Act </w:t>
      </w:r>
      <w:r>
        <w:t>—</w:t>
      </w:r>
    </w:p>
    <w:p>
      <w:pPr>
        <w:pStyle w:val="yMiscellaneousBody"/>
        <w:ind w:left="1134" w:hanging="567"/>
      </w:pPr>
      <w:r>
        <w:t>(a)</w:t>
      </w:r>
      <w:r>
        <w:tab/>
        <w:t>documents in the forms approved under the following provisions of that Act:</w:t>
      </w:r>
    </w:p>
    <w:tbl>
      <w:tblPr>
        <w:tblW w:w="5954" w:type="dxa"/>
        <w:tblInd w:w="1134" w:type="dxa"/>
        <w:tblLayout w:type="fixed"/>
        <w:tblCellMar>
          <w:left w:w="141" w:type="dxa"/>
          <w:right w:w="141" w:type="dxa"/>
        </w:tblCellMar>
        <w:tblLook w:val="0000" w:firstRow="0" w:lastRow="0" w:firstColumn="0" w:lastColumn="0" w:noHBand="0" w:noVBand="0"/>
      </w:tblPr>
      <w:tblGrid>
        <w:gridCol w:w="1418"/>
        <w:gridCol w:w="4536"/>
      </w:tblGrid>
      <w:tr>
        <w:trPr>
          <w:tblHeader/>
        </w:trPr>
        <w:tc>
          <w:tcPr>
            <w:tcW w:w="1418" w:type="dxa"/>
            <w:noWrap/>
          </w:tcPr>
          <w:p>
            <w:pPr>
              <w:pStyle w:val="yTableNAm"/>
              <w:rPr>
                <w:b/>
              </w:rPr>
            </w:pPr>
            <w:r>
              <w:rPr>
                <w:b/>
              </w:rPr>
              <w:t>Provision</w:t>
            </w:r>
          </w:p>
        </w:tc>
        <w:tc>
          <w:tcPr>
            <w:tcW w:w="4536" w:type="dxa"/>
            <w:noWrap/>
          </w:tcPr>
          <w:p>
            <w:pPr>
              <w:pStyle w:val="yTableNAm"/>
              <w:rPr>
                <w:b/>
              </w:rPr>
            </w:pPr>
            <w:r>
              <w:rPr>
                <w:b/>
              </w:rPr>
              <w:t>Description of document and purpose</w:t>
            </w:r>
          </w:p>
        </w:tc>
      </w:tr>
      <w:tr>
        <w:tc>
          <w:tcPr>
            <w:tcW w:w="1418" w:type="dxa"/>
            <w:noWrap/>
          </w:tcPr>
          <w:p>
            <w:pPr>
              <w:pStyle w:val="yTableNAm"/>
            </w:pPr>
            <w:r>
              <w:t>s. 35(2)</w:t>
            </w:r>
          </w:p>
        </w:tc>
        <w:tc>
          <w:tcPr>
            <w:tcW w:w="4536" w:type="dxa"/>
            <w:noWrap/>
          </w:tcPr>
          <w:p>
            <w:pPr>
              <w:pStyle w:val="yTableNAm"/>
            </w:pPr>
            <w:r>
              <w:t>Scheme notice, or an amendment of a scheme notice, for a community titles scheme</w:t>
            </w:r>
          </w:p>
        </w:tc>
      </w:tr>
      <w:tr>
        <w:tc>
          <w:tcPr>
            <w:tcW w:w="1418" w:type="dxa"/>
            <w:noWrap/>
          </w:tcPr>
          <w:p>
            <w:pPr>
              <w:pStyle w:val="yTableNAm"/>
            </w:pPr>
            <w:r>
              <w:t>s. 40(5)</w:t>
            </w:r>
          </w:p>
        </w:tc>
        <w:tc>
          <w:tcPr>
            <w:tcW w:w="4536" w:type="dxa"/>
            <w:noWrap/>
          </w:tcPr>
          <w:p>
            <w:pPr>
              <w:pStyle w:val="yTableNAm"/>
            </w:pPr>
            <w:r>
              <w:t>Notice of a proposed resolution for an amendment of a scheme plan</w:t>
            </w:r>
          </w:p>
        </w:tc>
      </w:tr>
      <w:tr>
        <w:tc>
          <w:tcPr>
            <w:tcW w:w="1418" w:type="dxa"/>
            <w:noWrap/>
          </w:tcPr>
          <w:p>
            <w:pPr>
              <w:pStyle w:val="yTableNAm"/>
            </w:pPr>
            <w:r>
              <w:t>s. 43(6)</w:t>
            </w:r>
          </w:p>
        </w:tc>
        <w:tc>
          <w:tcPr>
            <w:tcW w:w="4536" w:type="dxa"/>
            <w:noWrap/>
          </w:tcPr>
          <w:p>
            <w:pPr>
              <w:pStyle w:val="yTableNAm"/>
            </w:pPr>
            <w:r>
              <w:t>Scheme by</w:t>
            </w:r>
            <w:r>
              <w:noBreakHyphen/>
              <w:t>laws</w:t>
            </w:r>
          </w:p>
        </w:tc>
      </w:tr>
      <w:tr>
        <w:tc>
          <w:tcPr>
            <w:tcW w:w="1418" w:type="dxa"/>
            <w:noWrap/>
          </w:tcPr>
          <w:p>
            <w:pPr>
              <w:pStyle w:val="yTableNAm"/>
            </w:pPr>
            <w:r>
              <w:t>s. 50(2)</w:t>
            </w:r>
          </w:p>
        </w:tc>
        <w:tc>
          <w:tcPr>
            <w:tcW w:w="4536" w:type="dxa"/>
            <w:noWrap/>
          </w:tcPr>
          <w:p>
            <w:pPr>
              <w:pStyle w:val="yTableNAm"/>
            </w:pPr>
            <w:r>
              <w:t>Application for registration of a community titles scheme or an amendment of a community titles scheme and accompanying documents in approved forms</w:t>
            </w:r>
          </w:p>
        </w:tc>
      </w:tr>
      <w:tr>
        <w:tc>
          <w:tcPr>
            <w:tcW w:w="1418" w:type="dxa"/>
            <w:noWrap/>
          </w:tcPr>
          <w:p>
            <w:pPr>
              <w:pStyle w:val="yTableNAm"/>
            </w:pPr>
            <w:r>
              <w:t>s. 141(6)</w:t>
            </w:r>
          </w:p>
        </w:tc>
        <w:tc>
          <w:tcPr>
            <w:tcW w:w="4536" w:type="dxa"/>
            <w:noWrap/>
          </w:tcPr>
          <w:p>
            <w:pPr>
              <w:pStyle w:val="yTableNAm"/>
            </w:pPr>
            <w:r>
              <w:t>Notice to Registrar of Titles from tier 1 corporation of receipt of outline of a termination proposal</w:t>
            </w:r>
          </w:p>
        </w:tc>
      </w:tr>
      <w:tr>
        <w:tc>
          <w:tcPr>
            <w:tcW w:w="1418" w:type="dxa"/>
            <w:noWrap/>
          </w:tcPr>
          <w:p>
            <w:pPr>
              <w:pStyle w:val="yTableNAm"/>
            </w:pPr>
            <w:r>
              <w:t>s. 145(5)</w:t>
            </w:r>
          </w:p>
        </w:tc>
        <w:tc>
          <w:tcPr>
            <w:tcW w:w="4536" w:type="dxa"/>
            <w:noWrap/>
          </w:tcPr>
          <w:p>
            <w:pPr>
              <w:pStyle w:val="yTableNAm"/>
            </w:pPr>
            <w:r>
              <w:t>Notice to Registrar of Titles from tier 1 corporation of receipt of a full proposal</w:t>
            </w:r>
          </w:p>
        </w:tc>
      </w:tr>
      <w:tr>
        <w:tc>
          <w:tcPr>
            <w:tcW w:w="1418" w:type="dxa"/>
            <w:noWrap/>
          </w:tcPr>
          <w:p>
            <w:pPr>
              <w:pStyle w:val="yTableNAm"/>
              <w:ind w:right="-144"/>
            </w:pPr>
            <w:r>
              <w:t>s. 149(10)(a)</w:t>
            </w:r>
          </w:p>
        </w:tc>
        <w:tc>
          <w:tcPr>
            <w:tcW w:w="4536" w:type="dxa"/>
            <w:noWrap/>
          </w:tcPr>
          <w:p>
            <w:pPr>
              <w:pStyle w:val="yTableNAm"/>
            </w:pPr>
            <w:r>
              <w:t>Notice to Registrar of Titles from tier 1 corporation that a termination resolution is passed</w:t>
            </w:r>
          </w:p>
        </w:tc>
      </w:tr>
      <w:tr>
        <w:tc>
          <w:tcPr>
            <w:tcW w:w="1418" w:type="dxa"/>
            <w:noWrap/>
          </w:tcPr>
          <w:p>
            <w:pPr>
              <w:pStyle w:val="yTableNAm"/>
            </w:pPr>
            <w:r>
              <w:t>s. 150(7)</w:t>
            </w:r>
          </w:p>
        </w:tc>
        <w:tc>
          <w:tcPr>
            <w:tcW w:w="4536" w:type="dxa"/>
            <w:noWrap/>
          </w:tcPr>
          <w:p>
            <w:pPr>
              <w:pStyle w:val="yTableNAm"/>
            </w:pPr>
            <w:r>
              <w:t>Notice to Registrar of Titles from tier 1 corporation of application to the State Administrative Tribunal</w:t>
            </w:r>
          </w:p>
        </w:tc>
      </w:tr>
      <w:tr>
        <w:tc>
          <w:tcPr>
            <w:tcW w:w="1418" w:type="dxa"/>
            <w:noWrap/>
          </w:tcPr>
          <w:p>
            <w:pPr>
              <w:pStyle w:val="yTableNAm"/>
              <w:ind w:right="-2"/>
            </w:pPr>
            <w:r>
              <w:t>s. 150(24)(a)</w:t>
            </w:r>
          </w:p>
        </w:tc>
        <w:tc>
          <w:tcPr>
            <w:tcW w:w="4536" w:type="dxa"/>
            <w:noWrap/>
          </w:tcPr>
          <w:p>
            <w:pPr>
              <w:pStyle w:val="yTableNAm"/>
            </w:pPr>
            <w:r>
              <w:t>Notice to Registrar of Titles of State Administrative Tribunal decision</w:t>
            </w:r>
          </w:p>
        </w:tc>
      </w:tr>
      <w:tr>
        <w:tc>
          <w:tcPr>
            <w:tcW w:w="1418" w:type="dxa"/>
            <w:noWrap/>
          </w:tcPr>
          <w:p>
            <w:pPr>
              <w:pStyle w:val="yTableNAm"/>
            </w:pPr>
            <w:r>
              <w:t>s. 153(5)</w:t>
            </w:r>
          </w:p>
        </w:tc>
        <w:tc>
          <w:tcPr>
            <w:tcW w:w="4536" w:type="dxa"/>
            <w:noWrap/>
          </w:tcPr>
          <w:p>
            <w:pPr>
              <w:pStyle w:val="yTableNAm"/>
            </w:pPr>
            <w:r>
              <w:t>Application by proponent for termination of a community titles scheme and accompanying documents in approved forms</w:t>
            </w:r>
          </w:p>
        </w:tc>
      </w:tr>
      <w:tr>
        <w:tc>
          <w:tcPr>
            <w:tcW w:w="1418" w:type="dxa"/>
            <w:noWrap/>
          </w:tcPr>
          <w:p>
            <w:pPr>
              <w:pStyle w:val="yTableNAm"/>
            </w:pPr>
            <w:r>
              <w:lastRenderedPageBreak/>
              <w:t>s. 156(3)</w:t>
            </w:r>
          </w:p>
        </w:tc>
        <w:tc>
          <w:tcPr>
            <w:tcW w:w="4536" w:type="dxa"/>
            <w:noWrap/>
          </w:tcPr>
          <w:p>
            <w:pPr>
              <w:pStyle w:val="yTableNAm"/>
            </w:pPr>
            <w:r>
              <w:t>Notice to Registrar of Titles from tier 1 corporation of withdrawal of a termination proposal</w:t>
            </w:r>
          </w:p>
        </w:tc>
      </w:tr>
      <w:tr>
        <w:tc>
          <w:tcPr>
            <w:tcW w:w="1418" w:type="dxa"/>
            <w:noWrap/>
          </w:tcPr>
          <w:p>
            <w:pPr>
              <w:pStyle w:val="yTableNAm"/>
            </w:pPr>
            <w:r>
              <w:t>s. 157(2)(a)</w:t>
            </w:r>
          </w:p>
        </w:tc>
        <w:tc>
          <w:tcPr>
            <w:tcW w:w="4536" w:type="dxa"/>
            <w:noWrap/>
          </w:tcPr>
          <w:p>
            <w:pPr>
              <w:pStyle w:val="yTableNAm"/>
            </w:pPr>
            <w:r>
              <w:t>Notice to Registrar of Titles from tier 1 corporation that the termination proposal cannot proceed further</w:t>
            </w:r>
          </w:p>
        </w:tc>
      </w:tr>
      <w:tr>
        <w:tc>
          <w:tcPr>
            <w:tcW w:w="1418" w:type="dxa"/>
            <w:noWrap/>
          </w:tcPr>
          <w:p>
            <w:pPr>
              <w:pStyle w:val="yTableNAm"/>
            </w:pPr>
            <w:r>
              <w:t>s. 161(1)</w:t>
            </w:r>
          </w:p>
        </w:tc>
        <w:tc>
          <w:tcPr>
            <w:tcW w:w="4536" w:type="dxa"/>
            <w:noWrap/>
          </w:tcPr>
          <w:p>
            <w:pPr>
              <w:pStyle w:val="yTableNAm"/>
            </w:pPr>
            <w:r>
              <w:t>Application for termination of each community titles scheme in a community scheme by person who owns all lots in the community scheme</w:t>
            </w:r>
          </w:p>
        </w:tc>
      </w:tr>
      <w:tr>
        <w:tc>
          <w:tcPr>
            <w:tcW w:w="1418" w:type="dxa"/>
            <w:noWrap/>
          </w:tcPr>
          <w:p>
            <w:pPr>
              <w:pStyle w:val="yTableNAm"/>
            </w:pPr>
            <w:r>
              <w:t>s. 178</w:t>
            </w:r>
          </w:p>
        </w:tc>
        <w:tc>
          <w:tcPr>
            <w:tcW w:w="4536" w:type="dxa"/>
            <w:noWrap/>
          </w:tcPr>
          <w:p>
            <w:pPr>
              <w:pStyle w:val="yTableNAm"/>
            </w:pPr>
            <w:r>
              <w:t>Application for registration of the termination or amendment of a community titles scheme to give effect to compulsory acquisition</w:t>
            </w:r>
          </w:p>
        </w:tc>
      </w:tr>
    </w:tbl>
    <w:p>
      <w:pPr>
        <w:pStyle w:val="yMiscellaneousBody"/>
        <w:ind w:left="1701" w:hanging="567"/>
      </w:pPr>
      <w:r>
        <w:t>(b)</w:t>
      </w:r>
      <w:r>
        <w:tab/>
        <w:t xml:space="preserve">a disposition statement under section 185 of that Act in the form approved under the </w:t>
      </w:r>
      <w:r>
        <w:rPr>
          <w:i/>
        </w:rPr>
        <w:t>Community Titles Regulations 2021</w:t>
      </w:r>
      <w:r>
        <w:t>;</w:t>
      </w:r>
    </w:p>
    <w:p>
      <w:pPr>
        <w:pStyle w:val="yMiscellaneousBody"/>
        <w:ind w:left="1701" w:hanging="567"/>
      </w:pPr>
      <w:r>
        <w:t>(c)</w:t>
      </w:r>
      <w:r>
        <w:tab/>
        <w:t xml:space="preserve">an application to register or record the most recent consolidated version of a community development statement that incorporates an approved amendment of the community development statement in the form approved under the </w:t>
      </w:r>
      <w:r>
        <w:rPr>
          <w:i/>
        </w:rPr>
        <w:t>Community Titles Regulations 2021</w:t>
      </w:r>
      <w:r>
        <w:t xml:space="preserve"> regulation 18(3)(b).</w:t>
      </w:r>
    </w:p>
    <w:p>
      <w:pPr>
        <w:pStyle w:val="yFootnotesection"/>
      </w:pPr>
      <w:r>
        <w:tab/>
        <w:t>[Part C inserted: Gazette 23 May 1997 p. 2422</w:t>
      </w:r>
      <w:r>
        <w:noBreakHyphen/>
        <w:t>4; amended: Gazette 30 Dec 2004 p. 6927; 14 Nov 2013 p. 5067</w:t>
      </w:r>
      <w:r>
        <w:noBreakHyphen/>
        <w:t>8; 31 Dec 2019 p. 4645</w:t>
      </w:r>
      <w:r>
        <w:noBreakHyphen/>
        <w:t>6; SL 2021/71 r. 25.]</w:t>
      </w:r>
    </w:p>
    <w:p>
      <w:pPr>
        <w:pStyle w:val="yScheduleHeading"/>
      </w:pPr>
      <w:bookmarkStart w:id="39" w:name="_Toc155172975"/>
      <w:r>
        <w:rPr>
          <w:rStyle w:val="CharSchNo"/>
        </w:rPr>
        <w:lastRenderedPageBreak/>
        <w:t>Schedule 4</w:t>
      </w:r>
      <w:r>
        <w:rPr>
          <w:rStyle w:val="CharSDivNo"/>
          <w:sz w:val="28"/>
        </w:rPr>
        <w:t> </w:t>
      </w:r>
      <w:r>
        <w:t>—</w:t>
      </w:r>
      <w:r>
        <w:rPr>
          <w:rStyle w:val="CharSDivText"/>
          <w:sz w:val="28"/>
        </w:rPr>
        <w:t> </w:t>
      </w:r>
      <w:r>
        <w:rPr>
          <w:rStyle w:val="CharSchText"/>
        </w:rPr>
        <w:t>Documents that a business settlement agent may draw or prepare</w:t>
      </w:r>
      <w:bookmarkEnd w:id="39"/>
    </w:p>
    <w:p>
      <w:pPr>
        <w:pStyle w:val="yShoulderClause"/>
        <w:rPr>
          <w:snapToGrid w:val="0"/>
        </w:rPr>
      </w:pPr>
      <w:r>
        <w:rPr>
          <w:snapToGrid w:val="0"/>
        </w:rPr>
        <w:t>[Reg. 12]</w:t>
      </w:r>
    </w:p>
    <w:p>
      <w:pPr>
        <w:pStyle w:val="yMiscellaneousBody"/>
        <w:ind w:left="567" w:hanging="567"/>
        <w:rPr>
          <w:snapToGrid w:val="0"/>
        </w:rPr>
      </w:pPr>
      <w:r>
        <w:rPr>
          <w:snapToGrid w:val="0"/>
        </w:rPr>
        <w:t>1.</w:t>
      </w:r>
      <w:r>
        <w:rPr>
          <w:snapToGrid w:val="0"/>
        </w:rPr>
        <w:tab/>
        <w:t xml:space="preserve">A memorandum of satisfaction of a bill of sale for the purposes of section 21 of the </w:t>
      </w:r>
      <w:r>
        <w:rPr>
          <w:i/>
          <w:snapToGrid w:val="0"/>
        </w:rPr>
        <w:t>Bills of Sale Act 1899</w:t>
      </w:r>
      <w:r>
        <w:rPr>
          <w:snapToGrid w:val="0"/>
          <w:vertAlign w:val="superscript"/>
        </w:rPr>
        <w:t> 2</w:t>
      </w:r>
      <w:r>
        <w:rPr>
          <w:snapToGrid w:val="0"/>
        </w:rPr>
        <w:t>.</w:t>
      </w:r>
    </w:p>
    <w:p>
      <w:pPr>
        <w:pStyle w:val="yFootnotesection"/>
      </w:pPr>
      <w:r>
        <w:tab/>
        <w:t>[Schedule 4 inserted: Gazette 23 May 1997 p. 2424.]</w:t>
      </w:r>
    </w:p>
    <w:p>
      <w:pPr>
        <w:pStyle w:val="yScheduleHeading"/>
      </w:pPr>
      <w:bookmarkStart w:id="40" w:name="_Toc155172976"/>
      <w:r>
        <w:rPr>
          <w:rStyle w:val="CharSchNo"/>
        </w:rPr>
        <w:lastRenderedPageBreak/>
        <w:t>Schedule 5</w:t>
      </w:r>
      <w:r>
        <w:t> — </w:t>
      </w:r>
      <w:r>
        <w:rPr>
          <w:rStyle w:val="CharSchText"/>
        </w:rPr>
        <w:t>Prescribed offences and modified penalties</w:t>
      </w:r>
      <w:bookmarkEnd w:id="40"/>
    </w:p>
    <w:p>
      <w:pPr>
        <w:pStyle w:val="yShoulderClause"/>
      </w:pPr>
      <w:r>
        <w:t>[r. 15]</w:t>
      </w:r>
    </w:p>
    <w:p>
      <w:pPr>
        <w:pStyle w:val="yFootnoteheading"/>
      </w:pPr>
      <w:r>
        <w:tab/>
        <w:t>[Heading inserted: Gazette 23 Dec 2008 p. 5470.]</w:t>
      </w:r>
    </w:p>
    <w:p>
      <w:pPr>
        <w:pStyle w:val="yHeading3"/>
      </w:pPr>
      <w:bookmarkStart w:id="41" w:name="_Toc155172977"/>
      <w:r>
        <w:rPr>
          <w:rStyle w:val="CharSDivNo"/>
        </w:rPr>
        <w:t>Part 1</w:t>
      </w:r>
      <w:r>
        <w:rPr>
          <w:b w:val="0"/>
        </w:rPr>
        <w:t> — </w:t>
      </w:r>
      <w:r>
        <w:rPr>
          <w:rStyle w:val="CharSDivText"/>
        </w:rPr>
        <w:t>Offences under section 65</w:t>
      </w:r>
      <w:bookmarkEnd w:id="41"/>
    </w:p>
    <w:p>
      <w:pPr>
        <w:pStyle w:val="yFootnoteheading"/>
        <w:spacing w:after="80"/>
      </w:pPr>
      <w:r>
        <w:tab/>
        <w:t>[Heading inserted: Gazette 23 Dec 2008 p. 5470.]</w:t>
      </w:r>
    </w:p>
    <w:tbl>
      <w:tblPr>
        <w:tblW w:w="0" w:type="auto"/>
        <w:tblInd w:w="908" w:type="dxa"/>
        <w:tblLayout w:type="fixed"/>
        <w:tblCellMar>
          <w:left w:w="57" w:type="dxa"/>
          <w:right w:w="57" w:type="dxa"/>
        </w:tblCellMar>
        <w:tblLook w:val="0000" w:firstRow="0" w:lastRow="0" w:firstColumn="0" w:lastColumn="0" w:noHBand="0" w:noVBand="0"/>
      </w:tblPr>
      <w:tblGrid>
        <w:gridCol w:w="3685"/>
        <w:gridCol w:w="2127"/>
      </w:tblGrid>
      <w:tr>
        <w:trPr>
          <w:cantSplit/>
          <w:trHeight w:val="21"/>
        </w:trPr>
        <w:tc>
          <w:tcPr>
            <w:tcW w:w="3685" w:type="dxa"/>
            <w:tcBorders>
              <w:top w:val="single" w:sz="4" w:space="0" w:color="auto"/>
              <w:bottom w:val="single" w:sz="4" w:space="0" w:color="auto"/>
            </w:tcBorders>
          </w:tcPr>
          <w:p>
            <w:pPr>
              <w:pStyle w:val="yTableNAm"/>
              <w:rPr>
                <w:b/>
                <w:bCs/>
              </w:rPr>
            </w:pPr>
            <w:r>
              <w:rPr>
                <w:b/>
                <w:bCs/>
              </w:rPr>
              <w:t xml:space="preserve">Provision of the </w:t>
            </w:r>
            <w:r>
              <w:rPr>
                <w:b/>
                <w:bCs/>
                <w:i/>
                <w:iCs/>
              </w:rPr>
              <w:t>Settlement Agents Act 1981</w:t>
            </w:r>
          </w:p>
        </w:tc>
        <w:tc>
          <w:tcPr>
            <w:tcW w:w="2127" w:type="dxa"/>
            <w:tcBorders>
              <w:top w:val="single" w:sz="4" w:space="0" w:color="auto"/>
              <w:bottom w:val="single" w:sz="4" w:space="0" w:color="auto"/>
            </w:tcBorders>
          </w:tcPr>
          <w:p>
            <w:pPr>
              <w:pStyle w:val="yTableNAm"/>
              <w:rPr>
                <w:b/>
                <w:bCs/>
              </w:rPr>
            </w:pPr>
            <w:r>
              <w:rPr>
                <w:b/>
                <w:bCs/>
              </w:rPr>
              <w:t>Modified Penalty</w:t>
            </w:r>
          </w:p>
        </w:tc>
      </w:tr>
      <w:tr>
        <w:trPr>
          <w:cantSplit/>
          <w:trHeight w:val="21"/>
        </w:trPr>
        <w:tc>
          <w:tcPr>
            <w:tcW w:w="3685" w:type="dxa"/>
            <w:tcBorders>
              <w:top w:val="single" w:sz="4" w:space="0" w:color="auto"/>
            </w:tcBorders>
          </w:tcPr>
          <w:p>
            <w:pPr>
              <w:pStyle w:val="yTableNAm"/>
            </w:pPr>
            <w:r>
              <w:t>s. 51(1)</w:t>
            </w:r>
          </w:p>
        </w:tc>
        <w:tc>
          <w:tcPr>
            <w:tcW w:w="2127" w:type="dxa"/>
            <w:tcBorders>
              <w:top w:val="single" w:sz="4" w:space="0" w:color="auto"/>
            </w:tcBorders>
          </w:tcPr>
          <w:p>
            <w:pPr>
              <w:pStyle w:val="yTableNAm"/>
            </w:pPr>
            <w:r>
              <w:t>$600</w:t>
            </w:r>
          </w:p>
        </w:tc>
      </w:tr>
      <w:tr>
        <w:trPr>
          <w:cantSplit/>
          <w:trHeight w:val="21"/>
        </w:trPr>
        <w:tc>
          <w:tcPr>
            <w:tcW w:w="3685" w:type="dxa"/>
            <w:tcBorders>
              <w:bottom w:val="single" w:sz="4" w:space="0" w:color="auto"/>
            </w:tcBorders>
          </w:tcPr>
          <w:p>
            <w:pPr>
              <w:pStyle w:val="yTableNAm"/>
            </w:pPr>
            <w:r>
              <w:t>s. 51(3)(a)</w:t>
            </w:r>
          </w:p>
        </w:tc>
        <w:tc>
          <w:tcPr>
            <w:tcW w:w="2127" w:type="dxa"/>
            <w:tcBorders>
              <w:bottom w:val="single" w:sz="4" w:space="0" w:color="auto"/>
            </w:tcBorders>
          </w:tcPr>
          <w:p>
            <w:pPr>
              <w:pStyle w:val="yTableNAm"/>
            </w:pPr>
            <w:r>
              <w:t>$600</w:t>
            </w:r>
          </w:p>
        </w:tc>
      </w:tr>
    </w:tbl>
    <w:p>
      <w:pPr>
        <w:pStyle w:val="yHeading3"/>
      </w:pPr>
      <w:bookmarkStart w:id="42" w:name="_Toc155172978"/>
      <w:r>
        <w:rPr>
          <w:rStyle w:val="CharSDivNo"/>
        </w:rPr>
        <w:t>Part 2</w:t>
      </w:r>
      <w:r>
        <w:rPr>
          <w:b w:val="0"/>
        </w:rPr>
        <w:t> — </w:t>
      </w:r>
      <w:r>
        <w:rPr>
          <w:rStyle w:val="CharSDivText"/>
        </w:rPr>
        <w:t>Offences under section 120</w:t>
      </w:r>
      <w:bookmarkEnd w:id="42"/>
    </w:p>
    <w:p>
      <w:pPr>
        <w:pStyle w:val="yFootnoteheading"/>
        <w:spacing w:after="80"/>
      </w:pPr>
      <w:r>
        <w:tab/>
        <w:t>[Heading inserted: Gazette 23 Dec 2008 p. 5470.]</w:t>
      </w:r>
    </w:p>
    <w:tbl>
      <w:tblPr>
        <w:tblW w:w="0" w:type="auto"/>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685"/>
        <w:gridCol w:w="2127"/>
      </w:tblGrid>
      <w:tr>
        <w:trPr>
          <w:cantSplit/>
          <w:trHeight w:val="21"/>
          <w:tblHeader/>
        </w:trPr>
        <w:tc>
          <w:tcPr>
            <w:tcW w:w="3685" w:type="dxa"/>
            <w:tcBorders>
              <w:left w:val="nil"/>
              <w:bottom w:val="single" w:sz="4" w:space="0" w:color="auto"/>
              <w:right w:val="nil"/>
            </w:tcBorders>
          </w:tcPr>
          <w:p>
            <w:pPr>
              <w:pStyle w:val="yTableNAm"/>
              <w:rPr>
                <w:b/>
                <w:bCs/>
              </w:rPr>
            </w:pPr>
            <w:r>
              <w:rPr>
                <w:b/>
                <w:bCs/>
              </w:rPr>
              <w:t xml:space="preserve">Provision of the </w:t>
            </w:r>
            <w:r>
              <w:rPr>
                <w:b/>
                <w:bCs/>
                <w:i/>
                <w:iCs/>
              </w:rPr>
              <w:t>Settlement Agents Act 1981</w:t>
            </w:r>
          </w:p>
        </w:tc>
        <w:tc>
          <w:tcPr>
            <w:tcW w:w="2127" w:type="dxa"/>
            <w:tcBorders>
              <w:left w:val="nil"/>
              <w:bottom w:val="single" w:sz="4" w:space="0" w:color="auto"/>
              <w:right w:val="nil"/>
            </w:tcBorders>
          </w:tcPr>
          <w:p>
            <w:pPr>
              <w:pStyle w:val="yTableNAm"/>
              <w:rPr>
                <w:b/>
                <w:bCs/>
              </w:rPr>
            </w:pPr>
            <w:r>
              <w:rPr>
                <w:b/>
                <w:bCs/>
              </w:rPr>
              <w:t>Modified Penalty</w:t>
            </w:r>
          </w:p>
        </w:tc>
      </w:tr>
      <w:tr>
        <w:trPr>
          <w:cantSplit/>
          <w:trHeight w:val="21"/>
        </w:trPr>
        <w:tc>
          <w:tcPr>
            <w:tcW w:w="3685" w:type="dxa"/>
            <w:tcBorders>
              <w:left w:val="nil"/>
              <w:bottom w:val="nil"/>
              <w:right w:val="nil"/>
            </w:tcBorders>
          </w:tcPr>
          <w:p>
            <w:pPr>
              <w:pStyle w:val="yTableNAm"/>
            </w:pPr>
            <w:r>
              <w:t>s. 36(1)</w:t>
            </w:r>
          </w:p>
        </w:tc>
        <w:tc>
          <w:tcPr>
            <w:tcW w:w="2127" w:type="dxa"/>
            <w:tcBorders>
              <w:left w:val="nil"/>
              <w:bottom w:val="nil"/>
              <w:right w:val="nil"/>
            </w:tcBorders>
          </w:tcPr>
          <w:p>
            <w:pPr>
              <w:pStyle w:val="yTableNAm"/>
            </w:pPr>
            <w:r>
              <w:t>$400</w:t>
            </w:r>
          </w:p>
        </w:tc>
      </w:tr>
      <w:tr>
        <w:trPr>
          <w:cantSplit/>
          <w:trHeight w:val="21"/>
        </w:trPr>
        <w:tc>
          <w:tcPr>
            <w:tcW w:w="3685" w:type="dxa"/>
            <w:tcBorders>
              <w:top w:val="nil"/>
              <w:left w:val="nil"/>
              <w:bottom w:val="nil"/>
              <w:right w:val="nil"/>
            </w:tcBorders>
          </w:tcPr>
          <w:p>
            <w:pPr>
              <w:pStyle w:val="yTableNAm"/>
            </w:pPr>
            <w:r>
              <w:t>s. 37(1)</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38(1)</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38(2)</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38(3)</w:t>
            </w:r>
          </w:p>
        </w:tc>
        <w:tc>
          <w:tcPr>
            <w:tcW w:w="2127" w:type="dxa"/>
            <w:tcBorders>
              <w:top w:val="nil"/>
              <w:left w:val="nil"/>
              <w:bottom w:val="nil"/>
              <w:right w:val="nil"/>
            </w:tcBorders>
          </w:tcPr>
          <w:p>
            <w:pPr>
              <w:pStyle w:val="yTableNAm"/>
            </w:pPr>
            <w:r>
              <w:t>$400</w:t>
            </w:r>
          </w:p>
        </w:tc>
      </w:tr>
      <w:tr>
        <w:trPr>
          <w:cantSplit/>
          <w:trHeight w:val="21"/>
        </w:trPr>
        <w:tc>
          <w:tcPr>
            <w:tcW w:w="3685" w:type="dxa"/>
            <w:tcBorders>
              <w:top w:val="nil"/>
              <w:left w:val="nil"/>
              <w:bottom w:val="nil"/>
              <w:right w:val="nil"/>
            </w:tcBorders>
          </w:tcPr>
          <w:p>
            <w:pPr>
              <w:pStyle w:val="yTableNAm"/>
            </w:pPr>
            <w:r>
              <w:t>s. 41(1)(a)</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41(1)(b)</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41(2)</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42(1)(a)</w:t>
            </w:r>
          </w:p>
        </w:tc>
        <w:tc>
          <w:tcPr>
            <w:tcW w:w="2127" w:type="dxa"/>
            <w:tcBorders>
              <w:top w:val="nil"/>
              <w:left w:val="nil"/>
              <w:bottom w:val="nil"/>
              <w:right w:val="nil"/>
            </w:tcBorders>
          </w:tcPr>
          <w:p>
            <w:pPr>
              <w:pStyle w:val="yTableNAm"/>
            </w:pPr>
            <w:r>
              <w:t>$400</w:t>
            </w:r>
          </w:p>
        </w:tc>
      </w:tr>
      <w:tr>
        <w:trPr>
          <w:cantSplit/>
          <w:trHeight w:val="21"/>
        </w:trPr>
        <w:tc>
          <w:tcPr>
            <w:tcW w:w="3685" w:type="dxa"/>
            <w:tcBorders>
              <w:top w:val="nil"/>
              <w:left w:val="nil"/>
              <w:bottom w:val="nil"/>
              <w:right w:val="nil"/>
            </w:tcBorders>
          </w:tcPr>
          <w:p>
            <w:pPr>
              <w:pStyle w:val="yTableNAm"/>
            </w:pPr>
            <w:r>
              <w:t>s. 42(1)(b)</w:t>
            </w:r>
          </w:p>
        </w:tc>
        <w:tc>
          <w:tcPr>
            <w:tcW w:w="2127" w:type="dxa"/>
            <w:tcBorders>
              <w:top w:val="nil"/>
              <w:left w:val="nil"/>
              <w:bottom w:val="nil"/>
              <w:right w:val="nil"/>
            </w:tcBorders>
          </w:tcPr>
          <w:p>
            <w:pPr>
              <w:pStyle w:val="yTableNAm"/>
            </w:pPr>
            <w:r>
              <w:t>$400</w:t>
            </w:r>
          </w:p>
        </w:tc>
      </w:tr>
      <w:tr>
        <w:trPr>
          <w:cantSplit/>
          <w:trHeight w:val="21"/>
        </w:trPr>
        <w:tc>
          <w:tcPr>
            <w:tcW w:w="3685" w:type="dxa"/>
            <w:tcBorders>
              <w:top w:val="nil"/>
              <w:left w:val="nil"/>
              <w:bottom w:val="nil"/>
              <w:right w:val="nil"/>
            </w:tcBorders>
          </w:tcPr>
          <w:p>
            <w:pPr>
              <w:pStyle w:val="yTableNAm"/>
            </w:pPr>
            <w:r>
              <w:t>s. 42(2)(a)</w:t>
            </w:r>
          </w:p>
        </w:tc>
        <w:tc>
          <w:tcPr>
            <w:tcW w:w="2127" w:type="dxa"/>
            <w:tcBorders>
              <w:top w:val="nil"/>
              <w:left w:val="nil"/>
              <w:bottom w:val="nil"/>
              <w:right w:val="nil"/>
            </w:tcBorders>
          </w:tcPr>
          <w:p>
            <w:pPr>
              <w:pStyle w:val="yTableNAm"/>
            </w:pPr>
            <w:r>
              <w:t>$400</w:t>
            </w:r>
          </w:p>
        </w:tc>
      </w:tr>
      <w:tr>
        <w:trPr>
          <w:cantSplit/>
          <w:trHeight w:val="21"/>
        </w:trPr>
        <w:tc>
          <w:tcPr>
            <w:tcW w:w="3685" w:type="dxa"/>
            <w:tcBorders>
              <w:top w:val="nil"/>
              <w:left w:val="nil"/>
              <w:right w:val="nil"/>
            </w:tcBorders>
          </w:tcPr>
          <w:p>
            <w:pPr>
              <w:pStyle w:val="yTableNAm"/>
            </w:pPr>
            <w:r>
              <w:t>s. 42(2)(b)</w:t>
            </w:r>
          </w:p>
        </w:tc>
        <w:tc>
          <w:tcPr>
            <w:tcW w:w="2127" w:type="dxa"/>
            <w:tcBorders>
              <w:top w:val="nil"/>
              <w:left w:val="nil"/>
              <w:right w:val="nil"/>
            </w:tcBorders>
          </w:tcPr>
          <w:p>
            <w:pPr>
              <w:pStyle w:val="yTableNAm"/>
            </w:pPr>
            <w:r>
              <w:t>$400</w:t>
            </w:r>
          </w:p>
        </w:tc>
      </w:tr>
    </w:tbl>
    <w:p>
      <w:pPr>
        <w:pStyle w:val="yHeading3"/>
      </w:pPr>
      <w:bookmarkStart w:id="43" w:name="_Toc155172979"/>
      <w:r>
        <w:rPr>
          <w:rStyle w:val="CharSDivNo"/>
        </w:rPr>
        <w:lastRenderedPageBreak/>
        <w:t>Part 3</w:t>
      </w:r>
      <w:r>
        <w:rPr>
          <w:b w:val="0"/>
        </w:rPr>
        <w:t> — </w:t>
      </w:r>
      <w:r>
        <w:rPr>
          <w:rStyle w:val="CharSDivText"/>
        </w:rPr>
        <w:t>Other offence</w:t>
      </w:r>
      <w:bookmarkEnd w:id="43"/>
    </w:p>
    <w:p>
      <w:pPr>
        <w:pStyle w:val="yFootnoteheading"/>
        <w:spacing w:after="80"/>
      </w:pPr>
      <w:r>
        <w:tab/>
        <w:t>[Heading inserted: SL 2020/259 r. 10.]</w:t>
      </w:r>
    </w:p>
    <w:tbl>
      <w:tblPr>
        <w:tblW w:w="0" w:type="auto"/>
        <w:tblInd w:w="908" w:type="dxa"/>
        <w:tblLayout w:type="fixed"/>
        <w:tblCellMar>
          <w:left w:w="57" w:type="dxa"/>
          <w:right w:w="57" w:type="dxa"/>
        </w:tblCellMar>
        <w:tblLook w:val="0000" w:firstRow="0" w:lastRow="0" w:firstColumn="0" w:lastColumn="0" w:noHBand="0" w:noVBand="0"/>
      </w:tblPr>
      <w:tblGrid>
        <w:gridCol w:w="3685"/>
        <w:gridCol w:w="2127"/>
      </w:tblGrid>
      <w:tr>
        <w:trPr>
          <w:cantSplit/>
          <w:trHeight w:val="21"/>
        </w:trPr>
        <w:tc>
          <w:tcPr>
            <w:tcW w:w="3685" w:type="dxa"/>
            <w:tcBorders>
              <w:top w:val="single" w:sz="4" w:space="0" w:color="auto"/>
              <w:bottom w:val="single" w:sz="4" w:space="0" w:color="auto"/>
            </w:tcBorders>
            <w:noWrap/>
          </w:tcPr>
          <w:p>
            <w:pPr>
              <w:pStyle w:val="yTableNAm"/>
            </w:pPr>
            <w:r>
              <w:rPr>
                <w:b/>
              </w:rPr>
              <w:t xml:space="preserve">Provision of the </w:t>
            </w:r>
            <w:r>
              <w:rPr>
                <w:b/>
                <w:i/>
              </w:rPr>
              <w:t>Settlement Agents Act 1981</w:t>
            </w:r>
          </w:p>
        </w:tc>
        <w:tc>
          <w:tcPr>
            <w:tcW w:w="2127" w:type="dxa"/>
            <w:tcBorders>
              <w:top w:val="single" w:sz="4" w:space="0" w:color="auto"/>
              <w:bottom w:val="single" w:sz="4" w:space="0" w:color="auto"/>
            </w:tcBorders>
            <w:noWrap/>
          </w:tcPr>
          <w:p>
            <w:pPr>
              <w:pStyle w:val="yTableNAm"/>
            </w:pPr>
            <w:r>
              <w:rPr>
                <w:b/>
              </w:rPr>
              <w:t>Modified Penalty</w:t>
            </w:r>
          </w:p>
        </w:tc>
      </w:tr>
      <w:tr>
        <w:trPr>
          <w:cantSplit/>
          <w:trHeight w:val="21"/>
        </w:trPr>
        <w:tc>
          <w:tcPr>
            <w:tcW w:w="3685" w:type="dxa"/>
            <w:tcBorders>
              <w:top w:val="single" w:sz="4" w:space="0" w:color="auto"/>
              <w:bottom w:val="single" w:sz="4" w:space="0" w:color="auto"/>
            </w:tcBorders>
            <w:noWrap/>
          </w:tcPr>
          <w:p>
            <w:pPr>
              <w:pStyle w:val="yTableNAm"/>
            </w:pPr>
            <w:r>
              <w:t>s. 41B</w:t>
            </w:r>
          </w:p>
        </w:tc>
        <w:tc>
          <w:tcPr>
            <w:tcW w:w="2127" w:type="dxa"/>
            <w:tcBorders>
              <w:top w:val="single" w:sz="4" w:space="0" w:color="auto"/>
              <w:bottom w:val="single" w:sz="4" w:space="0" w:color="auto"/>
            </w:tcBorders>
            <w:noWrap/>
          </w:tcPr>
          <w:p>
            <w:pPr>
              <w:pStyle w:val="yTableNAm"/>
            </w:pPr>
            <w:r>
              <w:t>$1 000</w:t>
            </w:r>
          </w:p>
        </w:tc>
      </w:tr>
    </w:tbl>
    <w:p>
      <w:pPr>
        <w:pStyle w:val="yFootnotesection"/>
      </w:pPr>
      <w:r>
        <w:tab/>
        <w:t>[Schedule 5 inserted: Gazette 23 Dec 2008 p. 5470; amended: SL 2020/259 r. 10.]</w:t>
      </w:r>
    </w:p>
    <w:p>
      <w:pPr>
        <w:pStyle w:val="yScheduleHeading"/>
      </w:pPr>
      <w:bookmarkStart w:id="44" w:name="_Toc155172980"/>
      <w:r>
        <w:rPr>
          <w:rStyle w:val="CharSchNo"/>
        </w:rPr>
        <w:lastRenderedPageBreak/>
        <w:t>Schedule 6</w:t>
      </w:r>
      <w:r>
        <w:t> — </w:t>
      </w:r>
      <w:r>
        <w:rPr>
          <w:rStyle w:val="CharSchText"/>
        </w:rPr>
        <w:t>Forms</w:t>
      </w:r>
      <w:bookmarkEnd w:id="44"/>
    </w:p>
    <w:p>
      <w:pPr>
        <w:pStyle w:val="yShoulderClause"/>
        <w:spacing w:before="60"/>
      </w:pPr>
      <w:r>
        <w:t>[r. 16]</w:t>
      </w:r>
    </w:p>
    <w:p>
      <w:pPr>
        <w:pStyle w:val="yFootnoteheading"/>
        <w:spacing w:before="60"/>
      </w:pPr>
      <w:r>
        <w:tab/>
        <w:t>[Heading inserted: Gazette 22 Sep 2006 p. 4132.]</w:t>
      </w:r>
    </w:p>
    <w:p>
      <w:pPr>
        <w:pStyle w:val="yHeading5"/>
        <w:spacing w:after="40"/>
        <w:outlineLvl w:val="9"/>
        <w:rPr>
          <w:szCs w:val="22"/>
        </w:rPr>
      </w:pPr>
      <w:bookmarkStart w:id="45" w:name="_Toc155172981"/>
      <w:r>
        <w:rPr>
          <w:rStyle w:val="CharSDivNo"/>
          <w:sz w:val="22"/>
          <w:szCs w:val="22"/>
        </w:rPr>
        <w:t>Form 1</w:t>
      </w:r>
      <w:r>
        <w:rPr>
          <w:szCs w:val="22"/>
        </w:rPr>
        <w:t> — </w:t>
      </w:r>
      <w:r>
        <w:rPr>
          <w:rStyle w:val="CharSDivText"/>
          <w:sz w:val="22"/>
          <w:szCs w:val="22"/>
        </w:rPr>
        <w:t>Infringement notice</w:t>
      </w:r>
      <w:bookmarkEnd w:id="4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NAm"/>
              <w:rPr>
                <w:b/>
                <w:i/>
                <w:iCs/>
                <w:sz w:val="20"/>
              </w:rPr>
            </w:pPr>
            <w:r>
              <w:rPr>
                <w:b/>
              </w:rPr>
              <w:br w:type="page"/>
            </w:r>
            <w:r>
              <w:rPr>
                <w:i/>
                <w:iCs/>
                <w:sz w:val="20"/>
              </w:rPr>
              <w:t>Settlement Agents Act 1981</w:t>
            </w:r>
          </w:p>
          <w:p>
            <w:pPr>
              <w:pStyle w:val="yTableNAm"/>
              <w:rPr>
                <w:b/>
                <w:sz w:val="28"/>
              </w:rPr>
            </w:pPr>
            <w:r>
              <w:rPr>
                <w:b/>
                <w:sz w:val="28"/>
              </w:rPr>
              <w:t>Infringement notice</w:t>
            </w:r>
          </w:p>
        </w:tc>
        <w:tc>
          <w:tcPr>
            <w:tcW w:w="2118" w:type="dxa"/>
            <w:tcBorders>
              <w:bottom w:val="single" w:sz="4" w:space="0" w:color="auto"/>
            </w:tcBorders>
          </w:tcPr>
          <w:p>
            <w:pPr>
              <w:pStyle w:val="yTableNAm"/>
              <w:rPr>
                <w:sz w:val="20"/>
              </w:rPr>
            </w:pPr>
            <w:r>
              <w:rPr>
                <w:sz w:val="20"/>
              </w:rPr>
              <w:t xml:space="preserve">Infringement </w:t>
            </w:r>
            <w:r>
              <w:rPr>
                <w:sz w:val="20"/>
              </w:rPr>
              <w:br/>
              <w:t>notice no.</w:t>
            </w:r>
          </w:p>
        </w:tc>
      </w:tr>
      <w:tr>
        <w:trPr>
          <w:cantSplit/>
          <w:trHeight w:val="150"/>
        </w:trPr>
        <w:tc>
          <w:tcPr>
            <w:tcW w:w="1418" w:type="dxa"/>
            <w:vMerge w:val="restart"/>
          </w:tcPr>
          <w:p>
            <w:pPr>
              <w:pStyle w:val="yTableNAm"/>
              <w:spacing w:before="60"/>
              <w:rPr>
                <w:b/>
                <w:sz w:val="20"/>
              </w:rPr>
            </w:pPr>
            <w:r>
              <w:rPr>
                <w:b/>
                <w:sz w:val="20"/>
              </w:rPr>
              <w:t>Alleged offender</w:t>
            </w:r>
          </w:p>
        </w:tc>
        <w:tc>
          <w:tcPr>
            <w:tcW w:w="5662" w:type="dxa"/>
            <w:gridSpan w:val="2"/>
          </w:tcPr>
          <w:p>
            <w:pPr>
              <w:pStyle w:val="yTableNAm"/>
              <w:spacing w:before="60"/>
              <w:rPr>
                <w:sz w:val="20"/>
              </w:rPr>
            </w:pPr>
            <w:r>
              <w:rPr>
                <w:sz w:val="20"/>
              </w:rPr>
              <w:t>Name:</w:t>
            </w:r>
            <w:r>
              <w:rPr>
                <w:sz w:val="20"/>
              </w:rPr>
              <w:tab/>
              <w:t>Family name</w:t>
            </w:r>
          </w:p>
        </w:tc>
      </w:tr>
      <w:tr>
        <w:trPr>
          <w:cantSplit/>
          <w:trHeight w:val="150"/>
        </w:trPr>
        <w:tc>
          <w:tcPr>
            <w:tcW w:w="1418" w:type="dxa"/>
            <w:vMerge/>
          </w:tcPr>
          <w:p>
            <w:pPr>
              <w:pStyle w:val="yTableNAm"/>
              <w:spacing w:before="60"/>
              <w:rPr>
                <w:b/>
                <w:sz w:val="20"/>
              </w:rPr>
            </w:pPr>
          </w:p>
        </w:tc>
        <w:tc>
          <w:tcPr>
            <w:tcW w:w="5662" w:type="dxa"/>
            <w:gridSpan w:val="2"/>
          </w:tcPr>
          <w:p>
            <w:pPr>
              <w:pStyle w:val="yTableNAm"/>
              <w:tabs>
                <w:tab w:val="left" w:pos="994"/>
              </w:tabs>
              <w:spacing w:before="60"/>
              <w:rPr>
                <w:sz w:val="20"/>
              </w:rPr>
            </w:pPr>
            <w:r>
              <w:rPr>
                <w:sz w:val="20"/>
              </w:rPr>
              <w:tab/>
              <w:t>Given names</w:t>
            </w:r>
          </w:p>
        </w:tc>
      </w:tr>
      <w:tr>
        <w:trPr>
          <w:cantSplit/>
          <w:trHeight w:val="150"/>
        </w:trPr>
        <w:tc>
          <w:tcPr>
            <w:tcW w:w="1418" w:type="dxa"/>
            <w:vMerge/>
          </w:tcPr>
          <w:p>
            <w:pPr>
              <w:pStyle w:val="yTableNAm"/>
              <w:spacing w:before="60"/>
              <w:rPr>
                <w:b/>
                <w:sz w:val="20"/>
              </w:rPr>
            </w:pPr>
          </w:p>
        </w:tc>
        <w:tc>
          <w:tcPr>
            <w:tcW w:w="5662" w:type="dxa"/>
            <w:gridSpan w:val="2"/>
          </w:tcPr>
          <w:p>
            <w:pPr>
              <w:pStyle w:val="yTableNAm"/>
              <w:tabs>
                <w:tab w:val="left" w:pos="994"/>
              </w:tabs>
              <w:spacing w:before="60"/>
              <w:ind w:right="-108"/>
              <w:rPr>
                <w:sz w:val="20"/>
              </w:rPr>
            </w:pPr>
            <w:r>
              <w:rPr>
                <w:sz w:val="20"/>
              </w:rPr>
              <w:t>or</w:t>
            </w:r>
            <w:r>
              <w:rPr>
                <w:sz w:val="20"/>
              </w:rPr>
              <w:tab/>
              <w:t>Company name  ____________________________________</w:t>
            </w:r>
          </w:p>
          <w:p>
            <w:pPr>
              <w:pStyle w:val="yTableNAm"/>
              <w:tabs>
                <w:tab w:val="left" w:pos="994"/>
              </w:tabs>
              <w:spacing w:before="0"/>
              <w:rPr>
                <w:sz w:val="20"/>
              </w:rPr>
            </w:pPr>
            <w:r>
              <w:rPr>
                <w:sz w:val="20"/>
              </w:rPr>
              <w:tab/>
            </w:r>
            <w:r>
              <w:rPr>
                <w:sz w:val="20"/>
              </w:rPr>
              <w:tab/>
            </w:r>
            <w:r>
              <w:rPr>
                <w:sz w:val="20"/>
              </w:rPr>
              <w:tab/>
            </w:r>
            <w:r>
              <w:rPr>
                <w:sz w:val="20"/>
              </w:rPr>
              <w:tab/>
            </w:r>
            <w:r>
              <w:rPr>
                <w:sz w:val="20"/>
              </w:rPr>
              <w:tab/>
            </w:r>
            <w:r>
              <w:rPr>
                <w:sz w:val="20"/>
              </w:rPr>
              <w:tab/>
              <w:t>ACN</w:t>
            </w:r>
          </w:p>
        </w:tc>
      </w:tr>
      <w:tr>
        <w:trPr>
          <w:cantSplit/>
          <w:trHeight w:val="150"/>
        </w:trPr>
        <w:tc>
          <w:tcPr>
            <w:tcW w:w="1418" w:type="dxa"/>
            <w:vMerge/>
          </w:tcPr>
          <w:p>
            <w:pPr>
              <w:pStyle w:val="yTableNAm"/>
              <w:spacing w:before="60"/>
              <w:rPr>
                <w:b/>
                <w:sz w:val="20"/>
              </w:rPr>
            </w:pPr>
          </w:p>
        </w:tc>
        <w:tc>
          <w:tcPr>
            <w:tcW w:w="5662" w:type="dxa"/>
            <w:gridSpan w:val="2"/>
          </w:tcPr>
          <w:p>
            <w:pPr>
              <w:pStyle w:val="yTableNAm"/>
              <w:spacing w:before="60"/>
              <w:ind w:right="-108"/>
              <w:rPr>
                <w:sz w:val="20"/>
              </w:rPr>
            </w:pPr>
            <w:r>
              <w:rPr>
                <w:sz w:val="20"/>
              </w:rPr>
              <w:t>Address ________________________________________________</w:t>
            </w:r>
          </w:p>
          <w:p>
            <w:pPr>
              <w:pStyle w:val="yTableNAm"/>
              <w:tabs>
                <w:tab w:val="left" w:pos="994"/>
              </w:tabs>
              <w:spacing w:before="0"/>
              <w:rPr>
                <w:sz w:val="20"/>
              </w:rPr>
            </w:pPr>
            <w:r>
              <w:rPr>
                <w:sz w:val="20"/>
              </w:rPr>
              <w:tab/>
            </w:r>
            <w:r>
              <w:rPr>
                <w:sz w:val="20"/>
              </w:rPr>
              <w:tab/>
            </w:r>
            <w:r>
              <w:rPr>
                <w:sz w:val="20"/>
              </w:rPr>
              <w:tab/>
            </w:r>
            <w:r>
              <w:rPr>
                <w:sz w:val="20"/>
              </w:rPr>
              <w:tab/>
            </w:r>
            <w:r>
              <w:rPr>
                <w:sz w:val="20"/>
              </w:rPr>
              <w:tab/>
            </w:r>
            <w:r>
              <w:rPr>
                <w:sz w:val="20"/>
              </w:rPr>
              <w:tab/>
              <w:t>Postcode</w:t>
            </w:r>
          </w:p>
        </w:tc>
      </w:tr>
      <w:tr>
        <w:trPr>
          <w:cantSplit/>
        </w:trPr>
        <w:tc>
          <w:tcPr>
            <w:tcW w:w="1418" w:type="dxa"/>
            <w:vMerge w:val="restart"/>
          </w:tcPr>
          <w:p>
            <w:pPr>
              <w:pStyle w:val="yTableNAm"/>
              <w:spacing w:before="60"/>
              <w:rPr>
                <w:b/>
                <w:sz w:val="20"/>
              </w:rPr>
            </w:pPr>
            <w:r>
              <w:rPr>
                <w:b/>
                <w:sz w:val="20"/>
              </w:rPr>
              <w:t>Alleged offence</w:t>
            </w:r>
          </w:p>
        </w:tc>
        <w:tc>
          <w:tcPr>
            <w:tcW w:w="5662" w:type="dxa"/>
            <w:gridSpan w:val="2"/>
          </w:tcPr>
          <w:p>
            <w:pPr>
              <w:pStyle w:val="yTableNAm"/>
              <w:spacing w:before="60"/>
              <w:ind w:right="-108"/>
              <w:rPr>
                <w:sz w:val="20"/>
              </w:rPr>
            </w:pPr>
            <w:r>
              <w:rPr>
                <w:sz w:val="20"/>
              </w:rPr>
              <w:t>Description of offence ____________________________________</w:t>
            </w:r>
          </w:p>
          <w:p>
            <w:pPr>
              <w:pStyle w:val="yTableNAm"/>
              <w:spacing w:before="60"/>
              <w:rPr>
                <w:sz w:val="20"/>
              </w:rPr>
            </w:pP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i/>
                <w:iCs/>
                <w:sz w:val="20"/>
              </w:rPr>
              <w:t>Settlement Agents Act 1981</w:t>
            </w:r>
            <w:r>
              <w:rPr>
                <w:sz w:val="20"/>
              </w:rPr>
              <w:t xml:space="preserve"> s. </w:t>
            </w:r>
          </w:p>
        </w:tc>
      </w:tr>
      <w:tr>
        <w:trPr>
          <w:cantSplit/>
        </w:trPr>
        <w:tc>
          <w:tcPr>
            <w:tcW w:w="1418" w:type="dxa"/>
            <w:vMerge/>
          </w:tcPr>
          <w:p>
            <w:pPr>
              <w:pStyle w:val="yTableNAm"/>
              <w:spacing w:before="60"/>
              <w:rPr>
                <w:sz w:val="20"/>
              </w:rPr>
            </w:pPr>
          </w:p>
        </w:tc>
        <w:tc>
          <w:tcPr>
            <w:tcW w:w="5662" w:type="dxa"/>
            <w:gridSpan w:val="2"/>
          </w:tcPr>
          <w:p>
            <w:pPr>
              <w:pStyle w:val="yTableNAm"/>
              <w:tabs>
                <w:tab w:val="left" w:pos="1114"/>
                <w:tab w:val="left" w:pos="1714"/>
                <w:tab w:val="left" w:pos="3034"/>
                <w:tab w:val="left" w:pos="4474"/>
              </w:tabs>
              <w:spacing w:before="60"/>
              <w:rPr>
                <w:sz w:val="20"/>
              </w:rPr>
            </w:pPr>
            <w:r>
              <w:rPr>
                <w:sz w:val="20"/>
              </w:rPr>
              <w:t xml:space="preserve">Date </w:t>
            </w:r>
            <w:r>
              <w:rPr>
                <w:sz w:val="20"/>
              </w:rPr>
              <w:tab/>
            </w:r>
            <w:r>
              <w:rPr>
                <w:sz w:val="20"/>
              </w:rPr>
              <w:tab/>
              <w:t>/</w:t>
            </w:r>
            <w:r>
              <w:rPr>
                <w:sz w:val="20"/>
              </w:rPr>
              <w:tab/>
              <w:t>/20</w:t>
            </w:r>
            <w:r>
              <w:rPr>
                <w:sz w:val="20"/>
              </w:rPr>
              <w:tab/>
              <w:t xml:space="preserve">Time </w:t>
            </w:r>
            <w:r>
              <w:rPr>
                <w:sz w:val="20"/>
              </w:rPr>
              <w:tab/>
              <w:t>a.m./p.m.</w:t>
            </w:r>
          </w:p>
        </w:tc>
      </w:tr>
      <w:tr>
        <w:trPr>
          <w:cantSplit/>
        </w:trPr>
        <w:tc>
          <w:tcPr>
            <w:tcW w:w="1418" w:type="dxa"/>
            <w:vMerge/>
          </w:tcPr>
          <w:p>
            <w:pPr>
              <w:pStyle w:val="yTableNAm"/>
              <w:spacing w:before="60"/>
              <w:rPr>
                <w:b/>
                <w:sz w:val="20"/>
              </w:rPr>
            </w:pPr>
          </w:p>
        </w:tc>
        <w:tc>
          <w:tcPr>
            <w:tcW w:w="5662" w:type="dxa"/>
            <w:gridSpan w:val="2"/>
          </w:tcPr>
          <w:p>
            <w:pPr>
              <w:pStyle w:val="yTableNAm"/>
              <w:spacing w:before="60"/>
              <w:rPr>
                <w:sz w:val="20"/>
              </w:rPr>
            </w:pPr>
            <w:r>
              <w:rPr>
                <w:sz w:val="20"/>
              </w:rPr>
              <w:t>Modified penalty  $</w:t>
            </w:r>
          </w:p>
        </w:tc>
      </w:tr>
      <w:tr>
        <w:trPr>
          <w:cantSplit/>
        </w:trPr>
        <w:tc>
          <w:tcPr>
            <w:tcW w:w="1418" w:type="dxa"/>
            <w:vMerge w:val="restart"/>
          </w:tcPr>
          <w:p>
            <w:pPr>
              <w:pStyle w:val="yTableNAm"/>
              <w:spacing w:before="60"/>
              <w:rPr>
                <w:b/>
                <w:sz w:val="20"/>
              </w:rPr>
            </w:pPr>
            <w:r>
              <w:rPr>
                <w:b/>
                <w:sz w:val="20"/>
              </w:rPr>
              <w:t>Officer issuing notice</w:t>
            </w:r>
          </w:p>
        </w:tc>
        <w:tc>
          <w:tcPr>
            <w:tcW w:w="5662" w:type="dxa"/>
            <w:gridSpan w:val="2"/>
          </w:tcPr>
          <w:p>
            <w:pPr>
              <w:pStyle w:val="yTableNAm"/>
              <w:spacing w:before="60"/>
              <w:rPr>
                <w:sz w:val="20"/>
              </w:rPr>
            </w:pPr>
            <w:r>
              <w:rPr>
                <w:sz w:val="20"/>
              </w:rPr>
              <w:t>Name</w:t>
            </w: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sz w:val="20"/>
              </w:rPr>
              <w:t>Signature</w:t>
            </w: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sz w:val="20"/>
              </w:rPr>
              <w:t>Office</w:t>
            </w:r>
          </w:p>
        </w:tc>
      </w:tr>
      <w:tr>
        <w:tc>
          <w:tcPr>
            <w:tcW w:w="1418" w:type="dxa"/>
            <w:tcBorders>
              <w:bottom w:val="single" w:sz="4" w:space="0" w:color="auto"/>
            </w:tcBorders>
          </w:tcPr>
          <w:p>
            <w:pPr>
              <w:pStyle w:val="yTableNAm"/>
              <w:spacing w:before="60"/>
              <w:rPr>
                <w:b/>
                <w:sz w:val="20"/>
              </w:rPr>
            </w:pPr>
            <w:r>
              <w:rPr>
                <w:b/>
                <w:sz w:val="20"/>
              </w:rPr>
              <w:t xml:space="preserve">Date </w:t>
            </w:r>
          </w:p>
        </w:tc>
        <w:tc>
          <w:tcPr>
            <w:tcW w:w="5662" w:type="dxa"/>
            <w:gridSpan w:val="2"/>
            <w:tcBorders>
              <w:bottom w:val="single" w:sz="4" w:space="0" w:color="auto"/>
            </w:tcBorders>
          </w:tcPr>
          <w:p>
            <w:pPr>
              <w:pStyle w:val="yTableNAm"/>
              <w:tabs>
                <w:tab w:val="left" w:pos="1714"/>
                <w:tab w:val="left" w:pos="2314"/>
              </w:tabs>
              <w:spacing w:before="60"/>
              <w:rPr>
                <w:sz w:val="20"/>
              </w:rPr>
            </w:pPr>
            <w:r>
              <w:rPr>
                <w:sz w:val="20"/>
              </w:rPr>
              <w:t xml:space="preserve">Date of notice </w:t>
            </w:r>
            <w:r>
              <w:rPr>
                <w:sz w:val="20"/>
              </w:rPr>
              <w:tab/>
              <w:t>/</w:t>
            </w:r>
            <w:r>
              <w:rPr>
                <w:sz w:val="20"/>
              </w:rPr>
              <w:tab/>
              <w:t>/20</w:t>
            </w:r>
          </w:p>
        </w:tc>
      </w:tr>
      <w:tr>
        <w:tc>
          <w:tcPr>
            <w:tcW w:w="1418" w:type="dxa"/>
            <w:tcBorders>
              <w:bottom w:val="single" w:sz="4" w:space="0" w:color="auto"/>
            </w:tcBorders>
          </w:tcPr>
          <w:p>
            <w:pPr>
              <w:pStyle w:val="yTableNAm"/>
              <w:spacing w:before="60"/>
              <w:rPr>
                <w:b/>
                <w:sz w:val="20"/>
              </w:rPr>
            </w:pPr>
            <w:r>
              <w:rPr>
                <w:b/>
                <w:sz w:val="20"/>
              </w:rPr>
              <w:t xml:space="preserve">Notice to alleged offender </w:t>
            </w:r>
          </w:p>
        </w:tc>
        <w:tc>
          <w:tcPr>
            <w:tcW w:w="5662" w:type="dxa"/>
            <w:gridSpan w:val="2"/>
            <w:tcBorders>
              <w:bottom w:val="single" w:sz="4" w:space="0" w:color="auto"/>
            </w:tcBorders>
          </w:tcPr>
          <w:p>
            <w:pPr>
              <w:pStyle w:val="yTableNAm"/>
              <w:spacing w:before="60"/>
              <w:rPr>
                <w:sz w:val="20"/>
              </w:rPr>
            </w:pPr>
            <w:r>
              <w:rPr>
                <w:sz w:val="20"/>
              </w:rPr>
              <w:t>It is alleged that you have committed the above offence.</w:t>
            </w:r>
          </w:p>
          <w:p>
            <w:pPr>
              <w:pStyle w:val="yTableNAm"/>
              <w:spacing w:before="0"/>
              <w:rPr>
                <w:sz w:val="20"/>
              </w:rPr>
            </w:pPr>
            <w:r>
              <w:rPr>
                <w:sz w:val="20"/>
              </w:rPr>
              <w:t>If you do not want to be prosecuted in court for the offence, pay the modified penalty within 28 days after the date of this notice.</w:t>
            </w:r>
          </w:p>
          <w:p>
            <w:pPr>
              <w:pStyle w:val="yTableNAm"/>
              <w:rPr>
                <w:b/>
                <w:sz w:val="20"/>
              </w:rPr>
            </w:pPr>
            <w:r>
              <w:rPr>
                <w:b/>
                <w:sz w:val="20"/>
              </w:rPr>
              <w:t>How to pay</w:t>
            </w:r>
          </w:p>
          <w:p>
            <w:pPr>
              <w:pStyle w:val="yTableNAm"/>
              <w:tabs>
                <w:tab w:val="clear" w:pos="567"/>
                <w:tab w:val="left" w:pos="274"/>
                <w:tab w:val="left" w:pos="634"/>
              </w:tabs>
              <w:ind w:left="634" w:hanging="634"/>
              <w:rPr>
                <w:sz w:val="20"/>
              </w:rPr>
            </w:pPr>
            <w:r>
              <w:rPr>
                <w:b/>
                <w:sz w:val="20"/>
              </w:rPr>
              <w:tab/>
              <w:t>By post:</w:t>
            </w:r>
            <w:r>
              <w:rPr>
                <w:sz w:val="20"/>
              </w:rPr>
              <w:t xml:space="preserve"> Send a cheque or money order (payable to ‘Approved Officer — </w:t>
            </w:r>
            <w:r>
              <w:rPr>
                <w:i/>
                <w:iCs/>
                <w:sz w:val="20"/>
              </w:rPr>
              <w:t>Settlement Agents Act 1981</w:t>
            </w:r>
            <w:r>
              <w:rPr>
                <w:sz w:val="20"/>
              </w:rPr>
              <w:t>’) to:</w:t>
            </w:r>
          </w:p>
          <w:p>
            <w:pPr>
              <w:pStyle w:val="yTableNAm"/>
              <w:tabs>
                <w:tab w:val="left" w:pos="1114"/>
              </w:tabs>
              <w:rPr>
                <w:sz w:val="20"/>
              </w:rPr>
            </w:pPr>
            <w:r>
              <w:rPr>
                <w:sz w:val="20"/>
              </w:rPr>
              <w:tab/>
              <w:t xml:space="preserve">Approved Officer — </w:t>
            </w:r>
            <w:r>
              <w:rPr>
                <w:i/>
                <w:iCs/>
                <w:sz w:val="20"/>
              </w:rPr>
              <w:t>Settlement Agents Act 1981</w:t>
            </w:r>
          </w:p>
          <w:p>
            <w:pPr>
              <w:pStyle w:val="yTableNAm"/>
              <w:tabs>
                <w:tab w:val="left" w:pos="1114"/>
              </w:tabs>
              <w:spacing w:before="0"/>
              <w:ind w:left="567" w:hanging="567"/>
              <w:rPr>
                <w:sz w:val="20"/>
              </w:rPr>
            </w:pPr>
            <w:r>
              <w:rPr>
                <w:sz w:val="20"/>
              </w:rPr>
              <w:tab/>
              <w:t xml:space="preserve">Department of Mines, Industry Regulation and Safety — Consumer Protection Division </w:t>
            </w:r>
          </w:p>
          <w:p>
            <w:pPr>
              <w:pStyle w:val="yTableNAm"/>
              <w:tabs>
                <w:tab w:val="left" w:pos="1114"/>
              </w:tabs>
              <w:spacing w:before="0"/>
              <w:rPr>
                <w:sz w:val="20"/>
              </w:rPr>
            </w:pPr>
            <w:r>
              <w:rPr>
                <w:sz w:val="20"/>
              </w:rPr>
              <w:tab/>
              <w:t>Locked Bag 14  Cloisters Square</w:t>
            </w:r>
          </w:p>
          <w:p>
            <w:pPr>
              <w:pStyle w:val="yTableNAm"/>
              <w:spacing w:before="0"/>
              <w:rPr>
                <w:sz w:val="20"/>
              </w:rPr>
            </w:pPr>
            <w:r>
              <w:rPr>
                <w:sz w:val="20"/>
              </w:rPr>
              <w:tab/>
              <w:t>Perth  WA  6850</w:t>
            </w:r>
          </w:p>
          <w:p>
            <w:pPr>
              <w:pStyle w:val="yTableNAm"/>
              <w:keepNext/>
              <w:keepLines/>
              <w:tabs>
                <w:tab w:val="clear" w:pos="567"/>
                <w:tab w:val="left" w:pos="274"/>
                <w:tab w:val="left" w:pos="634"/>
              </w:tabs>
              <w:ind w:left="634" w:hanging="634"/>
              <w:rPr>
                <w:sz w:val="20"/>
              </w:rPr>
            </w:pPr>
            <w:r>
              <w:rPr>
                <w:b/>
                <w:sz w:val="20"/>
              </w:rPr>
              <w:lastRenderedPageBreak/>
              <w:tab/>
              <w:t>In person:</w:t>
            </w:r>
            <w:r>
              <w:rPr>
                <w:sz w:val="20"/>
              </w:rPr>
              <w:t xml:space="preserve"> Pay the cashier at:</w:t>
            </w:r>
          </w:p>
          <w:p>
            <w:pPr>
              <w:pStyle w:val="yTableNAm"/>
              <w:keepNext/>
              <w:keepLines/>
              <w:tabs>
                <w:tab w:val="left" w:pos="1114"/>
              </w:tabs>
              <w:spacing w:before="0"/>
              <w:ind w:left="567" w:hanging="567"/>
              <w:rPr>
                <w:sz w:val="20"/>
              </w:rPr>
            </w:pPr>
            <w:r>
              <w:rPr>
                <w:sz w:val="20"/>
              </w:rPr>
              <w:tab/>
              <w:t xml:space="preserve">Department of Mines, Industry Regulation and Safety — Consumer Protection Division </w:t>
            </w:r>
          </w:p>
          <w:p>
            <w:pPr>
              <w:pStyle w:val="yTableNAm"/>
              <w:keepLines/>
              <w:spacing w:before="0"/>
              <w:rPr>
                <w:sz w:val="20"/>
              </w:rPr>
            </w:pPr>
            <w:r>
              <w:rPr>
                <w:sz w:val="20"/>
              </w:rPr>
              <w:tab/>
            </w:r>
            <w:r>
              <w:rPr>
                <w:i/>
                <w:sz w:val="20"/>
              </w:rPr>
              <w:t>[street address to be inserted]</w:t>
            </w:r>
          </w:p>
        </w:tc>
      </w:tr>
      <w:tr>
        <w:tc>
          <w:tcPr>
            <w:tcW w:w="1418" w:type="dxa"/>
            <w:tcBorders>
              <w:top w:val="single" w:sz="4" w:space="0" w:color="auto"/>
            </w:tcBorders>
          </w:tcPr>
          <w:p>
            <w:pPr>
              <w:pStyle w:val="yTableNAm"/>
              <w:rPr>
                <w:b/>
                <w:sz w:val="20"/>
              </w:rPr>
            </w:pPr>
          </w:p>
        </w:tc>
        <w:tc>
          <w:tcPr>
            <w:tcW w:w="5662" w:type="dxa"/>
            <w:gridSpan w:val="2"/>
            <w:tcBorders>
              <w:top w:val="single" w:sz="4" w:space="0" w:color="auto"/>
              <w:bottom w:val="single" w:sz="4" w:space="0" w:color="auto"/>
            </w:tcBorders>
          </w:tcPr>
          <w:p>
            <w:pPr>
              <w:pStyle w:val="yTableNAm"/>
              <w:rPr>
                <w:sz w:val="20"/>
              </w:rPr>
            </w:pPr>
            <w:r>
              <w:rPr>
                <w:b/>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Under that Act,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p>
            <w:pPr>
              <w:pStyle w:val="yTableNAm"/>
              <w:rPr>
                <w:b/>
                <w:sz w:val="20"/>
              </w:rPr>
            </w:pPr>
            <w:r>
              <w:rPr>
                <w:b/>
                <w:sz w:val="20"/>
              </w:rPr>
              <w:t>If you need more time</w:t>
            </w:r>
            <w:r>
              <w:rPr>
                <w:sz w:val="20"/>
              </w:rPr>
              <w:t xml:space="preserve"> to pay the modified penalty, you can apply for an extension of time by writing to the Approved Officer at the above postal address.</w:t>
            </w:r>
          </w:p>
          <w:p>
            <w:pPr>
              <w:pStyle w:val="yTableNAm"/>
              <w:rPr>
                <w:sz w:val="20"/>
              </w:rPr>
            </w:pPr>
            <w:r>
              <w:rPr>
                <w:b/>
                <w:sz w:val="20"/>
              </w:rPr>
              <w:t>If you want this matter to be dealt with by prosecution in court</w:t>
            </w:r>
            <w:r>
              <w:rPr>
                <w:sz w:val="20"/>
              </w:rPr>
              <w:t>, sign here ______________________________________________</w:t>
            </w:r>
            <w:r>
              <w:rPr>
                <w:sz w:val="20"/>
              </w:rPr>
              <w:br/>
              <w:t>and post this notice to the Approved Officer at the above postal address within 28 days after the date of this notice.</w:t>
            </w:r>
          </w:p>
        </w:tc>
      </w:tr>
    </w:tbl>
    <w:p>
      <w:pPr>
        <w:pStyle w:val="yFootnotesection"/>
      </w:pPr>
      <w:r>
        <w:tab/>
        <w:t>[Form 1 inserted: Gazette 22 Sep 2006 p. 4132; amended: Gazette 30 Jun 2011 p. 2678; 20 Aug 2013 p. 3841; 18 Nov 2014 p. 4326; SL 2020/163 r. 50; SL 2020/259 r. 11.]</w:t>
      </w:r>
    </w:p>
    <w:p>
      <w:pPr>
        <w:pStyle w:val="yHeading5"/>
        <w:pageBreakBefore/>
        <w:spacing w:before="0" w:after="40"/>
        <w:outlineLvl w:val="9"/>
      </w:pPr>
      <w:bookmarkStart w:id="46" w:name="_Toc155172982"/>
      <w:r>
        <w:rPr>
          <w:rStyle w:val="CharSDivNo"/>
          <w:sz w:val="22"/>
          <w:szCs w:val="22"/>
        </w:rPr>
        <w:lastRenderedPageBreak/>
        <w:t>Form 2</w:t>
      </w:r>
      <w:r>
        <w:t> — </w:t>
      </w:r>
      <w:r>
        <w:rPr>
          <w:rStyle w:val="CharSDivText"/>
          <w:sz w:val="22"/>
          <w:szCs w:val="22"/>
        </w:rPr>
        <w:t>Withdrawal of infringement notice</w:t>
      </w:r>
      <w:bookmarkEnd w:id="4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NAm"/>
              <w:rPr>
                <w:b/>
                <w:i/>
                <w:iCs/>
                <w:sz w:val="20"/>
              </w:rPr>
            </w:pPr>
            <w:r>
              <w:rPr>
                <w:i/>
                <w:iCs/>
                <w:sz w:val="20"/>
              </w:rPr>
              <w:t>Settlement Agents Act 1981</w:t>
            </w:r>
          </w:p>
          <w:p>
            <w:pPr>
              <w:pStyle w:val="yTableNAm"/>
              <w:rPr>
                <w:b/>
                <w:sz w:val="28"/>
              </w:rPr>
            </w:pPr>
            <w:r>
              <w:rPr>
                <w:b/>
                <w:sz w:val="28"/>
              </w:rPr>
              <w:t>Withdrawal of infringement notice</w:t>
            </w:r>
          </w:p>
        </w:tc>
        <w:tc>
          <w:tcPr>
            <w:tcW w:w="2118" w:type="dxa"/>
            <w:tcBorders>
              <w:bottom w:val="single" w:sz="4" w:space="0" w:color="auto"/>
            </w:tcBorders>
          </w:tcPr>
          <w:p>
            <w:pPr>
              <w:pStyle w:val="yTableNAm"/>
              <w:rPr>
                <w:sz w:val="20"/>
              </w:rPr>
            </w:pPr>
            <w:r>
              <w:rPr>
                <w:sz w:val="20"/>
              </w:rPr>
              <w:t>Withdrawal no.</w:t>
            </w:r>
          </w:p>
        </w:tc>
      </w:tr>
      <w:tr>
        <w:trPr>
          <w:cantSplit/>
          <w:trHeight w:val="150"/>
        </w:trPr>
        <w:tc>
          <w:tcPr>
            <w:tcW w:w="1418" w:type="dxa"/>
            <w:vMerge w:val="restart"/>
          </w:tcPr>
          <w:p>
            <w:pPr>
              <w:pStyle w:val="yTableNAm"/>
              <w:spacing w:before="60"/>
              <w:rPr>
                <w:b/>
                <w:sz w:val="20"/>
              </w:rPr>
            </w:pPr>
            <w:r>
              <w:rPr>
                <w:b/>
                <w:sz w:val="20"/>
              </w:rPr>
              <w:t>Alleged offender</w:t>
            </w:r>
          </w:p>
        </w:tc>
        <w:tc>
          <w:tcPr>
            <w:tcW w:w="5662" w:type="dxa"/>
            <w:gridSpan w:val="2"/>
          </w:tcPr>
          <w:p>
            <w:pPr>
              <w:pStyle w:val="yTableNAm"/>
              <w:spacing w:before="60"/>
              <w:rPr>
                <w:sz w:val="20"/>
              </w:rPr>
            </w:pPr>
            <w:r>
              <w:rPr>
                <w:sz w:val="20"/>
              </w:rPr>
              <w:t>Name:</w:t>
            </w:r>
            <w:r>
              <w:rPr>
                <w:sz w:val="20"/>
              </w:rPr>
              <w:tab/>
              <w:t>Family name</w:t>
            </w:r>
          </w:p>
        </w:tc>
      </w:tr>
      <w:tr>
        <w:trPr>
          <w:cantSplit/>
          <w:trHeight w:val="150"/>
        </w:trPr>
        <w:tc>
          <w:tcPr>
            <w:tcW w:w="1418" w:type="dxa"/>
            <w:vMerge/>
          </w:tcPr>
          <w:p>
            <w:pPr>
              <w:pStyle w:val="yTableNAm"/>
              <w:rPr>
                <w:b/>
                <w:sz w:val="20"/>
              </w:rPr>
            </w:pPr>
          </w:p>
        </w:tc>
        <w:tc>
          <w:tcPr>
            <w:tcW w:w="5662" w:type="dxa"/>
            <w:gridSpan w:val="2"/>
          </w:tcPr>
          <w:p>
            <w:pPr>
              <w:pStyle w:val="yTableNAm"/>
              <w:spacing w:before="60"/>
              <w:rPr>
                <w:sz w:val="20"/>
              </w:rPr>
            </w:pPr>
            <w:r>
              <w:rPr>
                <w:sz w:val="20"/>
              </w:rPr>
              <w:tab/>
              <w:t>Given names</w:t>
            </w:r>
          </w:p>
        </w:tc>
      </w:tr>
      <w:tr>
        <w:trPr>
          <w:cantSplit/>
          <w:trHeight w:val="150"/>
        </w:trPr>
        <w:tc>
          <w:tcPr>
            <w:tcW w:w="1418" w:type="dxa"/>
            <w:vMerge/>
          </w:tcPr>
          <w:p>
            <w:pPr>
              <w:pStyle w:val="yTableNAm"/>
              <w:rPr>
                <w:b/>
                <w:sz w:val="20"/>
              </w:rPr>
            </w:pPr>
          </w:p>
        </w:tc>
        <w:tc>
          <w:tcPr>
            <w:tcW w:w="5662" w:type="dxa"/>
            <w:gridSpan w:val="2"/>
          </w:tcPr>
          <w:p>
            <w:pPr>
              <w:pStyle w:val="yTableNAm"/>
              <w:tabs>
                <w:tab w:val="left" w:pos="994"/>
              </w:tabs>
              <w:spacing w:before="60"/>
              <w:ind w:right="-108"/>
              <w:rPr>
                <w:sz w:val="20"/>
              </w:rPr>
            </w:pPr>
            <w:r>
              <w:rPr>
                <w:sz w:val="20"/>
              </w:rPr>
              <w:t>or</w:t>
            </w:r>
            <w:r>
              <w:rPr>
                <w:sz w:val="20"/>
              </w:rPr>
              <w:tab/>
              <w:t>Company name  ____________________________________</w:t>
            </w:r>
          </w:p>
          <w:p>
            <w:pPr>
              <w:pStyle w:val="yTableNAm"/>
              <w:tabs>
                <w:tab w:val="left" w:pos="994"/>
              </w:tabs>
              <w:spacing w:before="0"/>
              <w:rPr>
                <w:sz w:val="20"/>
              </w:rPr>
            </w:pPr>
            <w:r>
              <w:rPr>
                <w:sz w:val="20"/>
              </w:rPr>
              <w:tab/>
            </w:r>
            <w:r>
              <w:rPr>
                <w:sz w:val="20"/>
              </w:rPr>
              <w:tab/>
            </w:r>
            <w:r>
              <w:rPr>
                <w:sz w:val="20"/>
              </w:rPr>
              <w:tab/>
            </w:r>
            <w:r>
              <w:rPr>
                <w:sz w:val="20"/>
              </w:rPr>
              <w:tab/>
            </w:r>
            <w:r>
              <w:rPr>
                <w:sz w:val="20"/>
              </w:rPr>
              <w:tab/>
            </w:r>
            <w:r>
              <w:rPr>
                <w:sz w:val="20"/>
              </w:rPr>
              <w:tab/>
              <w:t>ACN</w:t>
            </w:r>
          </w:p>
        </w:tc>
      </w:tr>
      <w:tr>
        <w:trPr>
          <w:cantSplit/>
          <w:trHeight w:val="150"/>
        </w:trPr>
        <w:tc>
          <w:tcPr>
            <w:tcW w:w="1418" w:type="dxa"/>
            <w:vMerge/>
          </w:tcPr>
          <w:p>
            <w:pPr>
              <w:pStyle w:val="yTableNAm"/>
              <w:rPr>
                <w:b/>
                <w:sz w:val="20"/>
              </w:rPr>
            </w:pPr>
          </w:p>
        </w:tc>
        <w:tc>
          <w:tcPr>
            <w:tcW w:w="5662" w:type="dxa"/>
            <w:gridSpan w:val="2"/>
          </w:tcPr>
          <w:p>
            <w:pPr>
              <w:pStyle w:val="yTableNAm"/>
              <w:spacing w:before="60"/>
              <w:ind w:right="-108"/>
              <w:rPr>
                <w:sz w:val="20"/>
              </w:rPr>
            </w:pPr>
            <w:r>
              <w:rPr>
                <w:sz w:val="20"/>
              </w:rPr>
              <w:t>Address ________________________________________________</w:t>
            </w:r>
          </w:p>
          <w:p>
            <w:pPr>
              <w:pStyle w:val="yTableNAm"/>
              <w:tabs>
                <w:tab w:val="left" w:pos="994"/>
              </w:tabs>
              <w:spacing w:before="0"/>
              <w:rPr>
                <w:sz w:val="20"/>
              </w:rPr>
            </w:pPr>
            <w:r>
              <w:rPr>
                <w:sz w:val="20"/>
              </w:rPr>
              <w:tab/>
            </w:r>
            <w:r>
              <w:rPr>
                <w:sz w:val="20"/>
              </w:rPr>
              <w:tab/>
            </w:r>
            <w:r>
              <w:rPr>
                <w:sz w:val="20"/>
              </w:rPr>
              <w:tab/>
            </w:r>
            <w:r>
              <w:rPr>
                <w:sz w:val="20"/>
              </w:rPr>
              <w:tab/>
            </w:r>
            <w:r>
              <w:rPr>
                <w:sz w:val="20"/>
              </w:rPr>
              <w:tab/>
            </w:r>
            <w:r>
              <w:rPr>
                <w:sz w:val="20"/>
              </w:rPr>
              <w:tab/>
              <w:t>Postcode</w:t>
            </w:r>
          </w:p>
        </w:tc>
      </w:tr>
      <w:tr>
        <w:trPr>
          <w:cantSplit/>
        </w:trPr>
        <w:tc>
          <w:tcPr>
            <w:tcW w:w="1418" w:type="dxa"/>
            <w:vMerge w:val="restart"/>
          </w:tcPr>
          <w:p>
            <w:pPr>
              <w:pStyle w:val="yTableNAm"/>
              <w:spacing w:before="60"/>
              <w:rPr>
                <w:b/>
                <w:sz w:val="20"/>
              </w:rPr>
            </w:pPr>
            <w:r>
              <w:rPr>
                <w:b/>
                <w:sz w:val="20"/>
              </w:rPr>
              <w:t>Infringement notice</w:t>
            </w:r>
          </w:p>
        </w:tc>
        <w:tc>
          <w:tcPr>
            <w:tcW w:w="5662" w:type="dxa"/>
            <w:gridSpan w:val="2"/>
          </w:tcPr>
          <w:p>
            <w:pPr>
              <w:pStyle w:val="yTableNAm"/>
              <w:spacing w:before="60"/>
              <w:rPr>
                <w:sz w:val="20"/>
              </w:rPr>
            </w:pPr>
            <w:r>
              <w:rPr>
                <w:sz w:val="20"/>
              </w:rPr>
              <w:t>Infringement notice no.</w:t>
            </w:r>
          </w:p>
        </w:tc>
      </w:tr>
      <w:tr>
        <w:trPr>
          <w:cantSplit/>
        </w:trPr>
        <w:tc>
          <w:tcPr>
            <w:tcW w:w="1418" w:type="dxa"/>
            <w:vMerge/>
          </w:tcPr>
          <w:p>
            <w:pPr>
              <w:pStyle w:val="yTableNAm"/>
              <w:spacing w:before="60"/>
              <w:rPr>
                <w:sz w:val="20"/>
              </w:rPr>
            </w:pPr>
          </w:p>
        </w:tc>
        <w:tc>
          <w:tcPr>
            <w:tcW w:w="5662" w:type="dxa"/>
            <w:gridSpan w:val="2"/>
          </w:tcPr>
          <w:p>
            <w:pPr>
              <w:pStyle w:val="yTableNAm"/>
              <w:tabs>
                <w:tab w:val="left" w:pos="1714"/>
                <w:tab w:val="left" w:pos="2434"/>
              </w:tabs>
              <w:spacing w:before="60"/>
              <w:rPr>
                <w:sz w:val="20"/>
              </w:rPr>
            </w:pPr>
            <w:r>
              <w:rPr>
                <w:sz w:val="20"/>
              </w:rPr>
              <w:t xml:space="preserve">Date of issue  </w:t>
            </w:r>
            <w:r>
              <w:rPr>
                <w:sz w:val="20"/>
              </w:rPr>
              <w:tab/>
              <w:t>/</w:t>
            </w:r>
            <w:r>
              <w:rPr>
                <w:sz w:val="20"/>
              </w:rPr>
              <w:tab/>
              <w:t>/20</w:t>
            </w:r>
          </w:p>
        </w:tc>
      </w:tr>
      <w:tr>
        <w:trPr>
          <w:cantSplit/>
        </w:trPr>
        <w:tc>
          <w:tcPr>
            <w:tcW w:w="1418" w:type="dxa"/>
            <w:vMerge w:val="restart"/>
          </w:tcPr>
          <w:p>
            <w:pPr>
              <w:pStyle w:val="yTableNAm"/>
              <w:spacing w:before="60"/>
              <w:rPr>
                <w:b/>
                <w:sz w:val="20"/>
              </w:rPr>
            </w:pPr>
            <w:r>
              <w:rPr>
                <w:b/>
                <w:sz w:val="20"/>
              </w:rPr>
              <w:t>Alleged offence</w:t>
            </w:r>
          </w:p>
        </w:tc>
        <w:tc>
          <w:tcPr>
            <w:tcW w:w="5662" w:type="dxa"/>
            <w:gridSpan w:val="2"/>
          </w:tcPr>
          <w:p>
            <w:pPr>
              <w:pStyle w:val="yTableNAm"/>
              <w:spacing w:before="60"/>
              <w:ind w:right="-108"/>
              <w:rPr>
                <w:sz w:val="20"/>
              </w:rPr>
            </w:pPr>
            <w:r>
              <w:rPr>
                <w:sz w:val="20"/>
              </w:rPr>
              <w:t>Description of offence _____________________________________</w:t>
            </w:r>
          </w:p>
          <w:p>
            <w:pPr>
              <w:pStyle w:val="yTableNAm"/>
              <w:spacing w:before="60"/>
              <w:rPr>
                <w:sz w:val="20"/>
              </w:rPr>
            </w:pPr>
          </w:p>
        </w:tc>
      </w:tr>
      <w:tr>
        <w:trPr>
          <w:cantSplit/>
        </w:trPr>
        <w:tc>
          <w:tcPr>
            <w:tcW w:w="1418" w:type="dxa"/>
            <w:vMerge/>
          </w:tcPr>
          <w:p>
            <w:pPr>
              <w:pStyle w:val="yTableNAm"/>
              <w:spacing w:before="60"/>
              <w:rPr>
                <w:b/>
                <w:sz w:val="20"/>
              </w:rPr>
            </w:pPr>
          </w:p>
        </w:tc>
        <w:tc>
          <w:tcPr>
            <w:tcW w:w="5662" w:type="dxa"/>
            <w:gridSpan w:val="2"/>
          </w:tcPr>
          <w:p>
            <w:pPr>
              <w:pStyle w:val="yTableNAm"/>
              <w:spacing w:before="60"/>
              <w:rPr>
                <w:sz w:val="20"/>
              </w:rPr>
            </w:pPr>
            <w:r>
              <w:rPr>
                <w:i/>
                <w:iCs/>
                <w:sz w:val="20"/>
              </w:rPr>
              <w:t>Settlement Agents Act 1981</w:t>
            </w:r>
            <w:r>
              <w:rPr>
                <w:sz w:val="20"/>
              </w:rPr>
              <w:t xml:space="preserve"> s. </w:t>
            </w:r>
          </w:p>
        </w:tc>
      </w:tr>
      <w:tr>
        <w:trPr>
          <w:cantSplit/>
        </w:trPr>
        <w:tc>
          <w:tcPr>
            <w:tcW w:w="1418" w:type="dxa"/>
            <w:vMerge/>
          </w:tcPr>
          <w:p>
            <w:pPr>
              <w:pStyle w:val="yTableNAm"/>
              <w:spacing w:before="60"/>
              <w:rPr>
                <w:sz w:val="20"/>
              </w:rPr>
            </w:pPr>
          </w:p>
        </w:tc>
        <w:tc>
          <w:tcPr>
            <w:tcW w:w="5662" w:type="dxa"/>
            <w:gridSpan w:val="2"/>
          </w:tcPr>
          <w:p>
            <w:pPr>
              <w:pStyle w:val="yTableNAm"/>
              <w:tabs>
                <w:tab w:val="left" w:pos="994"/>
                <w:tab w:val="left" w:pos="1594"/>
                <w:tab w:val="left" w:pos="3154"/>
                <w:tab w:val="left" w:pos="4594"/>
              </w:tabs>
              <w:spacing w:before="60"/>
              <w:rPr>
                <w:sz w:val="20"/>
              </w:rPr>
            </w:pPr>
            <w:r>
              <w:rPr>
                <w:sz w:val="20"/>
              </w:rPr>
              <w:t xml:space="preserve">Date </w:t>
            </w:r>
            <w:r>
              <w:rPr>
                <w:sz w:val="20"/>
              </w:rPr>
              <w:tab/>
            </w:r>
            <w:r>
              <w:rPr>
                <w:sz w:val="20"/>
              </w:rPr>
              <w:tab/>
              <w:t>/</w:t>
            </w:r>
            <w:r>
              <w:rPr>
                <w:sz w:val="20"/>
              </w:rPr>
              <w:tab/>
              <w:t>/20</w:t>
            </w:r>
            <w:r>
              <w:rPr>
                <w:sz w:val="20"/>
              </w:rPr>
              <w:tab/>
              <w:t xml:space="preserve">Time </w:t>
            </w:r>
            <w:r>
              <w:rPr>
                <w:sz w:val="20"/>
              </w:rPr>
              <w:tab/>
              <w:t>a.m./p.m.</w:t>
            </w:r>
          </w:p>
        </w:tc>
      </w:tr>
      <w:tr>
        <w:trPr>
          <w:cantSplit/>
        </w:trPr>
        <w:tc>
          <w:tcPr>
            <w:tcW w:w="1418" w:type="dxa"/>
            <w:vMerge w:val="restart"/>
          </w:tcPr>
          <w:p>
            <w:pPr>
              <w:pStyle w:val="yTableNAm"/>
              <w:spacing w:before="60"/>
              <w:rPr>
                <w:b/>
                <w:sz w:val="20"/>
              </w:rPr>
            </w:pPr>
            <w:r>
              <w:rPr>
                <w:b/>
                <w:sz w:val="20"/>
              </w:rPr>
              <w:t>Officer withdrawing notice</w:t>
            </w:r>
          </w:p>
        </w:tc>
        <w:tc>
          <w:tcPr>
            <w:tcW w:w="5662" w:type="dxa"/>
            <w:gridSpan w:val="2"/>
          </w:tcPr>
          <w:p>
            <w:pPr>
              <w:pStyle w:val="yTableNAm"/>
              <w:spacing w:before="60"/>
              <w:rPr>
                <w:sz w:val="20"/>
              </w:rPr>
            </w:pPr>
            <w:r>
              <w:rPr>
                <w:sz w:val="20"/>
              </w:rPr>
              <w:t>Name</w:t>
            </w: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sz w:val="20"/>
              </w:rPr>
              <w:t>Signature</w:t>
            </w: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sz w:val="20"/>
              </w:rPr>
              <w:t>Office</w:t>
            </w:r>
          </w:p>
        </w:tc>
      </w:tr>
      <w:tr>
        <w:tc>
          <w:tcPr>
            <w:tcW w:w="1418" w:type="dxa"/>
          </w:tcPr>
          <w:p>
            <w:pPr>
              <w:pStyle w:val="yTableNAm"/>
              <w:spacing w:before="60"/>
              <w:rPr>
                <w:b/>
                <w:sz w:val="20"/>
              </w:rPr>
            </w:pPr>
            <w:r>
              <w:rPr>
                <w:b/>
                <w:sz w:val="20"/>
              </w:rPr>
              <w:t>Date</w:t>
            </w:r>
          </w:p>
        </w:tc>
        <w:tc>
          <w:tcPr>
            <w:tcW w:w="5662" w:type="dxa"/>
            <w:gridSpan w:val="2"/>
            <w:tcBorders>
              <w:bottom w:val="single" w:sz="4" w:space="0" w:color="auto"/>
            </w:tcBorders>
          </w:tcPr>
          <w:p>
            <w:pPr>
              <w:pStyle w:val="yTableNAm"/>
              <w:spacing w:before="60"/>
              <w:rPr>
                <w:sz w:val="20"/>
              </w:rPr>
            </w:pPr>
            <w:r>
              <w:rPr>
                <w:sz w:val="20"/>
              </w:rPr>
              <w:t xml:space="preserve">Date of withdrawal </w:t>
            </w:r>
            <w:r>
              <w:rPr>
                <w:sz w:val="20"/>
              </w:rPr>
              <w:tab/>
              <w:t>/</w:t>
            </w:r>
            <w:r>
              <w:rPr>
                <w:sz w:val="20"/>
              </w:rPr>
              <w:tab/>
              <w:t>/20</w:t>
            </w:r>
          </w:p>
        </w:tc>
      </w:tr>
      <w:tr>
        <w:tc>
          <w:tcPr>
            <w:tcW w:w="1418" w:type="dxa"/>
          </w:tcPr>
          <w:p>
            <w:pPr>
              <w:pStyle w:val="yTableNAm"/>
              <w:spacing w:before="60"/>
              <w:rPr>
                <w:b/>
                <w:sz w:val="20"/>
              </w:rPr>
            </w:pPr>
            <w:r>
              <w:rPr>
                <w:b/>
                <w:sz w:val="20"/>
              </w:rPr>
              <w:t>Withdrawal of infringement notice</w:t>
            </w:r>
          </w:p>
          <w:p>
            <w:pPr>
              <w:pStyle w:val="yTableNAm"/>
              <w:rPr>
                <w:sz w:val="20"/>
              </w:rPr>
            </w:pPr>
          </w:p>
          <w:p>
            <w:pPr>
              <w:pStyle w:val="yTableNAm"/>
              <w:spacing w:before="0"/>
              <w:rPr>
                <w:b/>
                <w:i/>
                <w:iCs/>
                <w:sz w:val="16"/>
              </w:rPr>
            </w:pPr>
            <w:r>
              <w:rPr>
                <w:i/>
                <w:iCs/>
                <w:sz w:val="16"/>
              </w:rPr>
              <w:t xml:space="preserve">[*delete </w:t>
            </w:r>
            <w:r>
              <w:rPr>
                <w:i/>
                <w:iCs/>
                <w:sz w:val="16"/>
              </w:rPr>
              <w:br/>
              <w:t>whichever</w:t>
            </w:r>
            <w:r>
              <w:rPr>
                <w:i/>
                <w:iCs/>
                <w:sz w:val="16"/>
              </w:rPr>
              <w:br/>
              <w:t>is not applicable]</w:t>
            </w:r>
          </w:p>
        </w:tc>
        <w:tc>
          <w:tcPr>
            <w:tcW w:w="5662" w:type="dxa"/>
            <w:gridSpan w:val="2"/>
            <w:tcBorders>
              <w:bottom w:val="single" w:sz="4" w:space="0" w:color="auto"/>
            </w:tcBorders>
          </w:tcPr>
          <w:p>
            <w:pPr>
              <w:pStyle w:val="yTableNAm"/>
              <w:spacing w:before="60"/>
              <w:rPr>
                <w:sz w:val="20"/>
              </w:rPr>
            </w:pPr>
            <w:r>
              <w:rPr>
                <w:sz w:val="20"/>
              </w:rPr>
              <w:t>The above infringement notice issued against you has been withdrawn.</w:t>
            </w:r>
          </w:p>
          <w:p>
            <w:pPr>
              <w:pStyle w:val="yTableNAm"/>
              <w:spacing w:before="60"/>
              <w:rPr>
                <w:sz w:val="20"/>
              </w:rPr>
            </w:pPr>
            <w:r>
              <w:rPr>
                <w:sz w:val="20"/>
              </w:rPr>
              <w:t>If you have already paid the modified penalty for the alleged offence you are entitled to a refund.</w:t>
            </w:r>
          </w:p>
          <w:p>
            <w:pPr>
              <w:pStyle w:val="yTableNAm"/>
              <w:tabs>
                <w:tab w:val="clear" w:pos="567"/>
                <w:tab w:val="left" w:pos="394"/>
                <w:tab w:val="left" w:pos="3634"/>
              </w:tabs>
              <w:spacing w:before="60"/>
              <w:rPr>
                <w:sz w:val="20"/>
              </w:rPr>
            </w:pPr>
            <w:r>
              <w:rPr>
                <w:sz w:val="20"/>
              </w:rPr>
              <w:t>*</w:t>
            </w:r>
            <w:r>
              <w:rPr>
                <w:sz w:val="20"/>
              </w:rPr>
              <w:tab/>
              <w:t>Your refund is enclosed.</w:t>
            </w:r>
          </w:p>
          <w:p>
            <w:pPr>
              <w:pStyle w:val="yTableNAm"/>
              <w:tabs>
                <w:tab w:val="clear" w:pos="567"/>
                <w:tab w:val="left" w:pos="394"/>
              </w:tabs>
              <w:spacing w:before="60"/>
              <w:rPr>
                <w:sz w:val="20"/>
              </w:rPr>
            </w:pPr>
            <w:r>
              <w:rPr>
                <w:sz w:val="20"/>
              </w:rPr>
              <w:t>or</w:t>
            </w:r>
          </w:p>
          <w:p>
            <w:pPr>
              <w:pStyle w:val="yTableNAm"/>
              <w:tabs>
                <w:tab w:val="clear" w:pos="567"/>
                <w:tab w:val="left" w:pos="394"/>
              </w:tabs>
              <w:spacing w:before="60"/>
              <w:ind w:left="394" w:hanging="394"/>
              <w:rPr>
                <w:sz w:val="20"/>
              </w:rPr>
            </w:pPr>
            <w:r>
              <w:rPr>
                <w:sz w:val="20"/>
              </w:rPr>
              <w:t>*</w:t>
            </w:r>
            <w:r>
              <w:rPr>
                <w:sz w:val="20"/>
              </w:rPr>
              <w:tab/>
              <w:t>If you have paid the modified penalty but a refund is not enclosed, to claim your refund sign this notice and post it to:</w:t>
            </w:r>
          </w:p>
          <w:p>
            <w:pPr>
              <w:pStyle w:val="yTableNAm"/>
              <w:spacing w:before="60"/>
              <w:ind w:left="754"/>
              <w:rPr>
                <w:sz w:val="20"/>
              </w:rPr>
            </w:pPr>
            <w:r>
              <w:rPr>
                <w:sz w:val="20"/>
              </w:rPr>
              <w:t xml:space="preserve">Approved Officer — </w:t>
            </w:r>
            <w:r>
              <w:rPr>
                <w:i/>
                <w:iCs/>
                <w:sz w:val="20"/>
              </w:rPr>
              <w:t>Settlement Agents Act 1981</w:t>
            </w:r>
          </w:p>
          <w:p>
            <w:pPr>
              <w:pStyle w:val="yTableNAm"/>
              <w:spacing w:before="0"/>
              <w:ind w:left="754"/>
              <w:rPr>
                <w:sz w:val="20"/>
              </w:rPr>
            </w:pPr>
            <w:r>
              <w:rPr>
                <w:sz w:val="20"/>
              </w:rPr>
              <w:t xml:space="preserve">Department of Mines, Industry Regulation and Safety — Consumer Protection Division </w:t>
            </w:r>
          </w:p>
          <w:p>
            <w:pPr>
              <w:pStyle w:val="yTableNAm"/>
              <w:spacing w:before="0"/>
              <w:ind w:left="754"/>
              <w:rPr>
                <w:sz w:val="20"/>
              </w:rPr>
            </w:pPr>
            <w:r>
              <w:rPr>
                <w:sz w:val="20"/>
              </w:rPr>
              <w:t>Locked Bag 14  Cloisters Square</w:t>
            </w:r>
          </w:p>
          <w:p>
            <w:pPr>
              <w:pStyle w:val="yTableNAm"/>
              <w:spacing w:before="0"/>
              <w:ind w:left="754"/>
              <w:rPr>
                <w:sz w:val="20"/>
              </w:rPr>
            </w:pPr>
            <w:r>
              <w:rPr>
                <w:sz w:val="20"/>
              </w:rPr>
              <w:t>Perth  WA  6850</w:t>
            </w:r>
          </w:p>
          <w:p>
            <w:pPr>
              <w:pStyle w:val="yTableNAm"/>
              <w:tabs>
                <w:tab w:val="left" w:pos="3874"/>
                <w:tab w:val="left" w:pos="4594"/>
              </w:tabs>
              <w:spacing w:before="80"/>
              <w:rPr>
                <w:sz w:val="20"/>
              </w:rPr>
            </w:pPr>
            <w:r>
              <w:rPr>
                <w:sz w:val="20"/>
              </w:rPr>
              <w:t>Signature</w:t>
            </w:r>
            <w:r>
              <w:rPr>
                <w:sz w:val="20"/>
              </w:rPr>
              <w:tab/>
              <w:t>/</w:t>
            </w:r>
            <w:r>
              <w:rPr>
                <w:sz w:val="20"/>
              </w:rPr>
              <w:tab/>
              <w:t>/20</w:t>
            </w:r>
          </w:p>
        </w:tc>
      </w:tr>
    </w:tbl>
    <w:p>
      <w:pPr>
        <w:pStyle w:val="yFootnotesection"/>
      </w:pPr>
      <w:r>
        <w:tab/>
        <w:t>[Form 2 inserted: Gazette 22 Sep 2006 p. 4132</w:t>
      </w:r>
      <w:r>
        <w:noBreakHyphen/>
        <w:t>3; amended: Gazette 30 Jun 2011 p. 2678; SL 2020/259 r. 12.]</w:t>
      </w:r>
    </w:p>
    <w:p>
      <w:pPr>
        <w:pStyle w:val="CentredBaseLine"/>
        <w:spacing w:before="60"/>
        <w:jc w:val="center"/>
      </w:pPr>
      <w:r>
        <w:rPr>
          <w:noProof/>
        </w:rPr>
        <w:lastRenderedPageBreak/>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ScheduleHeading"/>
        <w:spacing w:before="60"/>
        <w:sectPr>
          <w:headerReference w:type="even" r:id="rId25"/>
          <w:headerReference w:type="default" r:id="rId26"/>
          <w:headerReference w:type="first" r:id="rId27"/>
          <w:pgSz w:w="11907" w:h="16840" w:code="9"/>
          <w:pgMar w:top="2376" w:right="2405" w:bottom="3542" w:left="2405" w:header="706" w:footer="3544" w:gutter="0"/>
          <w:cols w:space="720"/>
          <w:noEndnote/>
          <w:docGrid w:linePitch="326"/>
        </w:sectPr>
      </w:pPr>
    </w:p>
    <w:p>
      <w:pPr>
        <w:pStyle w:val="nHeading2"/>
      </w:pPr>
      <w:bookmarkStart w:id="48" w:name="_Toc155172983"/>
      <w:r>
        <w:lastRenderedPageBreak/>
        <w:t>Notes</w:t>
      </w:r>
      <w:bookmarkEnd w:id="48"/>
    </w:p>
    <w:p>
      <w:pPr>
        <w:pStyle w:val="nStatement"/>
      </w:pPr>
      <w:r>
        <w:t xml:space="preserve">This is a compilation of the </w:t>
      </w:r>
      <w:r>
        <w:rPr>
          <w:i/>
          <w:noProof/>
        </w:rPr>
        <w:t>Settlement Agents Regulations 1982</w:t>
      </w:r>
      <w:r>
        <w:t xml:space="preserve"> and includes amendments made by other written laws. For provisions that have come into operation, and for information about any reprints, see the compilation table.</w:t>
      </w:r>
    </w:p>
    <w:p>
      <w:pPr>
        <w:pStyle w:val="nHeading3"/>
      </w:pPr>
      <w:bookmarkStart w:id="49" w:name="_Toc155172984"/>
      <w:r>
        <w:t>Compilation table</w:t>
      </w:r>
      <w:bookmarkEnd w:id="49"/>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Published</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pPr>
            <w:r>
              <w:rPr>
                <w:i/>
              </w:rPr>
              <w:t>Settlement Agents Regulations 1982</w:t>
            </w:r>
          </w:p>
        </w:tc>
        <w:tc>
          <w:tcPr>
            <w:tcW w:w="1276" w:type="dxa"/>
          </w:tcPr>
          <w:p>
            <w:pPr>
              <w:pStyle w:val="nTable"/>
              <w:spacing w:after="40"/>
            </w:pPr>
            <w:r>
              <w:t>19 Mar 1982 p. 886</w:t>
            </w:r>
            <w:r>
              <w:noBreakHyphen/>
              <w:t>7</w:t>
            </w:r>
          </w:p>
        </w:tc>
        <w:tc>
          <w:tcPr>
            <w:tcW w:w="2693" w:type="dxa"/>
          </w:tcPr>
          <w:p>
            <w:pPr>
              <w:pStyle w:val="nTable"/>
              <w:spacing w:after="40"/>
            </w:pPr>
            <w:r>
              <w:t>19 Mar 1982</w:t>
            </w:r>
          </w:p>
        </w:tc>
      </w:tr>
      <w:tr>
        <w:trPr>
          <w:cantSplit/>
        </w:trPr>
        <w:tc>
          <w:tcPr>
            <w:tcW w:w="3118" w:type="dxa"/>
          </w:tcPr>
          <w:p>
            <w:pPr>
              <w:pStyle w:val="nTable"/>
              <w:spacing w:after="40"/>
              <w:rPr>
                <w:i/>
              </w:rPr>
            </w:pPr>
            <w:r>
              <w:rPr>
                <w:i/>
              </w:rPr>
              <w:t>Settlement Agents Amendment Regulations 1982</w:t>
            </w:r>
          </w:p>
        </w:tc>
        <w:tc>
          <w:tcPr>
            <w:tcW w:w="1276" w:type="dxa"/>
          </w:tcPr>
          <w:p>
            <w:pPr>
              <w:pStyle w:val="nTable"/>
              <w:spacing w:after="40"/>
            </w:pPr>
            <w:r>
              <w:t>29 Oct 1982 p. 4323</w:t>
            </w:r>
            <w:r>
              <w:noBreakHyphen/>
              <w:t>4</w:t>
            </w:r>
          </w:p>
        </w:tc>
        <w:tc>
          <w:tcPr>
            <w:tcW w:w="2693" w:type="dxa"/>
          </w:tcPr>
          <w:p>
            <w:pPr>
              <w:pStyle w:val="nTable"/>
              <w:spacing w:after="40"/>
            </w:pPr>
            <w:r>
              <w:t>29 Oct 1982</w:t>
            </w:r>
          </w:p>
        </w:tc>
      </w:tr>
      <w:tr>
        <w:trPr>
          <w:cantSplit/>
        </w:trPr>
        <w:tc>
          <w:tcPr>
            <w:tcW w:w="3118" w:type="dxa"/>
          </w:tcPr>
          <w:p>
            <w:pPr>
              <w:pStyle w:val="nTable"/>
              <w:rPr>
                <w:i/>
                <w:iCs/>
              </w:rPr>
            </w:pPr>
            <w:r>
              <w:rPr>
                <w:i/>
                <w:iCs/>
              </w:rPr>
              <w:t>Settlement Agents Amendment Regulations 1984</w:t>
            </w:r>
          </w:p>
        </w:tc>
        <w:tc>
          <w:tcPr>
            <w:tcW w:w="1276" w:type="dxa"/>
          </w:tcPr>
          <w:p>
            <w:pPr>
              <w:pStyle w:val="nTable"/>
              <w:spacing w:after="40"/>
            </w:pPr>
            <w:r>
              <w:t>30 Mar 1984 p. 910</w:t>
            </w:r>
            <w:r>
              <w:br/>
              <w:t>(erratum 6 Apr 1984 p. 998)</w:t>
            </w:r>
          </w:p>
        </w:tc>
        <w:tc>
          <w:tcPr>
            <w:tcW w:w="2693" w:type="dxa"/>
          </w:tcPr>
          <w:p>
            <w:pPr>
              <w:pStyle w:val="nTable"/>
              <w:spacing w:after="40"/>
            </w:pPr>
            <w:r>
              <w:t>30 Mar 1984</w:t>
            </w:r>
          </w:p>
        </w:tc>
      </w:tr>
      <w:tr>
        <w:trPr>
          <w:cantSplit/>
        </w:trPr>
        <w:tc>
          <w:tcPr>
            <w:tcW w:w="3118" w:type="dxa"/>
          </w:tcPr>
          <w:p>
            <w:pPr>
              <w:pStyle w:val="nTable"/>
              <w:rPr>
                <w:i/>
                <w:iCs/>
              </w:rPr>
            </w:pPr>
            <w:r>
              <w:rPr>
                <w:i/>
                <w:iCs/>
              </w:rPr>
              <w:t>Settlement Agents Amendment Regulations 1985</w:t>
            </w:r>
          </w:p>
        </w:tc>
        <w:tc>
          <w:tcPr>
            <w:tcW w:w="1276" w:type="dxa"/>
          </w:tcPr>
          <w:p>
            <w:pPr>
              <w:pStyle w:val="nTable"/>
            </w:pPr>
            <w:r>
              <w:t>21 Jun 1985 p. 2263</w:t>
            </w:r>
          </w:p>
        </w:tc>
        <w:tc>
          <w:tcPr>
            <w:tcW w:w="2693" w:type="dxa"/>
          </w:tcPr>
          <w:p>
            <w:pPr>
              <w:pStyle w:val="nTable"/>
            </w:pPr>
            <w:r>
              <w:t>21 Jun 1985</w:t>
            </w:r>
          </w:p>
        </w:tc>
      </w:tr>
      <w:tr>
        <w:trPr>
          <w:cantSplit/>
        </w:trPr>
        <w:tc>
          <w:tcPr>
            <w:tcW w:w="3118" w:type="dxa"/>
          </w:tcPr>
          <w:p>
            <w:pPr>
              <w:pStyle w:val="nTable"/>
              <w:rPr>
                <w:i/>
                <w:iCs/>
              </w:rPr>
            </w:pPr>
            <w:r>
              <w:rPr>
                <w:i/>
                <w:iCs/>
              </w:rPr>
              <w:fldChar w:fldCharType="begin"/>
            </w:r>
            <w:r>
              <w:rPr>
                <w:i/>
                <w:iCs/>
              </w:rPr>
              <w:instrText>ADVANCE \D 2.80</w:instrText>
            </w:r>
            <w:r>
              <w:rPr>
                <w:i/>
                <w:iCs/>
              </w:rPr>
              <w:fldChar w:fldCharType="end"/>
            </w:r>
            <w:r>
              <w:rPr>
                <w:i/>
                <w:iCs/>
              </w:rPr>
              <w:t>Settlement Agents Amendment Regulations 1986</w:t>
            </w:r>
          </w:p>
        </w:tc>
        <w:tc>
          <w:tcPr>
            <w:tcW w:w="1276" w:type="dxa"/>
          </w:tcPr>
          <w:p>
            <w:pPr>
              <w:pStyle w:val="nTable"/>
            </w:pPr>
            <w:r>
              <w:t>13 Jun 1986 p. 1997</w:t>
            </w:r>
          </w:p>
        </w:tc>
        <w:tc>
          <w:tcPr>
            <w:tcW w:w="2693" w:type="dxa"/>
          </w:tcPr>
          <w:p>
            <w:pPr>
              <w:pStyle w:val="nTable"/>
            </w:pPr>
            <w:r>
              <w:t>1 Jul 1986 (see r. 2)</w:t>
            </w:r>
          </w:p>
        </w:tc>
      </w:tr>
      <w:tr>
        <w:trPr>
          <w:cantSplit/>
        </w:trPr>
        <w:tc>
          <w:tcPr>
            <w:tcW w:w="3118" w:type="dxa"/>
          </w:tcPr>
          <w:p>
            <w:pPr>
              <w:pStyle w:val="nTable"/>
              <w:rPr>
                <w:i/>
                <w:iCs/>
              </w:rPr>
            </w:pPr>
            <w:r>
              <w:rPr>
                <w:i/>
                <w:iCs/>
              </w:rPr>
              <w:t>Settlement Agents Amendment Regulations 1987</w:t>
            </w:r>
          </w:p>
        </w:tc>
        <w:tc>
          <w:tcPr>
            <w:tcW w:w="1276" w:type="dxa"/>
          </w:tcPr>
          <w:p>
            <w:pPr>
              <w:pStyle w:val="nTable"/>
            </w:pPr>
            <w:r>
              <w:t>4 Sep 1987 p. 3519</w:t>
            </w:r>
          </w:p>
        </w:tc>
        <w:tc>
          <w:tcPr>
            <w:tcW w:w="2693" w:type="dxa"/>
          </w:tcPr>
          <w:p>
            <w:pPr>
              <w:pStyle w:val="nTable"/>
            </w:pPr>
            <w:r>
              <w:t>4 Sep 1987</w:t>
            </w:r>
          </w:p>
        </w:tc>
      </w:tr>
      <w:tr>
        <w:trPr>
          <w:cantSplit/>
        </w:trPr>
        <w:tc>
          <w:tcPr>
            <w:tcW w:w="3118" w:type="dxa"/>
          </w:tcPr>
          <w:p>
            <w:pPr>
              <w:pStyle w:val="nTable"/>
              <w:rPr>
                <w:i/>
                <w:iCs/>
              </w:rPr>
            </w:pPr>
            <w:r>
              <w:rPr>
                <w:i/>
                <w:iCs/>
              </w:rPr>
              <w:fldChar w:fldCharType="begin"/>
            </w:r>
            <w:r>
              <w:rPr>
                <w:i/>
                <w:iCs/>
              </w:rPr>
              <w:instrText>ADVANCE \D 2.80</w:instrText>
            </w:r>
            <w:r>
              <w:rPr>
                <w:i/>
                <w:iCs/>
              </w:rPr>
              <w:fldChar w:fldCharType="end"/>
            </w:r>
            <w:r>
              <w:rPr>
                <w:i/>
                <w:iCs/>
              </w:rPr>
              <w:t>Settlement Agents Amendment Regulations 1988</w:t>
            </w:r>
          </w:p>
        </w:tc>
        <w:tc>
          <w:tcPr>
            <w:tcW w:w="1276" w:type="dxa"/>
          </w:tcPr>
          <w:p>
            <w:pPr>
              <w:pStyle w:val="nTable"/>
            </w:pPr>
            <w:r>
              <w:t>2 Sep 1988 p. 3466</w:t>
            </w:r>
          </w:p>
        </w:tc>
        <w:tc>
          <w:tcPr>
            <w:tcW w:w="2693" w:type="dxa"/>
          </w:tcPr>
          <w:p>
            <w:pPr>
              <w:pStyle w:val="nTable"/>
            </w:pPr>
            <w:r>
              <w:t>2 Sep 1988</w:t>
            </w:r>
          </w:p>
        </w:tc>
      </w:tr>
      <w:tr>
        <w:trPr>
          <w:cantSplit/>
        </w:trPr>
        <w:tc>
          <w:tcPr>
            <w:tcW w:w="3118" w:type="dxa"/>
          </w:tcPr>
          <w:p>
            <w:pPr>
              <w:pStyle w:val="nTable"/>
              <w:rPr>
                <w:i/>
                <w:iCs/>
              </w:rPr>
            </w:pPr>
            <w:r>
              <w:rPr>
                <w:i/>
                <w:iCs/>
              </w:rPr>
              <w:t>Settlement Agents Amendment Regulations (No. 2) 1988</w:t>
            </w:r>
          </w:p>
        </w:tc>
        <w:tc>
          <w:tcPr>
            <w:tcW w:w="1276" w:type="dxa"/>
          </w:tcPr>
          <w:p>
            <w:pPr>
              <w:pStyle w:val="nTable"/>
            </w:pPr>
            <w:r>
              <w:t>25 Nov 1988 p. 4761</w:t>
            </w:r>
            <w:r>
              <w:br/>
              <w:t>(erratum 2 Dec 1988 p. 4799)</w:t>
            </w:r>
          </w:p>
        </w:tc>
        <w:tc>
          <w:tcPr>
            <w:tcW w:w="2693" w:type="dxa"/>
          </w:tcPr>
          <w:p>
            <w:pPr>
              <w:pStyle w:val="nTable"/>
            </w:pPr>
            <w:r>
              <w:t>25 Nov 1988</w:t>
            </w:r>
          </w:p>
        </w:tc>
      </w:tr>
      <w:tr>
        <w:trPr>
          <w:cantSplit/>
        </w:trPr>
        <w:tc>
          <w:tcPr>
            <w:tcW w:w="3118" w:type="dxa"/>
          </w:tcPr>
          <w:p>
            <w:pPr>
              <w:pStyle w:val="nTable"/>
              <w:rPr>
                <w:i/>
                <w:iCs/>
              </w:rPr>
            </w:pPr>
            <w:r>
              <w:rPr>
                <w:i/>
                <w:iCs/>
              </w:rPr>
              <w:fldChar w:fldCharType="begin"/>
            </w:r>
            <w:r>
              <w:rPr>
                <w:i/>
                <w:iCs/>
              </w:rPr>
              <w:instrText>ADVANCE \D 2.80</w:instrText>
            </w:r>
            <w:r>
              <w:rPr>
                <w:i/>
                <w:iCs/>
              </w:rPr>
              <w:fldChar w:fldCharType="end"/>
            </w:r>
            <w:r>
              <w:rPr>
                <w:i/>
                <w:iCs/>
              </w:rPr>
              <w:t>Settlement Agents Amendment Regulations 1989</w:t>
            </w:r>
          </w:p>
        </w:tc>
        <w:tc>
          <w:tcPr>
            <w:tcW w:w="1276" w:type="dxa"/>
          </w:tcPr>
          <w:p>
            <w:pPr>
              <w:pStyle w:val="nTable"/>
            </w:pPr>
            <w:r>
              <w:t>30 Jun 1989 p. 1970-1</w:t>
            </w:r>
          </w:p>
        </w:tc>
        <w:tc>
          <w:tcPr>
            <w:tcW w:w="2693" w:type="dxa"/>
          </w:tcPr>
          <w:p>
            <w:pPr>
              <w:pStyle w:val="nTable"/>
            </w:pPr>
            <w:r>
              <w:t>1 Jul 1989 (see r. 2)</w:t>
            </w:r>
          </w:p>
        </w:tc>
      </w:tr>
      <w:tr>
        <w:trPr>
          <w:cantSplit/>
        </w:trPr>
        <w:tc>
          <w:tcPr>
            <w:tcW w:w="3118" w:type="dxa"/>
          </w:tcPr>
          <w:p>
            <w:pPr>
              <w:pStyle w:val="nTable"/>
              <w:rPr>
                <w:i/>
                <w:iCs/>
              </w:rPr>
            </w:pPr>
            <w:r>
              <w:rPr>
                <w:i/>
                <w:iCs/>
              </w:rPr>
              <w:t>Settlement Agents Amendment Regulations 1990</w:t>
            </w:r>
          </w:p>
        </w:tc>
        <w:tc>
          <w:tcPr>
            <w:tcW w:w="1276" w:type="dxa"/>
          </w:tcPr>
          <w:p>
            <w:pPr>
              <w:pStyle w:val="nTable"/>
            </w:pPr>
            <w:r>
              <w:t>1 Aug 1990 p. 3653</w:t>
            </w:r>
          </w:p>
        </w:tc>
        <w:tc>
          <w:tcPr>
            <w:tcW w:w="2693" w:type="dxa"/>
          </w:tcPr>
          <w:p>
            <w:pPr>
              <w:pStyle w:val="nTable"/>
            </w:pPr>
            <w:r>
              <w:t>1 Aug 1990</w:t>
            </w:r>
          </w:p>
        </w:tc>
      </w:tr>
      <w:tr>
        <w:trPr>
          <w:cantSplit/>
        </w:trPr>
        <w:tc>
          <w:tcPr>
            <w:tcW w:w="3118" w:type="dxa"/>
          </w:tcPr>
          <w:p>
            <w:pPr>
              <w:pStyle w:val="nTable"/>
              <w:rPr>
                <w:i/>
                <w:iCs/>
              </w:rPr>
            </w:pPr>
            <w:r>
              <w:rPr>
                <w:i/>
                <w:iCs/>
              </w:rPr>
              <w:t>Settlement Agents Amendment Regulations 1991</w:t>
            </w:r>
          </w:p>
        </w:tc>
        <w:tc>
          <w:tcPr>
            <w:tcW w:w="1276" w:type="dxa"/>
          </w:tcPr>
          <w:p>
            <w:pPr>
              <w:pStyle w:val="nTable"/>
            </w:pPr>
            <w:r>
              <w:t>13 Dec 1991 p. 6161</w:t>
            </w:r>
          </w:p>
        </w:tc>
        <w:tc>
          <w:tcPr>
            <w:tcW w:w="2693" w:type="dxa"/>
          </w:tcPr>
          <w:p>
            <w:pPr>
              <w:pStyle w:val="nTable"/>
            </w:pPr>
            <w:r>
              <w:t>13 Dec 1991</w:t>
            </w:r>
          </w:p>
        </w:tc>
      </w:tr>
      <w:tr>
        <w:trPr>
          <w:cantSplit/>
        </w:trPr>
        <w:tc>
          <w:tcPr>
            <w:tcW w:w="3118" w:type="dxa"/>
          </w:tcPr>
          <w:p>
            <w:pPr>
              <w:pStyle w:val="nTable"/>
              <w:rPr>
                <w:i/>
                <w:iCs/>
              </w:rPr>
            </w:pPr>
            <w:r>
              <w:rPr>
                <w:i/>
                <w:iCs/>
              </w:rPr>
              <w:t>Settlement Agents Amendment Regulations 1992</w:t>
            </w:r>
          </w:p>
        </w:tc>
        <w:tc>
          <w:tcPr>
            <w:tcW w:w="1276" w:type="dxa"/>
          </w:tcPr>
          <w:p>
            <w:pPr>
              <w:pStyle w:val="nTable"/>
            </w:pPr>
            <w:r>
              <w:t>14 Aug 1992 p. 4009</w:t>
            </w:r>
          </w:p>
        </w:tc>
        <w:tc>
          <w:tcPr>
            <w:tcW w:w="2693" w:type="dxa"/>
          </w:tcPr>
          <w:p>
            <w:pPr>
              <w:pStyle w:val="nTable"/>
            </w:pPr>
            <w:r>
              <w:t>14 Aug 1992</w:t>
            </w:r>
          </w:p>
        </w:tc>
      </w:tr>
      <w:tr>
        <w:trPr>
          <w:cantSplit/>
        </w:trPr>
        <w:tc>
          <w:tcPr>
            <w:tcW w:w="3118" w:type="dxa"/>
          </w:tcPr>
          <w:p>
            <w:pPr>
              <w:pStyle w:val="nTable"/>
              <w:rPr>
                <w:i/>
                <w:iCs/>
              </w:rPr>
            </w:pPr>
            <w:r>
              <w:rPr>
                <w:i/>
                <w:iCs/>
              </w:rPr>
              <w:t>Settlement Agents Amendment Regulations 1993</w:t>
            </w:r>
          </w:p>
        </w:tc>
        <w:tc>
          <w:tcPr>
            <w:tcW w:w="1276" w:type="dxa"/>
          </w:tcPr>
          <w:p>
            <w:pPr>
              <w:pStyle w:val="nTable"/>
            </w:pPr>
            <w:r>
              <w:t>30 Nov 1993 p. 6407-8</w:t>
            </w:r>
          </w:p>
        </w:tc>
        <w:tc>
          <w:tcPr>
            <w:tcW w:w="2693" w:type="dxa"/>
          </w:tcPr>
          <w:p>
            <w:pPr>
              <w:pStyle w:val="nTable"/>
            </w:pPr>
            <w:r>
              <w:t>30 Nov 1993</w:t>
            </w:r>
          </w:p>
        </w:tc>
      </w:tr>
      <w:tr>
        <w:trPr>
          <w:cantSplit/>
        </w:trPr>
        <w:tc>
          <w:tcPr>
            <w:tcW w:w="7087" w:type="dxa"/>
            <w:gridSpan w:val="3"/>
          </w:tcPr>
          <w:p>
            <w:pPr>
              <w:pStyle w:val="nTable"/>
            </w:pPr>
            <w:r>
              <w:rPr>
                <w:b/>
              </w:rPr>
              <w:lastRenderedPageBreak/>
              <w:t xml:space="preserve">Reprint of the </w:t>
            </w:r>
            <w:r>
              <w:rPr>
                <w:b/>
                <w:i/>
              </w:rPr>
              <w:t>Settlement Agents Regulations 1982</w:t>
            </w:r>
            <w:r>
              <w:rPr>
                <w:b/>
              </w:rPr>
              <w:t xml:space="preserve"> as at 9 Apr 1996</w:t>
            </w:r>
            <w:r>
              <w:t xml:space="preserve"> (includes amendments listed above)</w:t>
            </w:r>
          </w:p>
        </w:tc>
      </w:tr>
      <w:tr>
        <w:trPr>
          <w:cantSplit/>
        </w:trPr>
        <w:tc>
          <w:tcPr>
            <w:tcW w:w="3118" w:type="dxa"/>
          </w:tcPr>
          <w:p>
            <w:pPr>
              <w:pStyle w:val="nTable"/>
              <w:spacing w:after="40"/>
            </w:pPr>
            <w:r>
              <w:rPr>
                <w:i/>
              </w:rPr>
              <w:t>Settlement Agents Amendment Regulations (No. 2) 1996</w:t>
            </w:r>
          </w:p>
        </w:tc>
        <w:tc>
          <w:tcPr>
            <w:tcW w:w="1276" w:type="dxa"/>
          </w:tcPr>
          <w:p>
            <w:pPr>
              <w:pStyle w:val="nTable"/>
            </w:pPr>
            <w:r>
              <w:t>25 Jun 1996 p. 2925</w:t>
            </w:r>
            <w:r>
              <w:noBreakHyphen/>
              <w:t>8</w:t>
            </w:r>
          </w:p>
        </w:tc>
        <w:tc>
          <w:tcPr>
            <w:tcW w:w="2693" w:type="dxa"/>
          </w:tcPr>
          <w:p>
            <w:pPr>
              <w:pStyle w:val="nTable"/>
            </w:pPr>
            <w:r>
              <w:t xml:space="preserve">1 Jul 1996 (see r. 2 and </w:t>
            </w:r>
            <w:r>
              <w:rPr>
                <w:i/>
              </w:rPr>
              <w:t>Gazette</w:t>
            </w:r>
            <w:r>
              <w:t xml:space="preserve"> 25 Jun 1996 p. 2902)</w:t>
            </w:r>
          </w:p>
        </w:tc>
      </w:tr>
      <w:tr>
        <w:trPr>
          <w:cantSplit/>
        </w:trPr>
        <w:tc>
          <w:tcPr>
            <w:tcW w:w="3118" w:type="dxa"/>
          </w:tcPr>
          <w:p>
            <w:pPr>
              <w:pStyle w:val="nTable"/>
              <w:spacing w:after="40"/>
            </w:pPr>
            <w:r>
              <w:rPr>
                <w:i/>
              </w:rPr>
              <w:t>Settlement Agents Amendment Regulations 1996</w:t>
            </w:r>
            <w:r>
              <w:rPr>
                <w:vertAlign w:val="superscript"/>
              </w:rPr>
              <w:t> 3</w:t>
            </w:r>
          </w:p>
        </w:tc>
        <w:tc>
          <w:tcPr>
            <w:tcW w:w="1276" w:type="dxa"/>
          </w:tcPr>
          <w:p>
            <w:pPr>
              <w:pStyle w:val="nTable"/>
            </w:pPr>
            <w:r>
              <w:t>2 Aug 1996 p. 3731</w:t>
            </w:r>
            <w:r>
              <w:noBreakHyphen/>
              <w:t>2</w:t>
            </w:r>
          </w:p>
        </w:tc>
        <w:tc>
          <w:tcPr>
            <w:tcW w:w="2693" w:type="dxa"/>
          </w:tcPr>
          <w:p>
            <w:pPr>
              <w:pStyle w:val="nTable"/>
            </w:pPr>
            <w:r>
              <w:t>2 Aug 1996</w:t>
            </w:r>
          </w:p>
        </w:tc>
      </w:tr>
      <w:tr>
        <w:trPr>
          <w:cantSplit/>
        </w:trPr>
        <w:tc>
          <w:tcPr>
            <w:tcW w:w="3118" w:type="dxa"/>
          </w:tcPr>
          <w:p>
            <w:pPr>
              <w:pStyle w:val="nTable"/>
              <w:spacing w:after="40"/>
            </w:pPr>
            <w:r>
              <w:rPr>
                <w:i/>
              </w:rPr>
              <w:t>Settlement Agents Amendment Regulations (No. 3) 1996</w:t>
            </w:r>
          </w:p>
        </w:tc>
        <w:tc>
          <w:tcPr>
            <w:tcW w:w="1276" w:type="dxa"/>
          </w:tcPr>
          <w:p>
            <w:pPr>
              <w:pStyle w:val="nTable"/>
            </w:pPr>
            <w:r>
              <w:t>30 Aug 1996 p. 4322</w:t>
            </w:r>
          </w:p>
        </w:tc>
        <w:tc>
          <w:tcPr>
            <w:tcW w:w="2693" w:type="dxa"/>
          </w:tcPr>
          <w:p>
            <w:pPr>
              <w:pStyle w:val="nTable"/>
            </w:pPr>
            <w:r>
              <w:t>30 Aug 1996</w:t>
            </w:r>
          </w:p>
        </w:tc>
      </w:tr>
      <w:tr>
        <w:trPr>
          <w:cantSplit/>
        </w:trPr>
        <w:tc>
          <w:tcPr>
            <w:tcW w:w="3118" w:type="dxa"/>
          </w:tcPr>
          <w:p>
            <w:pPr>
              <w:pStyle w:val="nTable"/>
              <w:spacing w:after="40"/>
            </w:pPr>
            <w:r>
              <w:rPr>
                <w:i/>
              </w:rPr>
              <w:t>Settlement Agents Amendment Regulations 1997</w:t>
            </w:r>
          </w:p>
        </w:tc>
        <w:tc>
          <w:tcPr>
            <w:tcW w:w="1276" w:type="dxa"/>
          </w:tcPr>
          <w:p>
            <w:pPr>
              <w:pStyle w:val="nTable"/>
            </w:pPr>
            <w:r>
              <w:t>23 May 1997 p. 2419</w:t>
            </w:r>
            <w:r>
              <w:noBreakHyphen/>
              <w:t>24</w:t>
            </w:r>
          </w:p>
        </w:tc>
        <w:tc>
          <w:tcPr>
            <w:tcW w:w="2693" w:type="dxa"/>
          </w:tcPr>
          <w:p>
            <w:pPr>
              <w:pStyle w:val="nTable"/>
            </w:pPr>
            <w:r>
              <w:t xml:space="preserve">24 May 1997 (see r. 2 and </w:t>
            </w:r>
            <w:r>
              <w:rPr>
                <w:i/>
              </w:rPr>
              <w:t>Gazette</w:t>
            </w:r>
            <w:r>
              <w:t xml:space="preserve"> 23 May 1997 p. 2417)</w:t>
            </w:r>
          </w:p>
        </w:tc>
      </w:tr>
      <w:tr>
        <w:trPr>
          <w:cantSplit/>
        </w:trPr>
        <w:tc>
          <w:tcPr>
            <w:tcW w:w="7087" w:type="dxa"/>
            <w:gridSpan w:val="3"/>
          </w:tcPr>
          <w:p>
            <w:pPr>
              <w:pStyle w:val="nTable"/>
            </w:pPr>
            <w:r>
              <w:rPr>
                <w:b/>
              </w:rPr>
              <w:t xml:space="preserve">Reprint of the </w:t>
            </w:r>
            <w:r>
              <w:rPr>
                <w:b/>
                <w:i/>
              </w:rPr>
              <w:t>Settlement Agents Regulations 1982</w:t>
            </w:r>
            <w:r>
              <w:rPr>
                <w:b/>
              </w:rPr>
              <w:t xml:space="preserve"> as at 12 Dec 1997 </w:t>
            </w:r>
            <w:r>
              <w:t>(includes amendments listed above)</w:t>
            </w:r>
          </w:p>
        </w:tc>
      </w:tr>
      <w:tr>
        <w:trPr>
          <w:cantSplit/>
        </w:trPr>
        <w:tc>
          <w:tcPr>
            <w:tcW w:w="3118" w:type="dxa"/>
          </w:tcPr>
          <w:p>
            <w:pPr>
              <w:pStyle w:val="nTable"/>
              <w:spacing w:after="40"/>
              <w:rPr>
                <w:i/>
              </w:rPr>
            </w:pPr>
            <w:r>
              <w:rPr>
                <w:i/>
              </w:rPr>
              <w:t xml:space="preserve">Settlement Agents Amendment Regulations 2000 </w:t>
            </w:r>
          </w:p>
        </w:tc>
        <w:tc>
          <w:tcPr>
            <w:tcW w:w="1276" w:type="dxa"/>
          </w:tcPr>
          <w:p>
            <w:pPr>
              <w:pStyle w:val="nTable"/>
              <w:spacing w:after="40"/>
            </w:pPr>
            <w:r>
              <w:t>26 May 2000 p. 2525</w:t>
            </w:r>
          </w:p>
        </w:tc>
        <w:tc>
          <w:tcPr>
            <w:tcW w:w="2693" w:type="dxa"/>
          </w:tcPr>
          <w:p>
            <w:pPr>
              <w:pStyle w:val="nTable"/>
              <w:spacing w:after="40"/>
            </w:pPr>
            <w:r>
              <w:t xml:space="preserve">26 Aug 2000 (see r. 2 and </w:t>
            </w:r>
            <w:r>
              <w:rPr>
                <w:i/>
              </w:rPr>
              <w:t>Gazette</w:t>
            </w:r>
            <w:r>
              <w:t xml:space="preserve"> 26 May 2000 p. 2526)</w:t>
            </w:r>
          </w:p>
        </w:tc>
      </w:tr>
      <w:tr>
        <w:trPr>
          <w:cantSplit/>
        </w:trPr>
        <w:tc>
          <w:tcPr>
            <w:tcW w:w="3118" w:type="dxa"/>
          </w:tcPr>
          <w:p>
            <w:pPr>
              <w:pStyle w:val="nTable"/>
              <w:spacing w:after="40"/>
              <w:rPr>
                <w:i/>
              </w:rPr>
            </w:pPr>
            <w:r>
              <w:rPr>
                <w:i/>
              </w:rPr>
              <w:t>Settlement Agents Amendment Regulations 2004</w:t>
            </w:r>
          </w:p>
        </w:tc>
        <w:tc>
          <w:tcPr>
            <w:tcW w:w="1276" w:type="dxa"/>
          </w:tcPr>
          <w:p>
            <w:pPr>
              <w:pStyle w:val="nTable"/>
              <w:spacing w:after="40"/>
            </w:pPr>
            <w:r>
              <w:t>6 Apr 2004 p. 1131</w:t>
            </w:r>
          </w:p>
        </w:tc>
        <w:tc>
          <w:tcPr>
            <w:tcW w:w="2693" w:type="dxa"/>
          </w:tcPr>
          <w:p>
            <w:pPr>
              <w:pStyle w:val="nTable"/>
              <w:spacing w:after="40"/>
            </w:pPr>
            <w:r>
              <w:t>6 Apr 2004</w:t>
            </w:r>
          </w:p>
        </w:tc>
      </w:tr>
      <w:tr>
        <w:trPr>
          <w:cantSplit/>
        </w:trPr>
        <w:tc>
          <w:tcPr>
            <w:tcW w:w="3118" w:type="dxa"/>
          </w:tcPr>
          <w:p>
            <w:pPr>
              <w:pStyle w:val="nTable"/>
              <w:spacing w:after="40"/>
              <w:rPr>
                <w:vertAlign w:val="superscript"/>
              </w:rPr>
            </w:pPr>
            <w:r>
              <w:rPr>
                <w:i/>
              </w:rPr>
              <w:t>Settlement Agents Amendment Regulations (No. 2) 2004</w:t>
            </w:r>
            <w:r>
              <w:rPr>
                <w:vertAlign w:val="superscript"/>
              </w:rPr>
              <w:t> 4</w:t>
            </w:r>
          </w:p>
        </w:tc>
        <w:tc>
          <w:tcPr>
            <w:tcW w:w="1276" w:type="dxa"/>
          </w:tcPr>
          <w:p>
            <w:pPr>
              <w:pStyle w:val="nTable"/>
              <w:spacing w:after="40"/>
            </w:pPr>
            <w:r>
              <w:t>15 Jun 2004 p. 2024</w:t>
            </w:r>
            <w:r>
              <w:noBreakHyphen/>
              <w:t>6</w:t>
            </w:r>
            <w:r>
              <w:br/>
              <w:t>(as amended</w:t>
            </w:r>
            <w:r>
              <w:rPr>
                <w:i/>
              </w:rPr>
              <w:t xml:space="preserve"> </w:t>
            </w:r>
            <w:r>
              <w:t>21 Jan 2005 p. 258 and 16 Jun 2006 p. 2122)</w:t>
            </w:r>
          </w:p>
        </w:tc>
        <w:tc>
          <w:tcPr>
            <w:tcW w:w="2693" w:type="dxa"/>
          </w:tcPr>
          <w:p>
            <w:pPr>
              <w:pStyle w:val="nTable"/>
              <w:spacing w:after="40"/>
            </w:pPr>
            <w:r>
              <w:t>15 Jun 2004</w:t>
            </w:r>
          </w:p>
        </w:tc>
      </w:tr>
      <w:tr>
        <w:trPr>
          <w:cantSplit/>
        </w:trPr>
        <w:tc>
          <w:tcPr>
            <w:tcW w:w="3118" w:type="dxa"/>
          </w:tcPr>
          <w:p>
            <w:pPr>
              <w:pStyle w:val="nTable"/>
              <w:spacing w:after="40"/>
              <w:rPr>
                <w:i/>
              </w:rPr>
            </w:pPr>
            <w:r>
              <w:rPr>
                <w:i/>
              </w:rPr>
              <w:t>Settlement Agents Amendment Regulations (No. 4) 2004</w:t>
            </w:r>
          </w:p>
        </w:tc>
        <w:tc>
          <w:tcPr>
            <w:tcW w:w="1276" w:type="dxa"/>
          </w:tcPr>
          <w:p>
            <w:pPr>
              <w:pStyle w:val="nTable"/>
              <w:spacing w:after="40"/>
            </w:pPr>
            <w:r>
              <w:t>30 Dec 2004 p. 6927</w:t>
            </w:r>
          </w:p>
        </w:tc>
        <w:tc>
          <w:tcPr>
            <w:tcW w:w="2693" w:type="dxa"/>
          </w:tcPr>
          <w:p>
            <w:pPr>
              <w:pStyle w:val="nTable"/>
              <w:spacing w:after="40"/>
            </w:pPr>
            <w:r>
              <w:t xml:space="preserve">1 Jan 2005 (see r. 2 and </w:t>
            </w:r>
            <w:r>
              <w:rPr>
                <w:i/>
              </w:rPr>
              <w:t>Gazette</w:t>
            </w:r>
            <w:r>
              <w:t xml:space="preserve"> 31 Dec 2004 p. 7130)</w:t>
            </w:r>
          </w:p>
        </w:tc>
      </w:tr>
      <w:tr>
        <w:trPr>
          <w:cantSplit/>
        </w:trPr>
        <w:tc>
          <w:tcPr>
            <w:tcW w:w="7087" w:type="dxa"/>
            <w:gridSpan w:val="3"/>
          </w:tcPr>
          <w:p>
            <w:pPr>
              <w:pStyle w:val="nTable"/>
              <w:spacing w:after="40"/>
            </w:pPr>
            <w:r>
              <w:rPr>
                <w:b/>
              </w:rPr>
              <w:t xml:space="preserve">Reprint 3: The </w:t>
            </w:r>
            <w:r>
              <w:rPr>
                <w:b/>
                <w:i/>
              </w:rPr>
              <w:t>Settlement Agents Regulations 1982</w:t>
            </w:r>
            <w:r>
              <w:rPr>
                <w:b/>
              </w:rPr>
              <w:t xml:space="preserve"> as at 18 Mar 2005</w:t>
            </w:r>
            <w:r>
              <w:t xml:space="preserve"> (includes amendments listed above)</w:t>
            </w:r>
          </w:p>
        </w:tc>
      </w:tr>
      <w:tr>
        <w:trPr>
          <w:cantSplit/>
        </w:trPr>
        <w:tc>
          <w:tcPr>
            <w:tcW w:w="3118" w:type="dxa"/>
          </w:tcPr>
          <w:p>
            <w:pPr>
              <w:pStyle w:val="nTable"/>
              <w:spacing w:after="40"/>
              <w:rPr>
                <w:i/>
              </w:rPr>
            </w:pPr>
            <w:r>
              <w:rPr>
                <w:i/>
              </w:rPr>
              <w:t>Settlement Agents Amendment Regulations (No. 2) 2006</w:t>
            </w:r>
          </w:p>
        </w:tc>
        <w:tc>
          <w:tcPr>
            <w:tcW w:w="1276" w:type="dxa"/>
          </w:tcPr>
          <w:p>
            <w:pPr>
              <w:pStyle w:val="nTable"/>
              <w:spacing w:after="40"/>
            </w:pPr>
            <w:r>
              <w:t>16 Jun 2006 p. 2121-2</w:t>
            </w:r>
          </w:p>
        </w:tc>
        <w:tc>
          <w:tcPr>
            <w:tcW w:w="2693" w:type="dxa"/>
          </w:tcPr>
          <w:p>
            <w:pPr>
              <w:pStyle w:val="nTable"/>
              <w:spacing w:after="40"/>
            </w:pPr>
            <w:r>
              <w:t>16 Jun 2006</w:t>
            </w:r>
          </w:p>
        </w:tc>
      </w:tr>
      <w:tr>
        <w:trPr>
          <w:cantSplit/>
        </w:trPr>
        <w:tc>
          <w:tcPr>
            <w:tcW w:w="3118" w:type="dxa"/>
          </w:tcPr>
          <w:p>
            <w:pPr>
              <w:pStyle w:val="nTable"/>
              <w:spacing w:after="40"/>
              <w:rPr>
                <w:i/>
              </w:rPr>
            </w:pPr>
            <w:r>
              <w:rPr>
                <w:i/>
              </w:rPr>
              <w:t>Settlement Agents Amendment Regulations (No. 3) 2006</w:t>
            </w:r>
          </w:p>
        </w:tc>
        <w:tc>
          <w:tcPr>
            <w:tcW w:w="1276" w:type="dxa"/>
          </w:tcPr>
          <w:p>
            <w:pPr>
              <w:pStyle w:val="nTable"/>
              <w:spacing w:after="40"/>
            </w:pPr>
            <w:r>
              <w:t>27 Jun 2006 p. 2270-1</w:t>
            </w:r>
          </w:p>
        </w:tc>
        <w:tc>
          <w:tcPr>
            <w:tcW w:w="2693" w:type="dxa"/>
          </w:tcPr>
          <w:p>
            <w:pPr>
              <w:pStyle w:val="nTable"/>
              <w:spacing w:after="40"/>
            </w:pPr>
            <w:r>
              <w:t>1 Jul 2006 (see r. 2)</w:t>
            </w:r>
          </w:p>
        </w:tc>
      </w:tr>
      <w:tr>
        <w:trPr>
          <w:cantSplit/>
        </w:trPr>
        <w:tc>
          <w:tcPr>
            <w:tcW w:w="3118" w:type="dxa"/>
          </w:tcPr>
          <w:p>
            <w:pPr>
              <w:pStyle w:val="nTable"/>
              <w:spacing w:after="40"/>
              <w:rPr>
                <w:i/>
              </w:rPr>
            </w:pPr>
            <w:r>
              <w:rPr>
                <w:i/>
              </w:rPr>
              <w:t>Settlement Agents Amendment Regulations 2006</w:t>
            </w:r>
          </w:p>
        </w:tc>
        <w:tc>
          <w:tcPr>
            <w:tcW w:w="1276" w:type="dxa"/>
          </w:tcPr>
          <w:p>
            <w:pPr>
              <w:pStyle w:val="nTable"/>
              <w:spacing w:after="40"/>
            </w:pPr>
            <w:r>
              <w:t>22 Sep 2006 p. 4130</w:t>
            </w:r>
            <w:r>
              <w:noBreakHyphen/>
              <w:t>3</w:t>
            </w:r>
          </w:p>
        </w:tc>
        <w:tc>
          <w:tcPr>
            <w:tcW w:w="2693" w:type="dxa"/>
          </w:tcPr>
          <w:p>
            <w:pPr>
              <w:pStyle w:val="nTable"/>
              <w:spacing w:after="40"/>
            </w:pPr>
            <w:r>
              <w:t>22 Sep 2006 (see r. 2(a))</w:t>
            </w:r>
          </w:p>
        </w:tc>
      </w:tr>
      <w:tr>
        <w:trPr>
          <w:cantSplit/>
        </w:trPr>
        <w:tc>
          <w:tcPr>
            <w:tcW w:w="3118" w:type="dxa"/>
          </w:tcPr>
          <w:p>
            <w:pPr>
              <w:pStyle w:val="nTable"/>
              <w:spacing w:after="40"/>
              <w:rPr>
                <w:i/>
              </w:rPr>
            </w:pPr>
            <w:r>
              <w:rPr>
                <w:i/>
              </w:rPr>
              <w:t>Settlement Agents Amendment Regulations (No. 4) 2006</w:t>
            </w:r>
          </w:p>
        </w:tc>
        <w:tc>
          <w:tcPr>
            <w:tcW w:w="1276" w:type="dxa"/>
          </w:tcPr>
          <w:p>
            <w:pPr>
              <w:pStyle w:val="nTable"/>
              <w:spacing w:after="40"/>
            </w:pPr>
            <w:r>
              <w:t>22 Dec 2006 p. 5807-8</w:t>
            </w:r>
          </w:p>
        </w:tc>
        <w:tc>
          <w:tcPr>
            <w:tcW w:w="2693" w:type="dxa"/>
          </w:tcPr>
          <w:p>
            <w:pPr>
              <w:pStyle w:val="nTable"/>
              <w:spacing w:after="40"/>
            </w:pPr>
            <w:r>
              <w:t xml:space="preserve">1 Jan 2007 (see r. 2 and </w:t>
            </w:r>
            <w:r>
              <w:rPr>
                <w:i/>
              </w:rPr>
              <w:t>Gazette</w:t>
            </w:r>
            <w:r>
              <w:t xml:space="preserve"> 8 Dec 2006 p. 5369)</w:t>
            </w:r>
          </w:p>
        </w:tc>
      </w:tr>
      <w:tr>
        <w:trPr>
          <w:cantSplit/>
        </w:trPr>
        <w:tc>
          <w:tcPr>
            <w:tcW w:w="3118" w:type="dxa"/>
          </w:tcPr>
          <w:p>
            <w:pPr>
              <w:pStyle w:val="nTable"/>
              <w:spacing w:after="40"/>
              <w:rPr>
                <w:i/>
              </w:rPr>
            </w:pPr>
            <w:r>
              <w:rPr>
                <w:i/>
              </w:rPr>
              <w:t>Settlement Agents Amendment Regulations 2007</w:t>
            </w:r>
          </w:p>
        </w:tc>
        <w:tc>
          <w:tcPr>
            <w:tcW w:w="1276" w:type="dxa"/>
          </w:tcPr>
          <w:p>
            <w:pPr>
              <w:pStyle w:val="nTable"/>
              <w:spacing w:after="40"/>
            </w:pPr>
            <w:r>
              <w:t>6 Feb 2007 p. 310</w:t>
            </w:r>
          </w:p>
        </w:tc>
        <w:tc>
          <w:tcPr>
            <w:tcW w:w="2693" w:type="dxa"/>
          </w:tcPr>
          <w:p>
            <w:pPr>
              <w:pStyle w:val="nTable"/>
              <w:spacing w:after="40"/>
            </w:pPr>
            <w:r>
              <w:t>6 Feb 2007</w:t>
            </w:r>
          </w:p>
        </w:tc>
      </w:tr>
      <w:tr>
        <w:trPr>
          <w:cantSplit/>
        </w:trPr>
        <w:tc>
          <w:tcPr>
            <w:tcW w:w="3118" w:type="dxa"/>
          </w:tcPr>
          <w:p>
            <w:pPr>
              <w:pStyle w:val="nTable"/>
              <w:spacing w:after="40"/>
              <w:rPr>
                <w:i/>
              </w:rPr>
            </w:pPr>
            <w:r>
              <w:rPr>
                <w:i/>
              </w:rPr>
              <w:lastRenderedPageBreak/>
              <w:t>Settlement Agents Amendment Regulations (No. 2) 2007</w:t>
            </w:r>
          </w:p>
        </w:tc>
        <w:tc>
          <w:tcPr>
            <w:tcW w:w="1276" w:type="dxa"/>
          </w:tcPr>
          <w:p>
            <w:pPr>
              <w:pStyle w:val="nTable"/>
              <w:spacing w:after="40"/>
            </w:pPr>
            <w:r>
              <w:t>29 Jun 2007 p. 3187-8</w:t>
            </w:r>
          </w:p>
        </w:tc>
        <w:tc>
          <w:tcPr>
            <w:tcW w:w="2693" w:type="dxa"/>
          </w:tcPr>
          <w:p>
            <w:pPr>
              <w:pStyle w:val="nTable"/>
              <w:spacing w:after="40"/>
            </w:pPr>
            <w:r>
              <w:t>r. 1 and 2: 29 Jun 2007 (see r. 2(a));</w:t>
            </w:r>
            <w:r>
              <w:br/>
              <w:t>Regulations other than r. 1 and 2: 1 Jul 2007 (see r. 2(b))</w:t>
            </w:r>
          </w:p>
        </w:tc>
      </w:tr>
      <w:tr>
        <w:trPr>
          <w:cantSplit/>
        </w:trPr>
        <w:tc>
          <w:tcPr>
            <w:tcW w:w="3118" w:type="dxa"/>
          </w:tcPr>
          <w:p>
            <w:pPr>
              <w:pStyle w:val="nTable"/>
              <w:spacing w:after="40"/>
              <w:rPr>
                <w:i/>
              </w:rPr>
            </w:pPr>
            <w:r>
              <w:rPr>
                <w:i/>
              </w:rPr>
              <w:t>Settlement Agents Amendment Regulations (No. 3) 2007</w:t>
            </w:r>
          </w:p>
        </w:tc>
        <w:tc>
          <w:tcPr>
            <w:tcW w:w="1276" w:type="dxa"/>
          </w:tcPr>
          <w:p>
            <w:pPr>
              <w:pStyle w:val="nTable"/>
              <w:spacing w:after="40"/>
            </w:pPr>
            <w:r>
              <w:t>26 Oct 2007 p. 5651-2</w:t>
            </w:r>
          </w:p>
        </w:tc>
        <w:tc>
          <w:tcPr>
            <w:tcW w:w="2693" w:type="dxa"/>
          </w:tcPr>
          <w:p>
            <w:pPr>
              <w:pStyle w:val="nTable"/>
              <w:spacing w:after="40"/>
            </w:pPr>
            <w:r>
              <w:t>r. 1 and 2: 26 Oct 2007 (see r. 2(a));</w:t>
            </w:r>
            <w:r>
              <w:br/>
              <w:t>Regulations other than r. 1 and 2: 27 Oct 2007 (see r. 2(b))</w:t>
            </w:r>
          </w:p>
        </w:tc>
      </w:tr>
      <w:tr>
        <w:trPr>
          <w:cantSplit/>
        </w:trPr>
        <w:tc>
          <w:tcPr>
            <w:tcW w:w="3118" w:type="dxa"/>
          </w:tcPr>
          <w:p>
            <w:pPr>
              <w:pStyle w:val="nTable"/>
              <w:spacing w:after="40"/>
              <w:rPr>
                <w:i/>
              </w:rPr>
            </w:pPr>
            <w:r>
              <w:rPr>
                <w:i/>
              </w:rPr>
              <w:t>Settlement Agents Amendment Regulations (No. 4) 2007</w:t>
            </w:r>
          </w:p>
        </w:tc>
        <w:tc>
          <w:tcPr>
            <w:tcW w:w="1276" w:type="dxa"/>
          </w:tcPr>
          <w:p>
            <w:pPr>
              <w:pStyle w:val="nTable"/>
              <w:spacing w:after="40"/>
            </w:pPr>
            <w:r>
              <w:t>28 Dec 2007 p. 6407-11</w:t>
            </w:r>
          </w:p>
        </w:tc>
        <w:tc>
          <w:tcPr>
            <w:tcW w:w="2693" w:type="dxa"/>
          </w:tcPr>
          <w:p>
            <w:pPr>
              <w:pStyle w:val="nTable"/>
              <w:spacing w:after="40"/>
            </w:pPr>
            <w:r>
              <w:t>r. 1 and 2: 28 Dec 2007 (see r. 2(a));</w:t>
            </w:r>
            <w:r>
              <w:br/>
              <w:t>Regulations other than r. 1 and 2: 29 Dec 2007 (see r. 2(b))</w:t>
            </w:r>
          </w:p>
        </w:tc>
      </w:tr>
      <w:tr>
        <w:trPr>
          <w:cantSplit/>
        </w:trPr>
        <w:tc>
          <w:tcPr>
            <w:tcW w:w="7087" w:type="dxa"/>
            <w:gridSpan w:val="3"/>
          </w:tcPr>
          <w:p>
            <w:pPr>
              <w:pStyle w:val="nTable"/>
              <w:spacing w:after="40"/>
            </w:pPr>
            <w:r>
              <w:rPr>
                <w:b/>
              </w:rPr>
              <w:t xml:space="preserve">Reprint 4: The </w:t>
            </w:r>
            <w:r>
              <w:rPr>
                <w:b/>
                <w:i/>
              </w:rPr>
              <w:t>Settlement Agents Regulations 1982</w:t>
            </w:r>
            <w:r>
              <w:rPr>
                <w:b/>
              </w:rPr>
              <w:t xml:space="preserve"> as at 1 Feb 2008</w:t>
            </w:r>
            <w:r>
              <w:t xml:space="preserve"> (includes amendments listed above)</w:t>
            </w:r>
          </w:p>
        </w:tc>
      </w:tr>
      <w:tr>
        <w:trPr>
          <w:cantSplit/>
        </w:trPr>
        <w:tc>
          <w:tcPr>
            <w:tcW w:w="3118" w:type="dxa"/>
          </w:tcPr>
          <w:p>
            <w:pPr>
              <w:pStyle w:val="nTable"/>
              <w:spacing w:after="40"/>
              <w:rPr>
                <w:i/>
              </w:rPr>
            </w:pPr>
            <w:r>
              <w:rPr>
                <w:i/>
              </w:rPr>
              <w:t>Settlement Agents Amendment Regulations 2008</w:t>
            </w:r>
          </w:p>
        </w:tc>
        <w:tc>
          <w:tcPr>
            <w:tcW w:w="1276" w:type="dxa"/>
          </w:tcPr>
          <w:p>
            <w:pPr>
              <w:pStyle w:val="nTable"/>
              <w:spacing w:after="40"/>
            </w:pPr>
            <w:r>
              <w:t>17 Jun 2008 p. 2559-60</w:t>
            </w:r>
          </w:p>
        </w:tc>
        <w:tc>
          <w:tcPr>
            <w:tcW w:w="2693" w:type="dxa"/>
          </w:tcPr>
          <w:p>
            <w:pPr>
              <w:pStyle w:val="nTable"/>
              <w:spacing w:after="40"/>
            </w:pPr>
            <w:r>
              <w:rPr>
                <w:snapToGrid w:val="0"/>
              </w:rPr>
              <w:t xml:space="preserve">r. 1 and 2: </w:t>
            </w:r>
            <w:r>
              <w:t>17 Jun 2008</w:t>
            </w:r>
            <w:r>
              <w:rPr>
                <w:snapToGrid w:val="0"/>
              </w:rPr>
              <w:t xml:space="preserve"> (see r. 2(a));</w:t>
            </w:r>
            <w:r>
              <w:rPr>
                <w:snapToGrid w:val="0"/>
              </w:rPr>
              <w:br/>
              <w:t>Regulations other than r. 1 and 2: 1 Jul 2008 (see r. 2(b))</w:t>
            </w:r>
          </w:p>
        </w:tc>
      </w:tr>
      <w:tr>
        <w:trPr>
          <w:cantSplit/>
        </w:trPr>
        <w:tc>
          <w:tcPr>
            <w:tcW w:w="3118" w:type="dxa"/>
          </w:tcPr>
          <w:p>
            <w:pPr>
              <w:pStyle w:val="nTable"/>
              <w:spacing w:after="40"/>
              <w:rPr>
                <w:iCs/>
                <w:vertAlign w:val="superscript"/>
              </w:rPr>
            </w:pPr>
            <w:r>
              <w:rPr>
                <w:i/>
              </w:rPr>
              <w:t>Settlement Agents Amendment Regulations (No. 2) 2008</w:t>
            </w:r>
            <w:r>
              <w:t> </w:t>
            </w:r>
            <w:r>
              <w:rPr>
                <w:iCs/>
                <w:vertAlign w:val="superscript"/>
              </w:rPr>
              <w:t>5</w:t>
            </w:r>
          </w:p>
        </w:tc>
        <w:tc>
          <w:tcPr>
            <w:tcW w:w="1276" w:type="dxa"/>
          </w:tcPr>
          <w:p>
            <w:pPr>
              <w:pStyle w:val="nTable"/>
              <w:spacing w:after="40"/>
            </w:pPr>
            <w:r>
              <w:t>23 Dec 2008 p. 5469</w:t>
            </w:r>
            <w:r>
              <w:noBreakHyphen/>
              <w:t>70</w:t>
            </w:r>
          </w:p>
        </w:tc>
        <w:tc>
          <w:tcPr>
            <w:tcW w:w="2693" w:type="dxa"/>
          </w:tcPr>
          <w:p>
            <w:pPr>
              <w:pStyle w:val="nTable"/>
              <w:spacing w:after="40"/>
              <w:rPr>
                <w:snapToGrid w:val="0"/>
              </w:rPr>
            </w:pPr>
            <w:r>
              <w:rPr>
                <w:snapToGrid w:val="0"/>
              </w:rPr>
              <w:t>r. 1 and 2: 23 Dec 2008 (see r. 2(a));</w:t>
            </w:r>
            <w:r>
              <w:rPr>
                <w:snapToGrid w:val="0"/>
              </w:rPr>
              <w:br/>
              <w:t>Regulations other than r. 1 and 2: 24 Dec 2008 (see r. 2(b))</w:t>
            </w:r>
          </w:p>
        </w:tc>
      </w:tr>
      <w:tr>
        <w:trPr>
          <w:cantSplit/>
        </w:trPr>
        <w:tc>
          <w:tcPr>
            <w:tcW w:w="3118" w:type="dxa"/>
          </w:tcPr>
          <w:p>
            <w:pPr>
              <w:pStyle w:val="nTable"/>
              <w:spacing w:after="40"/>
              <w:rPr>
                <w:i/>
              </w:rPr>
            </w:pPr>
            <w:r>
              <w:rPr>
                <w:i/>
              </w:rPr>
              <w:t>Settlement Agents Amendment Regulations 2009</w:t>
            </w:r>
          </w:p>
        </w:tc>
        <w:tc>
          <w:tcPr>
            <w:tcW w:w="1276" w:type="dxa"/>
          </w:tcPr>
          <w:p>
            <w:pPr>
              <w:pStyle w:val="nTable"/>
              <w:spacing w:after="40"/>
            </w:pPr>
            <w:r>
              <w:t>23 Jun 2009 p. 2455</w:t>
            </w:r>
            <w:r>
              <w:noBreakHyphen/>
              <w:t>6</w:t>
            </w:r>
          </w:p>
        </w:tc>
        <w:tc>
          <w:tcPr>
            <w:tcW w:w="2693" w:type="dxa"/>
          </w:tcPr>
          <w:p>
            <w:pPr>
              <w:pStyle w:val="nTable"/>
              <w:spacing w:after="40"/>
              <w:rPr>
                <w:snapToGrid w:val="0"/>
              </w:rPr>
            </w:pPr>
            <w:r>
              <w:rPr>
                <w:snapToGrid w:val="0"/>
              </w:rPr>
              <w:t>r. 1 and 2: 23 Jun 2009 (see r. 2(a));</w:t>
            </w:r>
            <w:r>
              <w:rPr>
                <w:snapToGrid w:val="0"/>
              </w:rPr>
              <w:br/>
              <w:t>Regulations other than r. 1 and 2: 1 Jul 2009 (see r. 2(b))</w:t>
            </w:r>
          </w:p>
        </w:tc>
      </w:tr>
      <w:tr>
        <w:trPr>
          <w:cantSplit/>
        </w:trPr>
        <w:tc>
          <w:tcPr>
            <w:tcW w:w="3118" w:type="dxa"/>
          </w:tcPr>
          <w:p>
            <w:pPr>
              <w:pStyle w:val="nTable"/>
              <w:spacing w:after="40"/>
              <w:rPr>
                <w:i/>
              </w:rPr>
            </w:pPr>
            <w:r>
              <w:rPr>
                <w:i/>
              </w:rPr>
              <w:t>Settlement Agents Amendment Regulations 2010</w:t>
            </w:r>
          </w:p>
        </w:tc>
        <w:tc>
          <w:tcPr>
            <w:tcW w:w="1276" w:type="dxa"/>
          </w:tcPr>
          <w:p>
            <w:pPr>
              <w:pStyle w:val="nTable"/>
              <w:spacing w:after="40"/>
            </w:pPr>
            <w:r>
              <w:t>25 Jun 2010 p. 2852</w:t>
            </w:r>
            <w:r>
              <w:noBreakHyphen/>
              <w:t>3</w:t>
            </w:r>
          </w:p>
        </w:tc>
        <w:tc>
          <w:tcPr>
            <w:tcW w:w="2693" w:type="dxa"/>
          </w:tcPr>
          <w:p>
            <w:pPr>
              <w:pStyle w:val="nTable"/>
              <w:spacing w:after="40"/>
              <w:rPr>
                <w:snapToGrid w:val="0"/>
              </w:rPr>
            </w:pPr>
            <w:r>
              <w:rPr>
                <w:snapToGrid w:val="0"/>
              </w:rPr>
              <w:t>r. 1 and 2: 25 Jun 2010 (see r. 2(a));</w:t>
            </w:r>
            <w:r>
              <w:rPr>
                <w:snapToGrid w:val="0"/>
              </w:rPr>
              <w:br/>
              <w:t>Regulations other than r. 1 and 2: 1 Jul 2010 (see r. 2(b))</w:t>
            </w:r>
          </w:p>
        </w:tc>
      </w:tr>
      <w:tr>
        <w:trPr>
          <w:cantSplit/>
        </w:trPr>
        <w:tc>
          <w:tcPr>
            <w:tcW w:w="7087" w:type="dxa"/>
            <w:gridSpan w:val="3"/>
          </w:tcPr>
          <w:p>
            <w:pPr>
              <w:pStyle w:val="nTable"/>
              <w:spacing w:after="40"/>
              <w:rPr>
                <w:snapToGrid w:val="0"/>
                <w:spacing w:val="-2"/>
              </w:rPr>
            </w:pPr>
            <w:r>
              <w:rPr>
                <w:b/>
              </w:rPr>
              <w:t xml:space="preserve">Reprint 5: The </w:t>
            </w:r>
            <w:r>
              <w:rPr>
                <w:b/>
                <w:i/>
              </w:rPr>
              <w:t>Settlement Agents Regulations 1982</w:t>
            </w:r>
            <w:r>
              <w:rPr>
                <w:b/>
              </w:rPr>
              <w:t xml:space="preserve"> as at 20 Aug 2010</w:t>
            </w:r>
            <w:r>
              <w:t xml:space="preserve"> (includes amendments listed above)</w:t>
            </w:r>
          </w:p>
        </w:tc>
      </w:tr>
      <w:tr>
        <w:trPr>
          <w:cantSplit/>
        </w:trPr>
        <w:tc>
          <w:tcPr>
            <w:tcW w:w="3118" w:type="dxa"/>
          </w:tcPr>
          <w:p>
            <w:pPr>
              <w:pStyle w:val="nTable"/>
              <w:spacing w:after="40"/>
              <w:rPr>
                <w:i/>
              </w:rPr>
            </w:pPr>
            <w:r>
              <w:rPr>
                <w:i/>
              </w:rPr>
              <w:t>Settlement Agents Amendment Regulations 2011</w:t>
            </w:r>
          </w:p>
        </w:tc>
        <w:tc>
          <w:tcPr>
            <w:tcW w:w="1276" w:type="dxa"/>
          </w:tcPr>
          <w:p>
            <w:pPr>
              <w:pStyle w:val="nTable"/>
              <w:spacing w:after="40"/>
            </w:pPr>
            <w:r>
              <w:t>22 Jun 2011 p. 2365-6</w:t>
            </w:r>
          </w:p>
        </w:tc>
        <w:tc>
          <w:tcPr>
            <w:tcW w:w="2693" w:type="dxa"/>
          </w:tcPr>
          <w:p>
            <w:pPr>
              <w:pStyle w:val="nTable"/>
              <w:spacing w:after="40"/>
              <w:rPr>
                <w:snapToGrid w:val="0"/>
              </w:rPr>
            </w:pPr>
            <w:r>
              <w:rPr>
                <w:snapToGrid w:val="0"/>
              </w:rPr>
              <w:t>r. 1 and 2: 22 Jun 2011 (see r. 2(a));</w:t>
            </w:r>
            <w:r>
              <w:rPr>
                <w:snapToGrid w:val="0"/>
              </w:rPr>
              <w:br/>
              <w:t>Regulations other than r. 1 and 2: 1 Jul 2011 (see r. 2(b))</w:t>
            </w:r>
          </w:p>
        </w:tc>
      </w:tr>
      <w:tr>
        <w:trPr>
          <w:cantSplit/>
        </w:trPr>
        <w:tc>
          <w:tcPr>
            <w:tcW w:w="3118" w:type="dxa"/>
          </w:tcPr>
          <w:p>
            <w:pPr>
              <w:pStyle w:val="nTable"/>
              <w:spacing w:after="40"/>
              <w:rPr>
                <w:i/>
              </w:rPr>
            </w:pPr>
            <w:r>
              <w:rPr>
                <w:i/>
              </w:rPr>
              <w:t>Settlement Agents Amendment Regulations (No. 2) 2011</w:t>
            </w:r>
          </w:p>
        </w:tc>
        <w:tc>
          <w:tcPr>
            <w:tcW w:w="1276" w:type="dxa"/>
          </w:tcPr>
          <w:p>
            <w:pPr>
              <w:pStyle w:val="nTable"/>
              <w:spacing w:after="40"/>
            </w:pPr>
            <w:r>
              <w:t>30 Jun 2011 p. 2675-8</w:t>
            </w:r>
          </w:p>
        </w:tc>
        <w:tc>
          <w:tcPr>
            <w:tcW w:w="2693" w:type="dxa"/>
          </w:tcPr>
          <w:p>
            <w:pPr>
              <w:pStyle w:val="nTable"/>
              <w:spacing w:after="40"/>
              <w:rPr>
                <w:snapToGrid w:val="0"/>
              </w:rPr>
            </w:pPr>
            <w:r>
              <w:rPr>
                <w:snapToGrid w:val="0"/>
              </w:rPr>
              <w:t>r. 1 and 2: 30 Jun 2011 (see r. 2(a));</w:t>
            </w:r>
            <w:r>
              <w:rPr>
                <w:snapToGrid w:val="0"/>
              </w:rPr>
              <w:br/>
              <w:t>Regulations other than r. 1 and 2: 1 Jul 2011 (see r. 2(b))</w:t>
            </w:r>
          </w:p>
        </w:tc>
      </w:tr>
      <w:tr>
        <w:trPr>
          <w:cantSplit/>
        </w:trPr>
        <w:tc>
          <w:tcPr>
            <w:tcW w:w="3118" w:type="dxa"/>
          </w:tcPr>
          <w:p>
            <w:pPr>
              <w:pStyle w:val="nTable"/>
              <w:spacing w:after="40"/>
              <w:rPr>
                <w:i/>
              </w:rPr>
            </w:pPr>
            <w:r>
              <w:rPr>
                <w:i/>
              </w:rPr>
              <w:lastRenderedPageBreak/>
              <w:t>Settlement Agents Amendment Regulations (No. 2) 2012</w:t>
            </w:r>
          </w:p>
        </w:tc>
        <w:tc>
          <w:tcPr>
            <w:tcW w:w="1276" w:type="dxa"/>
          </w:tcPr>
          <w:p>
            <w:pPr>
              <w:pStyle w:val="nTable"/>
              <w:spacing w:after="40"/>
            </w:pPr>
            <w:r>
              <w:t>15 Jun 2012 p. 2601-2</w:t>
            </w:r>
          </w:p>
        </w:tc>
        <w:tc>
          <w:tcPr>
            <w:tcW w:w="2693" w:type="dxa"/>
          </w:tcPr>
          <w:p>
            <w:pPr>
              <w:pStyle w:val="nTable"/>
              <w:spacing w:after="40"/>
              <w:rPr>
                <w:snapToGrid w:val="0"/>
              </w:rPr>
            </w:pPr>
            <w:r>
              <w:rPr>
                <w:snapToGrid w:val="0"/>
              </w:rPr>
              <w:t>r. 1 and 2: 15 Jun 2012 (see r. 2(a));</w:t>
            </w:r>
            <w:r>
              <w:rPr>
                <w:snapToGrid w:val="0"/>
              </w:rPr>
              <w:br/>
              <w:t>Regulations other than r. 1 and 2: 1 Jul 2012 (see r. 2(b))</w:t>
            </w:r>
          </w:p>
        </w:tc>
      </w:tr>
      <w:tr>
        <w:trPr>
          <w:cantSplit/>
        </w:trPr>
        <w:tc>
          <w:tcPr>
            <w:tcW w:w="3118" w:type="dxa"/>
          </w:tcPr>
          <w:p>
            <w:pPr>
              <w:pStyle w:val="nTable"/>
              <w:spacing w:after="40"/>
              <w:rPr>
                <w:i/>
              </w:rPr>
            </w:pPr>
            <w:r>
              <w:rPr>
                <w:i/>
              </w:rPr>
              <w:t>Settlement Agents Amendment Regulations 2012</w:t>
            </w:r>
          </w:p>
        </w:tc>
        <w:tc>
          <w:tcPr>
            <w:tcW w:w="1276" w:type="dxa"/>
          </w:tcPr>
          <w:p>
            <w:pPr>
              <w:pStyle w:val="nTable"/>
              <w:spacing w:after="40"/>
            </w:pPr>
            <w:r>
              <w:t>11 Sep 2012 p. 4345-6</w:t>
            </w:r>
          </w:p>
        </w:tc>
        <w:tc>
          <w:tcPr>
            <w:tcW w:w="2693" w:type="dxa"/>
          </w:tcPr>
          <w:p>
            <w:pPr>
              <w:pStyle w:val="nTable"/>
              <w:spacing w:after="40"/>
              <w:rPr>
                <w:snapToGrid w:val="0"/>
              </w:rPr>
            </w:pPr>
            <w:r>
              <w:rPr>
                <w:snapToGrid w:val="0"/>
              </w:rPr>
              <w:t>r. 1 and 2: 11 Sep 2012 (see r. 2(a));</w:t>
            </w:r>
            <w:r>
              <w:rPr>
                <w:snapToGrid w:val="0"/>
              </w:rPr>
              <w:br/>
              <w:t>Regulations other than r. 1 and 2: 12 Sep 2012 (see r. 2(b))</w:t>
            </w:r>
          </w:p>
        </w:tc>
      </w:tr>
      <w:tr>
        <w:trPr>
          <w:cantSplit/>
        </w:trPr>
        <w:tc>
          <w:tcPr>
            <w:tcW w:w="3118" w:type="dxa"/>
            <w:shd w:val="clear" w:color="auto" w:fill="auto"/>
          </w:tcPr>
          <w:p>
            <w:pPr>
              <w:pStyle w:val="nTable"/>
              <w:spacing w:after="40"/>
              <w:rPr>
                <w:i/>
              </w:rPr>
            </w:pPr>
            <w:r>
              <w:rPr>
                <w:i/>
              </w:rPr>
              <w:t>Settlement Agents Amendment Regulations (No. 3) 2013</w:t>
            </w:r>
          </w:p>
        </w:tc>
        <w:tc>
          <w:tcPr>
            <w:tcW w:w="1276" w:type="dxa"/>
            <w:shd w:val="clear" w:color="auto" w:fill="auto"/>
          </w:tcPr>
          <w:p>
            <w:pPr>
              <w:pStyle w:val="nTable"/>
              <w:spacing w:after="40"/>
            </w:pPr>
            <w:r>
              <w:t>27 Jun 2013 p. 2701-2</w:t>
            </w:r>
          </w:p>
        </w:tc>
        <w:tc>
          <w:tcPr>
            <w:tcW w:w="2693" w:type="dxa"/>
            <w:shd w:val="clear" w:color="auto" w:fill="auto"/>
          </w:tcPr>
          <w:p>
            <w:pPr>
              <w:pStyle w:val="nTable"/>
              <w:spacing w:after="40"/>
              <w:rPr>
                <w:b/>
                <w:snapToGrid w:val="0"/>
              </w:rPr>
            </w:pPr>
            <w:r>
              <w:rPr>
                <w:snapToGrid w:val="0"/>
              </w:rPr>
              <w:t>r. 1 and 2: 27 Jun 2013 (see r. 2(a));</w:t>
            </w:r>
            <w:r>
              <w:rPr>
                <w:snapToGrid w:val="0"/>
              </w:rPr>
              <w:br/>
              <w:t>Regulations other than r. 1 and 2: 1 Jul 2013 (see r. 2(b))</w:t>
            </w:r>
          </w:p>
        </w:tc>
      </w:tr>
      <w:tr>
        <w:trPr>
          <w:cantSplit/>
        </w:trPr>
        <w:tc>
          <w:tcPr>
            <w:tcW w:w="3118" w:type="dxa"/>
            <w:shd w:val="clear" w:color="auto" w:fill="auto"/>
          </w:tcPr>
          <w:p>
            <w:pPr>
              <w:pStyle w:val="nTable"/>
              <w:spacing w:after="40"/>
              <w:rPr>
                <w:i/>
              </w:rPr>
            </w:pPr>
            <w:r>
              <w:rPr>
                <w:i/>
              </w:rPr>
              <w:t>Settlement Agents Amendment Regulations 2013</w:t>
            </w:r>
          </w:p>
        </w:tc>
        <w:tc>
          <w:tcPr>
            <w:tcW w:w="1276" w:type="dxa"/>
            <w:shd w:val="clear" w:color="auto" w:fill="auto"/>
          </w:tcPr>
          <w:p>
            <w:pPr>
              <w:pStyle w:val="nTable"/>
              <w:spacing w:after="40"/>
            </w:pPr>
            <w:r>
              <w:t>20 Aug 2013 p. 3841</w:t>
            </w:r>
          </w:p>
        </w:tc>
        <w:tc>
          <w:tcPr>
            <w:tcW w:w="2693" w:type="dxa"/>
            <w:shd w:val="clear" w:color="auto" w:fill="auto"/>
          </w:tcPr>
          <w:p>
            <w:pPr>
              <w:pStyle w:val="nTable"/>
              <w:spacing w:after="40"/>
              <w:rPr>
                <w:snapToGrid w:val="0"/>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trPr>
          <w:cantSplit/>
        </w:trPr>
        <w:tc>
          <w:tcPr>
            <w:tcW w:w="7087" w:type="dxa"/>
            <w:gridSpan w:val="3"/>
            <w:shd w:val="clear" w:color="auto" w:fill="auto"/>
          </w:tcPr>
          <w:p>
            <w:pPr>
              <w:pStyle w:val="nTable"/>
              <w:spacing w:after="40"/>
              <w:rPr>
                <w:snapToGrid w:val="0"/>
                <w:spacing w:val="-2"/>
              </w:rPr>
            </w:pPr>
            <w:r>
              <w:rPr>
                <w:b/>
              </w:rPr>
              <w:t xml:space="preserve">Reprint 6: The </w:t>
            </w:r>
            <w:r>
              <w:rPr>
                <w:b/>
                <w:i/>
              </w:rPr>
              <w:t>Settlement Agents Regulations 1982</w:t>
            </w:r>
            <w:r>
              <w:rPr>
                <w:b/>
              </w:rPr>
              <w:t xml:space="preserve"> as at 20 Sep 2013</w:t>
            </w:r>
            <w:r>
              <w:t xml:space="preserve"> (includes amendments listed above)</w:t>
            </w:r>
          </w:p>
        </w:tc>
      </w:tr>
      <w:tr>
        <w:trPr>
          <w:cantSplit/>
        </w:trPr>
        <w:tc>
          <w:tcPr>
            <w:tcW w:w="3118" w:type="dxa"/>
            <w:shd w:val="clear" w:color="auto" w:fill="auto"/>
          </w:tcPr>
          <w:p>
            <w:pPr>
              <w:pStyle w:val="nTable"/>
              <w:spacing w:after="40"/>
              <w:rPr>
                <w:i/>
              </w:rPr>
            </w:pPr>
            <w:r>
              <w:rPr>
                <w:i/>
              </w:rPr>
              <w:t>Settlement Agents Amendment Regulations (No. 2) 2013</w:t>
            </w:r>
          </w:p>
        </w:tc>
        <w:tc>
          <w:tcPr>
            <w:tcW w:w="1276" w:type="dxa"/>
            <w:shd w:val="clear" w:color="auto" w:fill="auto"/>
          </w:tcPr>
          <w:p>
            <w:pPr>
              <w:pStyle w:val="nTable"/>
              <w:spacing w:after="40"/>
            </w:pPr>
            <w:r>
              <w:t>14 Nov 2013 p. 5067</w:t>
            </w:r>
            <w:r>
              <w:noBreakHyphen/>
              <w:t>8</w:t>
            </w:r>
          </w:p>
        </w:tc>
        <w:tc>
          <w:tcPr>
            <w:tcW w:w="2693" w:type="dxa"/>
            <w:shd w:val="clear" w:color="auto" w:fill="auto"/>
          </w:tcPr>
          <w:p>
            <w:pPr>
              <w:pStyle w:val="nTable"/>
              <w:spacing w:after="40"/>
              <w:rPr>
                <w:snapToGrid w:val="0"/>
              </w:rPr>
            </w:pPr>
            <w:r>
              <w:rPr>
                <w:bCs/>
                <w:snapToGrid w:val="0"/>
              </w:rPr>
              <w:t>r. 1 and 2: 14 Nov 2013 (see r. 2(a));</w:t>
            </w:r>
            <w:r>
              <w:rPr>
                <w:bCs/>
                <w:snapToGrid w:val="0"/>
              </w:rPr>
              <w:br/>
              <w:t xml:space="preserve">Regulations other than r. 1 and 2: 18 Nov 2013 (see r. 2(b) and </w:t>
            </w:r>
            <w:r>
              <w:rPr>
                <w:bCs/>
                <w:i/>
                <w:snapToGrid w:val="0"/>
              </w:rPr>
              <w:t xml:space="preserve">Gazette </w:t>
            </w:r>
            <w:r>
              <w:rPr>
                <w:bCs/>
                <w:snapToGrid w:val="0"/>
              </w:rPr>
              <w:t>14 Nov 2013 p. 5027)</w:t>
            </w:r>
          </w:p>
        </w:tc>
      </w:tr>
      <w:tr>
        <w:trPr>
          <w:cantSplit/>
        </w:trPr>
        <w:tc>
          <w:tcPr>
            <w:tcW w:w="3118" w:type="dxa"/>
            <w:shd w:val="clear" w:color="auto" w:fill="auto"/>
          </w:tcPr>
          <w:p>
            <w:pPr>
              <w:pStyle w:val="nTable"/>
              <w:spacing w:after="40"/>
              <w:rPr>
                <w:i/>
              </w:rPr>
            </w:pPr>
            <w:r>
              <w:rPr>
                <w:i/>
              </w:rPr>
              <w:t>Settlement Agents Amendment Regulations 2014</w:t>
            </w:r>
          </w:p>
        </w:tc>
        <w:tc>
          <w:tcPr>
            <w:tcW w:w="1276" w:type="dxa"/>
            <w:shd w:val="clear" w:color="auto" w:fill="auto"/>
          </w:tcPr>
          <w:p>
            <w:pPr>
              <w:pStyle w:val="nTable"/>
              <w:spacing w:after="40"/>
            </w:pPr>
            <w:r>
              <w:t>17 Jun 2014 p. 1978-9</w:t>
            </w:r>
          </w:p>
        </w:tc>
        <w:tc>
          <w:tcPr>
            <w:tcW w:w="2693" w:type="dxa"/>
            <w:shd w:val="clear" w:color="auto" w:fill="auto"/>
          </w:tcPr>
          <w:p>
            <w:pPr>
              <w:pStyle w:val="nTable"/>
              <w:spacing w:after="40"/>
              <w:rPr>
                <w:bCs/>
                <w:snapToGrid w:val="0"/>
              </w:rPr>
            </w:pPr>
            <w:r>
              <w:rPr>
                <w:bCs/>
                <w:snapToGrid w:val="0"/>
              </w:rPr>
              <w:t>r. 1 and 2: 17 Jun 2014 (see r. 2(a));</w:t>
            </w:r>
            <w:r>
              <w:rPr>
                <w:bCs/>
                <w:snapToGrid w:val="0"/>
              </w:rPr>
              <w:br/>
              <w:t>Regulations other than r. 1 and 2: 1 Jul 2014 (see r. 2(b))</w:t>
            </w:r>
          </w:p>
        </w:tc>
      </w:tr>
      <w:tr>
        <w:trPr>
          <w:cantSplit/>
        </w:trPr>
        <w:tc>
          <w:tcPr>
            <w:tcW w:w="3118" w:type="dxa"/>
            <w:shd w:val="clear" w:color="auto" w:fill="auto"/>
          </w:tcPr>
          <w:p>
            <w:pPr>
              <w:pStyle w:val="nTable"/>
              <w:spacing w:after="40"/>
              <w:rPr>
                <w:i/>
              </w:rPr>
            </w:pPr>
            <w:r>
              <w:rPr>
                <w:i/>
              </w:rPr>
              <w:t>Settlement Agents Amendment Regulations (No. 2) 2014</w:t>
            </w:r>
          </w:p>
        </w:tc>
        <w:tc>
          <w:tcPr>
            <w:tcW w:w="1276" w:type="dxa"/>
            <w:shd w:val="clear" w:color="auto" w:fill="auto"/>
          </w:tcPr>
          <w:p>
            <w:pPr>
              <w:pStyle w:val="nTable"/>
              <w:spacing w:after="40"/>
            </w:pPr>
            <w:r>
              <w:t>18 Nov 2014 p. 4325</w:t>
            </w:r>
            <w:r>
              <w:noBreakHyphen/>
              <w:t>6</w:t>
            </w:r>
          </w:p>
        </w:tc>
        <w:tc>
          <w:tcPr>
            <w:tcW w:w="2693" w:type="dxa"/>
            <w:shd w:val="clear" w:color="auto" w:fill="auto"/>
          </w:tcPr>
          <w:p>
            <w:pPr>
              <w:pStyle w:val="nTable"/>
              <w:spacing w:after="40"/>
              <w:rPr>
                <w:bCs/>
                <w:snapToGrid w:val="0"/>
              </w:rPr>
            </w:pPr>
            <w:r>
              <w:rPr>
                <w:bCs/>
                <w:snapToGrid w:val="0"/>
                <w:spacing w:val="-2"/>
              </w:rPr>
              <w:t>r. 1 and 2: 18 Nov 2014 (see r. 2(a));</w:t>
            </w:r>
            <w:r>
              <w:rPr>
                <w:bCs/>
                <w:snapToGrid w:val="0"/>
                <w:spacing w:val="-2"/>
              </w:rPr>
              <w:br/>
              <w:t xml:space="preserve">Regulations other than r. 1 and 2: 19 Nov 2014 (see r. 2(b) and </w:t>
            </w:r>
            <w:r>
              <w:rPr>
                <w:bCs/>
                <w:i/>
                <w:snapToGrid w:val="0"/>
                <w:spacing w:val="-2"/>
              </w:rPr>
              <w:t>Gazette</w:t>
            </w:r>
            <w:r>
              <w:rPr>
                <w:bCs/>
                <w:snapToGrid w:val="0"/>
                <w:spacing w:val="-2"/>
              </w:rPr>
              <w:t xml:space="preserve"> 18 Nov 2014 p. 4315)</w:t>
            </w:r>
          </w:p>
        </w:tc>
      </w:tr>
      <w:tr>
        <w:trPr>
          <w:cantSplit/>
        </w:trPr>
        <w:tc>
          <w:tcPr>
            <w:tcW w:w="3118" w:type="dxa"/>
            <w:shd w:val="clear" w:color="auto" w:fill="auto"/>
          </w:tcPr>
          <w:p>
            <w:pPr>
              <w:pStyle w:val="nTable"/>
              <w:spacing w:after="40"/>
              <w:rPr>
                <w:i/>
              </w:rPr>
            </w:pPr>
            <w:r>
              <w:rPr>
                <w:i/>
              </w:rPr>
              <w:t>Settlement Agents Amendment Regulations 2015</w:t>
            </w:r>
          </w:p>
        </w:tc>
        <w:tc>
          <w:tcPr>
            <w:tcW w:w="1276" w:type="dxa"/>
            <w:shd w:val="clear" w:color="auto" w:fill="auto"/>
          </w:tcPr>
          <w:p>
            <w:pPr>
              <w:pStyle w:val="nTable"/>
              <w:spacing w:after="40"/>
            </w:pPr>
            <w:r>
              <w:t>23 Jun 2015 p. 2185</w:t>
            </w:r>
            <w:r>
              <w:noBreakHyphen/>
              <w:t>6</w:t>
            </w:r>
          </w:p>
        </w:tc>
        <w:tc>
          <w:tcPr>
            <w:tcW w:w="2693" w:type="dxa"/>
            <w:shd w:val="clear" w:color="auto" w:fill="auto"/>
          </w:tcPr>
          <w:p>
            <w:pPr>
              <w:pStyle w:val="nTable"/>
              <w:spacing w:after="40"/>
              <w:rPr>
                <w:bCs/>
                <w:snapToGrid w:val="0"/>
                <w:spacing w:val="-2"/>
              </w:rPr>
            </w:pPr>
            <w:r>
              <w:rPr>
                <w:bCs/>
                <w:snapToGrid w:val="0"/>
                <w:spacing w:val="-2"/>
              </w:rPr>
              <w:t xml:space="preserve">r. 1 and 2: </w:t>
            </w:r>
            <w:r>
              <w:t>23 Jun 2015</w:t>
            </w:r>
            <w:r>
              <w:rPr>
                <w:bCs/>
                <w:snapToGrid w:val="0"/>
                <w:spacing w:val="-2"/>
              </w:rPr>
              <w:t xml:space="preserve"> (see r. 2(a));</w:t>
            </w:r>
            <w:r>
              <w:rPr>
                <w:bCs/>
                <w:snapToGrid w:val="0"/>
                <w:spacing w:val="-2"/>
              </w:rPr>
              <w:br/>
              <w:t>Regulations other than r. 1 and 2: 1 Jul 2015 (see r. 2(b))</w:t>
            </w:r>
          </w:p>
        </w:tc>
      </w:tr>
      <w:tr>
        <w:trPr>
          <w:cantSplit/>
        </w:trPr>
        <w:tc>
          <w:tcPr>
            <w:tcW w:w="3118" w:type="dxa"/>
            <w:shd w:val="clear" w:color="auto" w:fill="auto"/>
          </w:tcPr>
          <w:p>
            <w:pPr>
              <w:pStyle w:val="nTable"/>
              <w:spacing w:after="40"/>
              <w:rPr>
                <w:i/>
              </w:rPr>
            </w:pPr>
            <w:r>
              <w:rPr>
                <w:i/>
              </w:rPr>
              <w:t xml:space="preserve">Commerce Regulations Amendment (Fees and Charges) Regulations 2016 </w:t>
            </w:r>
            <w:r>
              <w:t>Pt. 19</w:t>
            </w:r>
          </w:p>
        </w:tc>
        <w:tc>
          <w:tcPr>
            <w:tcW w:w="1276" w:type="dxa"/>
            <w:shd w:val="clear" w:color="auto" w:fill="auto"/>
          </w:tcPr>
          <w:p>
            <w:pPr>
              <w:pStyle w:val="nTable"/>
              <w:spacing w:after="40"/>
            </w:pPr>
            <w:r>
              <w:t>3 Jun 2016 p. 1745-73</w:t>
            </w:r>
          </w:p>
        </w:tc>
        <w:tc>
          <w:tcPr>
            <w:tcW w:w="2693" w:type="dxa"/>
            <w:shd w:val="clear" w:color="auto" w:fill="auto"/>
          </w:tcPr>
          <w:p>
            <w:pPr>
              <w:pStyle w:val="nTable"/>
              <w:spacing w:after="40"/>
              <w:rPr>
                <w:bCs/>
                <w:snapToGrid w:val="0"/>
                <w:spacing w:val="-2"/>
              </w:rPr>
            </w:pPr>
            <w:r>
              <w:rPr>
                <w:bCs/>
                <w:snapToGrid w:val="0"/>
                <w:spacing w:val="-2"/>
              </w:rPr>
              <w:t>1 Jul 2016 (see r. 2(b))</w:t>
            </w:r>
          </w:p>
        </w:tc>
      </w:tr>
      <w:tr>
        <w:trPr>
          <w:cantSplit/>
        </w:trPr>
        <w:tc>
          <w:tcPr>
            <w:tcW w:w="3118" w:type="dxa"/>
            <w:shd w:val="clear" w:color="auto" w:fill="auto"/>
          </w:tcPr>
          <w:p>
            <w:pPr>
              <w:pStyle w:val="nTable"/>
              <w:spacing w:after="40"/>
              <w:rPr>
                <w:i/>
              </w:rPr>
            </w:pPr>
            <w:r>
              <w:rPr>
                <w:i/>
              </w:rPr>
              <w:lastRenderedPageBreak/>
              <w:t>Settlement Agents Amendment Regulations 2016</w:t>
            </w:r>
          </w:p>
        </w:tc>
        <w:tc>
          <w:tcPr>
            <w:tcW w:w="1276" w:type="dxa"/>
            <w:shd w:val="clear" w:color="auto" w:fill="auto"/>
          </w:tcPr>
          <w:p>
            <w:pPr>
              <w:pStyle w:val="nTable"/>
              <w:spacing w:after="40"/>
            </w:pPr>
            <w:r>
              <w:t>4 Oct 2016 p. 4235-6</w:t>
            </w:r>
          </w:p>
        </w:tc>
        <w:tc>
          <w:tcPr>
            <w:tcW w:w="2693" w:type="dxa"/>
            <w:shd w:val="clear" w:color="auto" w:fill="auto"/>
          </w:tcPr>
          <w:p>
            <w:pPr>
              <w:pStyle w:val="nTable"/>
              <w:spacing w:after="40"/>
              <w:rPr>
                <w:snapToGrid w:val="0"/>
              </w:rPr>
            </w:pPr>
            <w:r>
              <w:rPr>
                <w:snapToGrid w:val="0"/>
              </w:rPr>
              <w:t>r. 1 and 2: 4 Oct 2016 (see r. 2(a));</w:t>
            </w:r>
            <w:r>
              <w:rPr>
                <w:snapToGrid w:val="0"/>
              </w:rPr>
              <w:br/>
              <w:t xml:space="preserve">Regulations other than r. 1 and 2: 5 Oct </w:t>
            </w:r>
            <w:r>
              <w:t>2016</w:t>
            </w:r>
            <w:r>
              <w:rPr>
                <w:snapToGrid w:val="0"/>
              </w:rPr>
              <w:t xml:space="preserve"> (see r. 2(b) and </w:t>
            </w:r>
            <w:r>
              <w:rPr>
                <w:i/>
                <w:snapToGrid w:val="0"/>
              </w:rPr>
              <w:t>Gazette</w:t>
            </w:r>
            <w:r>
              <w:rPr>
                <w:snapToGrid w:val="0"/>
              </w:rPr>
              <w:t xml:space="preserve"> 4 Oct 2016 p. 4293)</w:t>
            </w:r>
          </w:p>
        </w:tc>
      </w:tr>
      <w:tr>
        <w:trPr>
          <w:cantSplit/>
        </w:trPr>
        <w:tc>
          <w:tcPr>
            <w:tcW w:w="7087" w:type="dxa"/>
            <w:gridSpan w:val="3"/>
            <w:shd w:val="clear" w:color="auto" w:fill="auto"/>
          </w:tcPr>
          <w:p>
            <w:pPr>
              <w:pStyle w:val="nTable"/>
              <w:spacing w:after="40"/>
              <w:rPr>
                <w:bCs/>
                <w:snapToGrid w:val="0"/>
                <w:spacing w:val="-2"/>
              </w:rPr>
            </w:pPr>
            <w:r>
              <w:rPr>
                <w:b/>
                <w:bCs/>
                <w:snapToGrid w:val="0"/>
                <w:spacing w:val="-2"/>
              </w:rPr>
              <w:t xml:space="preserve">Reprint 7: The </w:t>
            </w:r>
            <w:r>
              <w:rPr>
                <w:b/>
                <w:bCs/>
                <w:i/>
                <w:noProof/>
                <w:snapToGrid w:val="0"/>
                <w:spacing w:val="-2"/>
              </w:rPr>
              <w:t>Settlement Agents Regulations 1982</w:t>
            </w:r>
            <w:r>
              <w:rPr>
                <w:b/>
                <w:bCs/>
                <w:snapToGrid w:val="0"/>
                <w:spacing w:val="-2"/>
              </w:rPr>
              <w:t xml:space="preserve"> as at 14 Oct 2016</w:t>
            </w:r>
            <w:r>
              <w:rPr>
                <w:bCs/>
                <w:snapToGrid w:val="0"/>
                <w:spacing w:val="-2"/>
              </w:rPr>
              <w:t xml:space="preserve"> (includes amendments listed above)</w:t>
            </w:r>
          </w:p>
        </w:tc>
      </w:tr>
      <w:tr>
        <w:tc>
          <w:tcPr>
            <w:tcW w:w="3118" w:type="dxa"/>
          </w:tcPr>
          <w:p>
            <w:pPr>
              <w:pStyle w:val="nTable"/>
              <w:spacing w:after="40"/>
              <w:rPr>
                <w:noProof/>
                <w:snapToGrid w:val="0"/>
              </w:rPr>
            </w:pPr>
            <w:r>
              <w:rPr>
                <w:i/>
              </w:rPr>
              <w:t xml:space="preserve">Commerce Regulations Amendment (Fees and Charges) Regulations 2017 </w:t>
            </w:r>
            <w:r>
              <w:t>Pt. 20</w:t>
            </w:r>
          </w:p>
        </w:tc>
        <w:tc>
          <w:tcPr>
            <w:tcW w:w="1276" w:type="dxa"/>
          </w:tcPr>
          <w:p>
            <w:pPr>
              <w:pStyle w:val="nTable"/>
              <w:spacing w:after="40"/>
            </w:pPr>
            <w:r>
              <w:t>23 Jun 2017 p. 3213</w:t>
            </w:r>
            <w:r>
              <w:noBreakHyphen/>
              <w:t>52</w:t>
            </w:r>
          </w:p>
        </w:tc>
        <w:tc>
          <w:tcPr>
            <w:tcW w:w="2693" w:type="dxa"/>
          </w:tcPr>
          <w:p>
            <w:pPr>
              <w:pStyle w:val="nTable"/>
              <w:spacing w:after="40"/>
            </w:pPr>
            <w:r>
              <w:t>1 Jul 2017 (see r. 2(b))</w:t>
            </w:r>
          </w:p>
        </w:tc>
      </w:tr>
      <w:tr>
        <w:tc>
          <w:tcPr>
            <w:tcW w:w="3118" w:type="dxa"/>
          </w:tcPr>
          <w:p>
            <w:pPr>
              <w:pStyle w:val="nTable"/>
              <w:spacing w:after="40"/>
              <w:rPr>
                <w:i/>
              </w:rPr>
            </w:pPr>
            <w:r>
              <w:rPr>
                <w:i/>
              </w:rPr>
              <w:t xml:space="preserve">Commerce and Industrial Relations Amendment (Fees and Charges) Regulations 2018 </w:t>
            </w:r>
            <w:r>
              <w:t>Pt. 20</w:t>
            </w:r>
          </w:p>
        </w:tc>
        <w:tc>
          <w:tcPr>
            <w:tcW w:w="1276" w:type="dxa"/>
          </w:tcPr>
          <w:p>
            <w:pPr>
              <w:pStyle w:val="nTable"/>
              <w:spacing w:after="40"/>
            </w:pPr>
            <w:r>
              <w:t>25 Jun 2018 p. 2325</w:t>
            </w:r>
            <w:r>
              <w:noBreakHyphen/>
              <w:t>53</w:t>
            </w:r>
          </w:p>
        </w:tc>
        <w:tc>
          <w:tcPr>
            <w:tcW w:w="2693" w:type="dxa"/>
          </w:tcPr>
          <w:p>
            <w:pPr>
              <w:pStyle w:val="nTable"/>
              <w:spacing w:after="40"/>
            </w:pPr>
            <w:r>
              <w:t>1 Jul 2018 (see r. 2(b))</w:t>
            </w:r>
          </w:p>
        </w:tc>
      </w:tr>
      <w:tr>
        <w:tc>
          <w:tcPr>
            <w:tcW w:w="3118" w:type="dxa"/>
          </w:tcPr>
          <w:p>
            <w:pPr>
              <w:pStyle w:val="nTable"/>
              <w:spacing w:after="40"/>
              <w:rPr>
                <w:i/>
              </w:rPr>
            </w:pPr>
            <w:r>
              <w:rPr>
                <w:i/>
              </w:rPr>
              <w:t xml:space="preserve">Commerce Regulations Amendment (Fees and Charges) Regulations 2019 </w:t>
            </w:r>
            <w:r>
              <w:t>Pt. 19</w:t>
            </w:r>
          </w:p>
        </w:tc>
        <w:tc>
          <w:tcPr>
            <w:tcW w:w="1276" w:type="dxa"/>
          </w:tcPr>
          <w:p>
            <w:pPr>
              <w:pStyle w:val="nTable"/>
              <w:spacing w:after="40"/>
            </w:pPr>
            <w:r>
              <w:t>18 Jun 2019 p. 2077</w:t>
            </w:r>
            <w:r>
              <w:noBreakHyphen/>
              <w:t>115</w:t>
            </w:r>
          </w:p>
        </w:tc>
        <w:tc>
          <w:tcPr>
            <w:tcW w:w="2693" w:type="dxa"/>
          </w:tcPr>
          <w:p>
            <w:pPr>
              <w:pStyle w:val="nTable"/>
              <w:spacing w:after="40"/>
            </w:pPr>
            <w:r>
              <w:t>1 Jul 2019 (see r. 2(b))</w:t>
            </w:r>
          </w:p>
        </w:tc>
      </w:tr>
      <w:tr>
        <w:tc>
          <w:tcPr>
            <w:tcW w:w="3118" w:type="dxa"/>
          </w:tcPr>
          <w:p>
            <w:pPr>
              <w:pStyle w:val="nTable"/>
              <w:spacing w:after="40"/>
            </w:pPr>
            <w:r>
              <w:rPr>
                <w:i/>
              </w:rPr>
              <w:t xml:space="preserve">Consumer Protection Regulations Amendment Regulations 2019 </w:t>
            </w:r>
            <w:r>
              <w:t>Pt. 6</w:t>
            </w:r>
          </w:p>
        </w:tc>
        <w:tc>
          <w:tcPr>
            <w:tcW w:w="1276" w:type="dxa"/>
          </w:tcPr>
          <w:p>
            <w:pPr>
              <w:pStyle w:val="nTable"/>
              <w:spacing w:after="40"/>
            </w:pPr>
            <w:r>
              <w:t>24 Dec 2019 p. 4416</w:t>
            </w:r>
            <w:r>
              <w:noBreakHyphen/>
              <w:t>20</w:t>
            </w:r>
          </w:p>
        </w:tc>
        <w:tc>
          <w:tcPr>
            <w:tcW w:w="2693" w:type="dxa"/>
          </w:tcPr>
          <w:p>
            <w:pPr>
              <w:pStyle w:val="nTable"/>
              <w:spacing w:after="40"/>
            </w:pPr>
            <w:r>
              <w:t xml:space="preserve">1 Jan 2020 (see r. 2(b) and </w:t>
            </w:r>
            <w:r>
              <w:rPr>
                <w:i/>
              </w:rPr>
              <w:t xml:space="preserve">Gazette </w:t>
            </w:r>
            <w:r>
              <w:t>24 Dec 2019 p. 4415)</w:t>
            </w:r>
          </w:p>
        </w:tc>
      </w:tr>
      <w:tr>
        <w:tc>
          <w:tcPr>
            <w:tcW w:w="3118" w:type="dxa"/>
          </w:tcPr>
          <w:p>
            <w:pPr>
              <w:pStyle w:val="nTable"/>
              <w:spacing w:after="40"/>
              <w:rPr>
                <w:i/>
              </w:rPr>
            </w:pPr>
            <w:r>
              <w:rPr>
                <w:i/>
              </w:rPr>
              <w:t>Commerce Regulations Amendment (Strata Titles) Regulations 2019</w:t>
            </w:r>
            <w:r>
              <w:t xml:space="preserve"> Pt. 6</w:t>
            </w:r>
          </w:p>
        </w:tc>
        <w:tc>
          <w:tcPr>
            <w:tcW w:w="1276" w:type="dxa"/>
          </w:tcPr>
          <w:p>
            <w:pPr>
              <w:pStyle w:val="nTable"/>
              <w:spacing w:after="40"/>
            </w:pPr>
            <w:r>
              <w:t>31 Dec 2019 p. 4637</w:t>
            </w:r>
            <w:r>
              <w:noBreakHyphen/>
              <w:t>46</w:t>
            </w:r>
          </w:p>
        </w:tc>
        <w:tc>
          <w:tcPr>
            <w:tcW w:w="2693" w:type="dxa"/>
          </w:tcPr>
          <w:p>
            <w:pPr>
              <w:pStyle w:val="nTable"/>
              <w:spacing w:after="40"/>
            </w:pPr>
            <w:r>
              <w:t>1 May 2020 (see r. 2(b) and SL 2020/39 cl. 2)</w:t>
            </w:r>
          </w:p>
        </w:tc>
      </w:tr>
      <w:tr>
        <w:tc>
          <w:tcPr>
            <w:tcW w:w="3118" w:type="dxa"/>
          </w:tcPr>
          <w:p>
            <w:pPr>
              <w:pStyle w:val="nTable"/>
              <w:spacing w:after="40"/>
              <w:rPr>
                <w:i/>
              </w:rPr>
            </w:pPr>
            <w:r>
              <w:rPr>
                <w:i/>
              </w:rPr>
              <w:t>Commerce Regulations Amendment (Infringement Notices) Regulations 2020</w:t>
            </w:r>
            <w:r>
              <w:t xml:space="preserve"> Pt. 25</w:t>
            </w:r>
          </w:p>
        </w:tc>
        <w:tc>
          <w:tcPr>
            <w:tcW w:w="1276" w:type="dxa"/>
          </w:tcPr>
          <w:p>
            <w:pPr>
              <w:pStyle w:val="nTable"/>
              <w:spacing w:after="40"/>
            </w:pPr>
            <w:r>
              <w:t>SL 2020/163 25 Sep 2020</w:t>
            </w:r>
          </w:p>
        </w:tc>
        <w:tc>
          <w:tcPr>
            <w:tcW w:w="2693" w:type="dxa"/>
          </w:tcPr>
          <w:p>
            <w:pPr>
              <w:pStyle w:val="nTable"/>
              <w:spacing w:after="40"/>
            </w:pPr>
            <w:r>
              <w:t>29 Sep 2020 (see r. 2(b) and SL 2020/159 cl. 2(a))</w:t>
            </w:r>
          </w:p>
        </w:tc>
      </w:tr>
      <w:tr>
        <w:tc>
          <w:tcPr>
            <w:tcW w:w="3118" w:type="dxa"/>
          </w:tcPr>
          <w:p>
            <w:pPr>
              <w:pStyle w:val="nTable"/>
              <w:spacing w:after="40"/>
              <w:rPr>
                <w:i/>
              </w:rPr>
            </w:pPr>
            <w:r>
              <w:rPr>
                <w:i/>
              </w:rPr>
              <w:t>Commerce Regulations Amendment (COVID</w:t>
            </w:r>
            <w:r>
              <w:rPr>
                <w:i/>
              </w:rPr>
              <w:noBreakHyphen/>
              <w:t xml:space="preserve">19 Response) Regulations (No. 2) 2020 </w:t>
            </w:r>
            <w:r>
              <w:t>Pt. 17</w:t>
            </w:r>
          </w:p>
        </w:tc>
        <w:tc>
          <w:tcPr>
            <w:tcW w:w="1276" w:type="dxa"/>
          </w:tcPr>
          <w:p>
            <w:pPr>
              <w:pStyle w:val="nTable"/>
              <w:spacing w:after="40"/>
            </w:pPr>
            <w:r>
              <w:t>SL 2020/196 27 Oct 2020</w:t>
            </w:r>
          </w:p>
        </w:tc>
        <w:tc>
          <w:tcPr>
            <w:tcW w:w="2693" w:type="dxa"/>
          </w:tcPr>
          <w:p>
            <w:pPr>
              <w:pStyle w:val="nTable"/>
              <w:spacing w:after="40"/>
            </w:pPr>
            <w:r>
              <w:t>28 Oct 2020 (see r. 2(b))</w:t>
            </w:r>
          </w:p>
        </w:tc>
      </w:tr>
      <w:tr>
        <w:tc>
          <w:tcPr>
            <w:tcW w:w="3118" w:type="dxa"/>
          </w:tcPr>
          <w:p>
            <w:pPr>
              <w:pStyle w:val="nTable"/>
              <w:spacing w:after="40"/>
              <w:rPr>
                <w:i/>
              </w:rPr>
            </w:pPr>
            <w:r>
              <w:rPr>
                <w:i/>
              </w:rPr>
              <w:t>Settlement Agents Amendment Regulations 2020</w:t>
            </w:r>
          </w:p>
        </w:tc>
        <w:tc>
          <w:tcPr>
            <w:tcW w:w="1276" w:type="dxa"/>
          </w:tcPr>
          <w:p>
            <w:pPr>
              <w:pStyle w:val="nTable"/>
              <w:spacing w:after="40"/>
            </w:pPr>
            <w:r>
              <w:t>SL 2020/259 24 Dec 2020</w:t>
            </w:r>
          </w:p>
        </w:tc>
        <w:tc>
          <w:tcPr>
            <w:tcW w:w="2693" w:type="dxa"/>
          </w:tcPr>
          <w:p>
            <w:pPr>
              <w:pStyle w:val="nTable"/>
              <w:spacing w:after="40"/>
            </w:pPr>
            <w:r>
              <w:t>r. 1 and 2: 24 Dec 2020 (see r. 2(a));</w:t>
            </w:r>
            <w:r>
              <w:br/>
              <w:t>Regulations other than r. 1 and 2: 1 Jan 2021 (see r. 2(b))</w:t>
            </w:r>
          </w:p>
        </w:tc>
      </w:tr>
      <w:tr>
        <w:tc>
          <w:tcPr>
            <w:tcW w:w="3118" w:type="dxa"/>
          </w:tcPr>
          <w:p>
            <w:pPr>
              <w:pStyle w:val="nTable"/>
              <w:spacing w:after="40"/>
              <w:rPr>
                <w:i/>
              </w:rPr>
            </w:pPr>
            <w:r>
              <w:rPr>
                <w:i/>
              </w:rPr>
              <w:t xml:space="preserve">Commerce Regulations Amendment (Community Titles) Regulations 2021 </w:t>
            </w:r>
            <w:r>
              <w:t>Pt. 8</w:t>
            </w:r>
          </w:p>
        </w:tc>
        <w:tc>
          <w:tcPr>
            <w:tcW w:w="1276" w:type="dxa"/>
          </w:tcPr>
          <w:p>
            <w:pPr>
              <w:pStyle w:val="nTable"/>
              <w:spacing w:after="40"/>
            </w:pPr>
            <w:r>
              <w:t>SL 2021/71 18 Jun 2021</w:t>
            </w:r>
          </w:p>
        </w:tc>
        <w:tc>
          <w:tcPr>
            <w:tcW w:w="2693" w:type="dxa"/>
          </w:tcPr>
          <w:p>
            <w:pPr>
              <w:pStyle w:val="nTable"/>
              <w:spacing w:after="40"/>
            </w:pPr>
            <w:r>
              <w:t>30 Jun 2021 (see r. 2(b) and SL 2021/69 cl. 2)</w:t>
            </w:r>
          </w:p>
        </w:tc>
      </w:tr>
      <w:tr>
        <w:tc>
          <w:tcPr>
            <w:tcW w:w="3118" w:type="dxa"/>
          </w:tcPr>
          <w:p>
            <w:pPr>
              <w:pStyle w:val="nTable"/>
              <w:spacing w:after="40"/>
              <w:rPr>
                <w:i/>
              </w:rPr>
            </w:pPr>
            <w:r>
              <w:rPr>
                <w:i/>
              </w:rPr>
              <w:t>Commerce Regulations Amendment (Fees and Charges) Regulations 2021</w:t>
            </w:r>
            <w:r>
              <w:t xml:space="preserve"> Pt. 20</w:t>
            </w:r>
          </w:p>
        </w:tc>
        <w:tc>
          <w:tcPr>
            <w:tcW w:w="1276" w:type="dxa"/>
          </w:tcPr>
          <w:p>
            <w:pPr>
              <w:pStyle w:val="nTable"/>
              <w:spacing w:after="40"/>
            </w:pPr>
            <w:r>
              <w:t>SL 2021/86 21 Jun 2021</w:t>
            </w:r>
          </w:p>
        </w:tc>
        <w:tc>
          <w:tcPr>
            <w:tcW w:w="2693" w:type="dxa"/>
          </w:tcPr>
          <w:p>
            <w:pPr>
              <w:pStyle w:val="nTable"/>
              <w:spacing w:after="40"/>
            </w:pPr>
            <w:r>
              <w:t>1 Jul 2021 (see r. 2(b))</w:t>
            </w:r>
          </w:p>
        </w:tc>
      </w:tr>
      <w:tr>
        <w:tc>
          <w:tcPr>
            <w:tcW w:w="3118" w:type="dxa"/>
          </w:tcPr>
          <w:p>
            <w:pPr>
              <w:pStyle w:val="nTable"/>
              <w:spacing w:after="40"/>
              <w:rPr>
                <w:i/>
              </w:rPr>
            </w:pPr>
            <w:r>
              <w:rPr>
                <w:i/>
              </w:rPr>
              <w:t>Settlement Agents Amendment Regulations 2021</w:t>
            </w:r>
          </w:p>
        </w:tc>
        <w:tc>
          <w:tcPr>
            <w:tcW w:w="1276" w:type="dxa"/>
          </w:tcPr>
          <w:p>
            <w:pPr>
              <w:pStyle w:val="nTable"/>
              <w:spacing w:after="40"/>
            </w:pPr>
            <w:r>
              <w:t>SL 2021/202 3 Dec 2021</w:t>
            </w:r>
          </w:p>
        </w:tc>
        <w:tc>
          <w:tcPr>
            <w:tcW w:w="2693" w:type="dxa"/>
          </w:tcPr>
          <w:p>
            <w:pPr>
              <w:pStyle w:val="nTable"/>
              <w:spacing w:after="40"/>
            </w:pPr>
            <w:r>
              <w:t>r. 1 and 2: 3 Dec 2021 (see r. 2(a));</w:t>
            </w:r>
            <w:r>
              <w:br/>
              <w:t>Regulations other than r. 1 and 2: 4 Dec 2021 (see r. 2(b))</w:t>
            </w:r>
          </w:p>
        </w:tc>
      </w:tr>
      <w:tr>
        <w:tc>
          <w:tcPr>
            <w:tcW w:w="3118" w:type="dxa"/>
          </w:tcPr>
          <w:p>
            <w:pPr>
              <w:pStyle w:val="nTable"/>
              <w:spacing w:after="40"/>
              <w:rPr>
                <w:i/>
              </w:rPr>
            </w:pPr>
            <w:r>
              <w:rPr>
                <w:i/>
              </w:rPr>
              <w:lastRenderedPageBreak/>
              <w:t>Commerce Regulations Amendment (Fees and Charges) Regulations 2022</w:t>
            </w:r>
            <w:r>
              <w:t xml:space="preserve"> Pt. 17</w:t>
            </w:r>
          </w:p>
        </w:tc>
        <w:tc>
          <w:tcPr>
            <w:tcW w:w="1276" w:type="dxa"/>
          </w:tcPr>
          <w:p>
            <w:pPr>
              <w:pStyle w:val="nTable"/>
              <w:spacing w:after="40"/>
            </w:pPr>
            <w:r>
              <w:t>SL 2022/59 20 May 2022</w:t>
            </w:r>
          </w:p>
        </w:tc>
        <w:tc>
          <w:tcPr>
            <w:tcW w:w="2693" w:type="dxa"/>
          </w:tcPr>
          <w:p>
            <w:pPr>
              <w:pStyle w:val="nTable"/>
              <w:spacing w:after="40"/>
            </w:pPr>
            <w:r>
              <w:t>1 Jul 2022 (see r. 2(b))</w:t>
            </w:r>
          </w:p>
        </w:tc>
      </w:tr>
      <w:tr>
        <w:tc>
          <w:tcPr>
            <w:tcW w:w="3118" w:type="dxa"/>
            <w:tcBorders>
              <w:bottom w:val="single" w:sz="4" w:space="0" w:color="auto"/>
            </w:tcBorders>
          </w:tcPr>
          <w:p>
            <w:pPr>
              <w:pStyle w:val="nTable"/>
              <w:spacing w:after="40"/>
              <w:rPr>
                <w:i/>
              </w:rPr>
            </w:pPr>
            <w:r>
              <w:rPr>
                <w:i/>
              </w:rPr>
              <w:t>Commerce Regulations Amendment (Fees and Charges) Regulations 2023</w:t>
            </w:r>
            <w:r>
              <w:t xml:space="preserve"> Pt. 17</w:t>
            </w:r>
          </w:p>
        </w:tc>
        <w:tc>
          <w:tcPr>
            <w:tcW w:w="1276" w:type="dxa"/>
            <w:tcBorders>
              <w:bottom w:val="single" w:sz="4" w:space="0" w:color="auto"/>
            </w:tcBorders>
          </w:tcPr>
          <w:p>
            <w:pPr>
              <w:pStyle w:val="nTable"/>
              <w:spacing w:after="40"/>
            </w:pPr>
            <w:r>
              <w:t>SL 2023/35 5 May 2023</w:t>
            </w:r>
          </w:p>
        </w:tc>
        <w:tc>
          <w:tcPr>
            <w:tcW w:w="2693" w:type="dxa"/>
            <w:tcBorders>
              <w:bottom w:val="single" w:sz="4" w:space="0" w:color="auto"/>
            </w:tcBorders>
          </w:tcPr>
          <w:p>
            <w:pPr>
              <w:pStyle w:val="nTable"/>
              <w:spacing w:after="40"/>
            </w:pPr>
            <w:r>
              <w:t>1 Jul 2023 (see r. 2(b))</w:t>
            </w:r>
          </w:p>
        </w:tc>
      </w:tr>
    </w:tbl>
    <w:p>
      <w:pPr>
        <w:pStyle w:val="nHeading3"/>
      </w:pPr>
      <w:bookmarkStart w:id="50" w:name="_Toc155172985"/>
      <w:r>
        <w:t>Other notes</w:t>
      </w:r>
      <w:bookmarkEnd w:id="50"/>
    </w:p>
    <w:p>
      <w:pPr>
        <w:pStyle w:val="nNote"/>
        <w:keepNext/>
        <w:keepLines/>
        <w:spacing w:before="160"/>
      </w:pPr>
      <w:r>
        <w:rPr>
          <w:vertAlign w:val="superscript"/>
        </w:rPr>
        <w:t>1</w:t>
      </w:r>
      <w:r>
        <w:tab/>
        <w:t xml:space="preserve">Schedule 2 clause 2(fa) was deleted by the </w:t>
      </w:r>
      <w:r>
        <w:rPr>
          <w:i/>
        </w:rPr>
        <w:t>Personal Property Securities (Consequential Repeals and Amendments) Act 2011</w:t>
      </w:r>
      <w:r>
        <w:t xml:space="preserve"> s. 59.</w:t>
      </w:r>
    </w:p>
    <w:p>
      <w:pPr>
        <w:pStyle w:val="nNote"/>
        <w:keepNext/>
        <w:keepLines/>
      </w:pPr>
      <w:r>
        <w:rPr>
          <w:vertAlign w:val="superscript"/>
        </w:rPr>
        <w:t>2</w:t>
      </w:r>
      <w:r>
        <w:tab/>
        <w:t xml:space="preserve">Repealed by the </w:t>
      </w:r>
      <w:r>
        <w:rPr>
          <w:i/>
        </w:rPr>
        <w:t xml:space="preserve">Personal Property Securities (Consequential Repeals and Amendments) Act 2011 </w:t>
      </w:r>
      <w:r>
        <w:t>s. 32(1).</w:t>
      </w:r>
    </w:p>
    <w:p>
      <w:pPr>
        <w:pStyle w:val="nNote"/>
      </w:pPr>
      <w:r>
        <w:rPr>
          <w:vertAlign w:val="superscript"/>
        </w:rPr>
        <w:t>3</w:t>
      </w:r>
      <w:r>
        <w:tab/>
        <w:t xml:space="preserve">These regulations were in place of the </w:t>
      </w:r>
      <w:r>
        <w:rPr>
          <w:i/>
        </w:rPr>
        <w:t xml:space="preserve">Settlement Agents Amendment Regulations 1996 </w:t>
      </w:r>
      <w:r>
        <w:t xml:space="preserve">published in </w:t>
      </w:r>
      <w:r>
        <w:rPr>
          <w:i/>
        </w:rPr>
        <w:t>Gazette</w:t>
      </w:r>
      <w:r>
        <w:t xml:space="preserve"> 5 Jul 1996 p. 3224</w:t>
      </w:r>
      <w:r>
        <w:noBreakHyphen/>
        <w:t>5.</w:t>
      </w:r>
      <w:r>
        <w:br/>
      </w:r>
      <w:r>
        <w:rPr>
          <w:spacing w:val="-1"/>
        </w:rPr>
        <w:t xml:space="preserve">Those regulations were published in the </w:t>
      </w:r>
      <w:r>
        <w:rPr>
          <w:i/>
          <w:spacing w:val="-1"/>
        </w:rPr>
        <w:t>Gazette</w:t>
      </w:r>
      <w:r>
        <w:rPr>
          <w:spacing w:val="-1"/>
        </w:rPr>
        <w:t xml:space="preserve"> after the day on which they purported to commence (1 Jul 1996 — see proclamation published in </w:t>
      </w:r>
      <w:r>
        <w:rPr>
          <w:i/>
          <w:spacing w:val="-1"/>
        </w:rPr>
        <w:t>Gazette</w:t>
      </w:r>
      <w:r>
        <w:rPr>
          <w:spacing w:val="-1"/>
        </w:rPr>
        <w:t xml:space="preserve"> 1 Jul 1996 p. 3179 fixing 1 Jul 1996 as the day on which Part 9 of the </w:t>
      </w:r>
      <w:r>
        <w:rPr>
          <w:i/>
          <w:spacing w:val="-1"/>
        </w:rPr>
        <w:t>Business Licensing Amendment Act 1995</w:t>
      </w:r>
      <w:r>
        <w:rPr>
          <w:spacing w:val="-1"/>
        </w:rPr>
        <w:t xml:space="preserve"> came into operation).</w:t>
      </w:r>
    </w:p>
    <w:p>
      <w:pPr>
        <w:pStyle w:val="nNote"/>
        <w:keepNext/>
        <w:keepLines/>
      </w:pPr>
      <w:r>
        <w:rPr>
          <w:vertAlign w:val="superscript"/>
        </w:rPr>
        <w:t>4</w:t>
      </w:r>
      <w:r>
        <w:tab/>
        <w:t xml:space="preserve">The </w:t>
      </w:r>
      <w:r>
        <w:rPr>
          <w:i/>
        </w:rPr>
        <w:t>Settlement Agents Amendment Regulations (No. 2) 2004</w:t>
      </w:r>
      <w:r>
        <w:t xml:space="preserve"> r. 4 (as amended in </w:t>
      </w:r>
      <w:r>
        <w:rPr>
          <w:i/>
        </w:rPr>
        <w:t>Gazette</w:t>
      </w:r>
      <w:r>
        <w:t xml:space="preserve"> 21 Jan 2005 p. 258 and 16 Jun 2006 p. 2122) reads as follows:</w:t>
      </w:r>
    </w:p>
    <w:p>
      <w:pPr>
        <w:pStyle w:val="BlankOpen"/>
      </w:pPr>
    </w:p>
    <w:p>
      <w:pPr>
        <w:pStyle w:val="nzHeading5"/>
        <w:spacing w:before="0"/>
      </w:pPr>
      <w:r>
        <w:rPr>
          <w:rStyle w:val="CharSectno"/>
        </w:rPr>
        <w:t>4</w:t>
      </w:r>
      <w:r>
        <w:t>.</w:t>
      </w:r>
      <w:r>
        <w:tab/>
        <w:t>Transitional</w:t>
      </w:r>
    </w:p>
    <w:p>
      <w:pPr>
        <w:pStyle w:val="nzSubsection"/>
      </w:pPr>
      <w:r>
        <w:tab/>
      </w:r>
      <w:r>
        <w:tab/>
        <w:t>Despite the repeal effected by regulation 3, in relation to an application for a licence made under Part III of the Act before 1 July 2007, a person is taken to have passed the examinations prescribed for the purposes of clause 1(1)(a) or 2(1)(a) of Schedule 1 to the Act if the person has passed the examinations —</w:t>
      </w:r>
    </w:p>
    <w:p>
      <w:pPr>
        <w:pStyle w:val="nzIndenta"/>
      </w:pPr>
      <w:r>
        <w:tab/>
        <w:t>(a)</w:t>
      </w:r>
      <w:r>
        <w:tab/>
        <w:t>prescribed by the repealed regulation 6; or</w:t>
      </w:r>
    </w:p>
    <w:p>
      <w:pPr>
        <w:pStyle w:val="nzIndenta"/>
      </w:pPr>
      <w:r>
        <w:tab/>
        <w:t>(b)</w:t>
      </w:r>
      <w:r>
        <w:tab/>
        <w:t xml:space="preserve">required to be passed for the conferring by a college (within the meaning of the </w:t>
      </w:r>
      <w:r>
        <w:rPr>
          <w:i/>
        </w:rPr>
        <w:t>Vocational Education and Training Act 1996</w:t>
      </w:r>
      <w:r>
        <w:t>) of —</w:t>
      </w:r>
    </w:p>
    <w:p>
      <w:pPr>
        <w:pStyle w:val="nzIndenti"/>
      </w:pPr>
      <w:r>
        <w:tab/>
        <w:t>(i)</w:t>
      </w:r>
      <w:r>
        <w:tab/>
        <w:t>a Certificate in Settlement Agency Procedure; or</w:t>
      </w:r>
    </w:p>
    <w:p>
      <w:pPr>
        <w:pStyle w:val="nzIndenti"/>
      </w:pPr>
      <w:r>
        <w:tab/>
        <w:t>(ii)</w:t>
      </w:r>
      <w:r>
        <w:tab/>
        <w:t>a Certificate IV in Conveyancing.</w:t>
      </w:r>
    </w:p>
    <w:p>
      <w:pPr>
        <w:pStyle w:val="nzMiscellaneousBody"/>
        <w:tabs>
          <w:tab w:val="left" w:pos="1418"/>
          <w:tab w:val="left" w:pos="2268"/>
        </w:tabs>
        <w:ind w:left="1440" w:hanging="873"/>
        <w:rPr>
          <w:i/>
        </w:rPr>
      </w:pPr>
      <w:r>
        <w:rPr>
          <w:i/>
        </w:rPr>
        <w:tab/>
        <w:t>[Regulation 4 amended: Gazette 21 Jan 2005 p. 258; 16 Jun 2006 p. 2122.]</w:t>
      </w:r>
    </w:p>
    <w:p>
      <w:pPr>
        <w:pStyle w:val="BlankClose"/>
      </w:pPr>
    </w:p>
    <w:p>
      <w:pPr>
        <w:pStyle w:val="nNote"/>
        <w:keepNext/>
        <w:keepLines/>
      </w:pPr>
      <w:r>
        <w:rPr>
          <w:vertAlign w:val="superscript"/>
        </w:rPr>
        <w:lastRenderedPageBreak/>
        <w:t>5</w:t>
      </w:r>
      <w:r>
        <w:rPr>
          <w:vertAlign w:val="superscript"/>
        </w:rPr>
        <w:tab/>
      </w:r>
      <w:r>
        <w:t xml:space="preserve">The </w:t>
      </w:r>
      <w:r>
        <w:rPr>
          <w:i/>
          <w:iCs/>
        </w:rPr>
        <w:t>Settlement Agents Amendment Regulations (No. 2) 2008</w:t>
      </w:r>
      <w:r>
        <w:t xml:space="preserve"> were published on 23 Dec 2008 p. 5469</w:t>
      </w:r>
      <w:r>
        <w:noBreakHyphen/>
        <w:t>70 and again on 30 Dec 2008 p. 5640-1. The publication of 30 Dec 2008 has no effect.</w:t>
      </w:r>
    </w:p>
    <w:p/>
    <w:p>
      <w:pPr>
        <w:sectPr>
          <w:headerReference w:type="even" r:id="rId28"/>
          <w:headerReference w:type="default" r:id="rId29"/>
          <w:pgSz w:w="11907" w:h="16840" w:code="9"/>
          <w:pgMar w:top="2376" w:right="2404" w:bottom="3544" w:left="2404" w:header="720" w:footer="3544" w:gutter="0"/>
          <w:cols w:space="720"/>
          <w:noEndnote/>
          <w:docGrid w:linePitch="326"/>
        </w:sectPr>
      </w:pPr>
    </w:p>
    <w:p>
      <w:pPr>
        <w:pStyle w:val="nHeading2"/>
        <w:rPr>
          <w:sz w:val="28"/>
        </w:rPr>
      </w:pPr>
      <w:bookmarkStart w:id="52" w:name="_Toc155172986"/>
      <w:r>
        <w:rPr>
          <w:sz w:val="28"/>
        </w:rPr>
        <w:lastRenderedPageBreak/>
        <w:t>Defined terms</w:t>
      </w:r>
      <w:bookmarkEnd w:id="5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applicant</w:t>
      </w:r>
      <w:r>
        <w:tab/>
        <w:t>4C(1)</w:t>
      </w:r>
    </w:p>
    <w:p>
      <w:pPr>
        <w:pStyle w:val="DefinedTerms"/>
      </w:pPr>
      <w:r>
        <w:t>approved educational activity</w:t>
      </w:r>
      <w:r>
        <w:tab/>
        <w:t>2</w:t>
      </w:r>
    </w:p>
    <w:p>
      <w:pPr>
        <w:pStyle w:val="DefinedTerms"/>
      </w:pPr>
      <w:r>
        <w:t>commencement day</w:t>
      </w:r>
      <w:r>
        <w:tab/>
        <w:t>18(1)</w:t>
      </w:r>
    </w:p>
    <w:p>
      <w:pPr>
        <w:pStyle w:val="DefinedTerms"/>
      </w:pPr>
      <w:r>
        <w:t>core professional development subject</w:t>
      </w:r>
      <w:r>
        <w:tab/>
        <w:t>2</w:t>
      </w:r>
    </w:p>
    <w:p>
      <w:pPr>
        <w:pStyle w:val="DefinedTerms"/>
      </w:pPr>
      <w:r>
        <w:t>educational activity</w:t>
      </w:r>
      <w:r>
        <w:tab/>
        <w:t>2</w:t>
      </w:r>
    </w:p>
    <w:p>
      <w:pPr>
        <w:pStyle w:val="DefinedTerms"/>
      </w:pPr>
      <w:r>
        <w:t>former regulation 4C</w:t>
      </w:r>
      <w:r>
        <w:tab/>
        <w:t>18(1)</w:t>
      </w:r>
    </w:p>
    <w:p>
      <w:pPr>
        <w:pStyle w:val="DefinedTerms"/>
      </w:pPr>
      <w:r>
        <w:t>holding fee</w:t>
      </w:r>
      <w:r>
        <w:tab/>
        <w:t>4A(1)</w:t>
      </w:r>
    </w:p>
    <w:p>
      <w:pPr>
        <w:pStyle w:val="DefinedTerms"/>
      </w:pPr>
      <w:r>
        <w:t>point value</w:t>
      </w:r>
      <w:r>
        <w:tab/>
        <w:t>2</w:t>
      </w:r>
    </w:p>
    <w:p>
      <w:pPr>
        <w:pStyle w:val="DefinedTerms"/>
      </w:pPr>
      <w:r>
        <w:t>professional development subject</w:t>
      </w:r>
      <w:r>
        <w:tab/>
        <w:t>2</w:t>
      </w:r>
    </w:p>
    <w:p>
      <w:pPr>
        <w:pStyle w:val="DefinedTerms"/>
      </w:pPr>
      <w:r>
        <w:t>public training provider</w:t>
      </w:r>
      <w:r>
        <w:tab/>
        <w:t>6(1)</w:t>
      </w:r>
    </w:p>
    <w:p>
      <w:pPr>
        <w:pStyle w:val="DefinedTerms"/>
      </w:pPr>
      <w:r>
        <w:t>record</w:t>
      </w:r>
      <w:r>
        <w:tab/>
        <w:t>2</w:t>
      </w:r>
    </w:p>
    <w:p>
      <w:pPr>
        <w:pStyle w:val="DefinedTerms"/>
      </w:pPr>
      <w:r>
        <w:t>register</w:t>
      </w:r>
      <w:r>
        <w:tab/>
        <w:t>2</w:t>
      </w:r>
    </w:p>
    <w:p>
      <w:pPr>
        <w:pStyle w:val="DefinedTerms"/>
      </w:pPr>
      <w:r>
        <w:t>registered training provider</w:t>
      </w:r>
      <w:r>
        <w:tab/>
        <w:t>6(1)</w:t>
      </w:r>
    </w:p>
    <w:p>
      <w:pPr>
        <w:pStyle w:val="DefinedTerms"/>
      </w:pPr>
      <w:r>
        <w:t>relevant bank accepted bills rate</w:t>
      </w:r>
      <w:r>
        <w:tab/>
        <w:t>6D(2)</w:t>
      </w:r>
    </w:p>
    <w:p>
      <w:pPr>
        <w:pStyle w:val="DefinedTerms"/>
      </w:pPr>
      <w:r>
        <w:t>working day</w:t>
      </w:r>
      <w:r>
        <w:tab/>
        <w:t>2</w:t>
      </w:r>
    </w:p>
    <w:p/>
    <w:p>
      <w:pPr>
        <w:sectPr>
          <w:headerReference w:type="even" r:id="rId30"/>
          <w:headerReference w:type="default" r:id="rId31"/>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6432"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4CEABE8F" id="_x0000_t202" coordsize="21600,21600" o:spt="202" path="m,l,21600r21600,l21600,xe">
                <v:stroke joinstyle="miter"/>
                <v:path gradientshapeok="t" o:connecttype="rect"/>
              </v:shapetype>
              <v:shape id="Authority" o:spid="_x0000_s1026" type="#_x0000_t202" style="position:absolute;margin-left:0;margin-top:591pt;width:10pt;height:51pt;z-index:251666432;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67E21A98" w14:textId="629062F9" w:rsidR="009F6856" w:rsidRDefault="009F6856">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68231E85" w14:textId="77777777" w:rsidR="009F6856" w:rsidRDefault="009F6856">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2656C456" w14:textId="3E599C7E" w:rsidR="009F6856" w:rsidRDefault="009F6856">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69B6DFEC" w14:textId="77777777" w:rsidR="009F6856" w:rsidRDefault="009F6856">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81" w:right="2410" w:bottom="2977" w:left="2410" w:header="720" w:footer="3544"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07-s0-01</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07-s0-01</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07-s0-01</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xlii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07-s0-01</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xli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07-s0-01</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07-s0-01</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bl>
  <w:p>
    <w:pPr>
      <w:pStyle w:val="Header"/>
      <w:pBdr>
        <w:top w:val="single" w:sz="4" w:space="1" w:color="auto"/>
      </w:pBdr>
    </w:pPr>
    <w:bookmarkStart w:id="47" w:name="Schedule"/>
    <w:bookmarkEnd w:id="4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51" w:name="Compilation"/>
    <w:bookmarkEnd w:id="51"/>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3" w:name="DefinedTerms"/>
    <w:bookmarkEnd w:id="53"/>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4" w:name="Coversheet"/>
    <w:bookmarkEnd w:id="5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14"/>
      <w:gridCol w:w="5749"/>
    </w:tblGrid>
    <w:tr>
      <w:trPr>
        <w:jc w:val="center"/>
      </w:trPr>
      <w:tc>
        <w:tcPr>
          <w:tcW w:w="7263" w:type="dxa"/>
          <w:gridSpan w:val="2"/>
          <w:vAlign w:val="bottom"/>
        </w:tcPr>
        <w:p>
          <w:pPr>
            <w:pStyle w:val="Header"/>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rPr>
        <w:jc w:val="center"/>
      </w:trPr>
      <w:tc>
        <w:tcPr>
          <w:tcW w:w="1514" w:type="dxa"/>
        </w:tcPr>
        <w:p>
          <w:pPr>
            <w:pStyle w:val="Header"/>
            <w:spacing w:before="40"/>
          </w:pPr>
          <w:r>
            <w:rPr>
              <w:b/>
            </w:rPr>
            <w:fldChar w:fldCharType="begin"/>
          </w:r>
          <w:r>
            <w:rPr>
              <w:b/>
            </w:rPr>
            <w:instrText xml:space="preserve"> STYLEREF CharPartNo </w:instrText>
          </w:r>
          <w:r>
            <w:rPr>
              <w:b/>
            </w:rPr>
            <w:fldChar w:fldCharType="end"/>
          </w:r>
        </w:p>
      </w:tc>
      <w:tc>
        <w:tcPr>
          <w:tcW w:w="5749" w:type="dxa"/>
          <w:vAlign w:val="bottom"/>
        </w:tcPr>
        <w:p>
          <w:pPr>
            <w:pStyle w:val="Header"/>
            <w:spacing w:before="40"/>
          </w:pPr>
          <w:r>
            <w:fldChar w:fldCharType="begin"/>
          </w:r>
          <w:r>
            <w:instrText xml:space="preserve"> STYLEREF CharPartText </w:instrText>
          </w:r>
          <w:r>
            <w:fldChar w:fldCharType="end"/>
          </w:r>
        </w:p>
      </w:tc>
    </w:tr>
    <w:tr>
      <w:trPr>
        <w:jc w:val="center"/>
      </w:trPr>
      <w:tc>
        <w:tcPr>
          <w:tcW w:w="1514" w:type="dxa"/>
        </w:tcPr>
        <w:p>
          <w:pPr>
            <w:pStyle w:val="Header"/>
            <w:spacing w:before="40"/>
          </w:pPr>
          <w:r>
            <w:rPr>
              <w:b/>
            </w:rPr>
            <w:fldChar w:fldCharType="begin"/>
          </w:r>
          <w:r>
            <w:rPr>
              <w:b/>
            </w:rPr>
            <w:instrText xml:space="preserve"> STYLEREF CharDivNo </w:instrText>
          </w:r>
          <w:r>
            <w:rPr>
              <w:b/>
            </w:rPr>
            <w:fldChar w:fldCharType="end"/>
          </w:r>
        </w:p>
      </w:tc>
      <w:tc>
        <w:tcPr>
          <w:tcW w:w="5749"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42"/>
      <w:gridCol w:w="1521"/>
    </w:tblGrid>
    <w:tr>
      <w:trPr>
        <w:jc w:val="center"/>
      </w:trPr>
      <w:tc>
        <w:tcPr>
          <w:tcW w:w="7263" w:type="dxa"/>
          <w:gridSpan w:val="2"/>
          <w:vAlign w:val="bottom"/>
        </w:tcPr>
        <w:p>
          <w:pPr>
            <w:pStyle w:val="Header"/>
            <w:ind w:right="17"/>
            <w:jc w:val="right"/>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rPr>
        <w:jc w:val="center"/>
      </w:trPr>
      <w:tc>
        <w:tcPr>
          <w:tcW w:w="5742" w:type="dxa"/>
          <w:vAlign w:val="bottom"/>
        </w:tcPr>
        <w:p>
          <w:pPr>
            <w:pStyle w:val="Header"/>
            <w:spacing w:before="40"/>
            <w:jc w:val="right"/>
          </w:pPr>
          <w:r>
            <w:fldChar w:fldCharType="begin"/>
          </w:r>
          <w:r>
            <w:instrText xml:space="preserve"> STYLEREF CharPartText </w:instrText>
          </w:r>
          <w:r>
            <w:fldChar w:fldCharType="end"/>
          </w:r>
        </w:p>
      </w:tc>
      <w:tc>
        <w:tcPr>
          <w:tcW w:w="1521"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jc w:val="center"/>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796176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F28435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908C51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DEC18D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828C34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950566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4B1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9E0262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B90A7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0E6BFF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0A5E0E2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0"/>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69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8161057"/>
    <w:docVar w:name="WAFER_20140115161413" w:val="RemoveTocBookmarks,RemoveUnusedBookmarks,RemoveLanguageTags,UsedStyles,ResetPageSize,UpdateArrangement"/>
    <w:docVar w:name="WAFER_20140115161413_GUID" w:val="2a2a1c8f-b7aa-47f7-9735-61b0704d0644"/>
    <w:docVar w:name="WAFER_20140115164656" w:val="RemoveTocBookmarks,RunningHeaders"/>
    <w:docVar w:name="WAFER_20140115164656_GUID" w:val="4e53966e-06f2-4577-83ca-4154d3cdf681"/>
    <w:docVar w:name="WAFER_20141118101411" w:val="RemoveTocBookmarks,RemoveUnusedBookmarks,RemoveLanguageTags,UsedStyles,ResetPageSize"/>
    <w:docVar w:name="WAFER_20141118101411_GUID" w:val="3683a192-16b1-4d43-a293-5cc8c50be88f"/>
    <w:docVar w:name="WAFER_20141118101630" w:val="RemoveTocBookmarks,RemoveUnusedBookmarks,RemoveLanguageTags,UsedStyles,ResetPageSize,UpdateArrangement"/>
    <w:docVar w:name="WAFER_20141118101630_GUID" w:val="2aa23fef-d945-4425-b817-a8352153c55c"/>
    <w:docVar w:name="WAFER_20150630095741" w:val="ResetPageSize,UpdateArrangement,UpdateNTable"/>
    <w:docVar w:name="WAFER_20150630095741_GUID" w:val="177b6e92-fb66-4664-8a06-d661d9f1b07e"/>
    <w:docVar w:name="WAFER_20151110162109" w:val="UpdateStyles,UsedStyles"/>
    <w:docVar w:name="WAFER_20151110162109_GUID" w:val="906d7b4d-da03-4dd9-ae1d-97b1fa47785e"/>
    <w:docVar w:name="WAFER_20160630121224" w:val="RemoveTocBookmarks,RemoveUnusedBookmarks,RemoveLanguageTags,UsedStyles,ResetPageSize"/>
    <w:docVar w:name="WAFER_20160630121224_GUID" w:val="b0445701-9108-4f93-b320-27f85c49a50c"/>
    <w:docVar w:name="WAFER_20160803154152" w:val="RemoveTocBookmarks,RemoveUnusedBookmarks,RemoveLanguageTags,UsedStyles,ResetPageSize,RemoveCustomizations"/>
    <w:docVar w:name="WAFER_20160803154152_GUID" w:val="9830bb2f-d296-489c-92ca-b5529c7792a5"/>
    <w:docVar w:name="WAFER_20160927165832" w:val="RemoveTocBookmarks,RemoveUnusedBookmarks,RemoveLanguageTags,UsedStyles,RemoveTrackChanges"/>
    <w:docVar w:name="WAFER_20160927165832_GUID" w:val="5a207fee-31c6-4319-bba9-5f1e87c98364"/>
    <w:docVar w:name="WAFER_20160927165846" w:val="RemoveTocBookmarks,RemoveLanguageTags,RemoveTrackChanges,RunningHeaders"/>
    <w:docVar w:name="WAFER_20160927165846_GUID" w:val="0a3e97e3-a324-4394-8d14-3457f7df9159"/>
    <w:docVar w:name="WAFER_20190618102813" w:val="RemoveTocBookmarks,RemoveUnusedBookmarks,RemoveLanguageTags,ResetPageSize,RunningHeaders,UpdateStyles,UsedStyles"/>
    <w:docVar w:name="WAFER_20190618102813_GUID" w:val="136a7280-19c8-4435-9f30-5f9c368e5eee"/>
    <w:docVar w:name="WAFER_20190619143047" w:val="RemoveTocBookmarks,RemoveUnusedBookmarks,RemoveLanguageTags,ResetPageSize,RunningHeaders,UpdateStyles,UsedStyles"/>
    <w:docVar w:name="WAFER_20190619143047_GUID" w:val="5d71c170-275e-42b8-8189-211e95be7cc4"/>
    <w:docVar w:name="WAFER_20191223141041" w:val="RemoveTocBookmarks,RemoveUnusedBookmarks,RemoveLanguageTags,ResetPageSize,RunningHeaders,UpdateStyles,UsedStyles"/>
    <w:docVar w:name="WAFER_20191223141041_GUID" w:val="6ba4ec9c-5557-4fab-b4c3-8be5c5656a4b"/>
    <w:docVar w:name="WAFER_20200211105715"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05715_GUID" w:val="de211a8e-69a0-4c2f-88fe-78040776c783"/>
    <w:docVar w:name="WAFER_202004171413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17141342_GUID" w:val="e4719898-4f8d-466b-9af3-c053dee0d5f0"/>
    <w:docVar w:name="WAFER_2020042009324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0093248_GUID" w:val="2e38d1e8-5220-459e-a3a3-4e304286127d"/>
    <w:docVar w:name="WAFER_202009221408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140818_GUID" w:val="1b65a201-debd-4b2f-829d-57d97ea1e1bd"/>
    <w:docVar w:name="WAFER_202010221510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022151050_GUID" w:val="c3ea7f3a-96f7-4d64-84fa-c58ee41980bd"/>
    <w:docVar w:name="WAFER_202012221553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22155343_GUID" w:val="f4424c23-4a6c-4450-b591-bd2ca54e5f2e"/>
    <w:docVar w:name="WAFER_2021061511473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14738_GUID" w:val="7e3ef544-d8f9-4cc6-859a-8bc0674881b4"/>
    <w:docVar w:name="WAFER_202106221204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2120419_GUID" w:val="decd86dd-3608-498a-8470-e0d101e1b8f6"/>
    <w:docVar w:name="WAFER_202106240939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093933_GUID" w:val="50f4b51b-cab1-4ab0-b2be-c4e55948122d"/>
    <w:docVar w:name="WAFER_202112010856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01085627_GUID" w:val="acf10804-e555-4f46-aff1-f0bfb10c930f"/>
    <w:docVar w:name="WAFER_2022051716353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7163536_GUID" w:val="e5e72746-a6d9-4aa7-bf87-108ef7f96d56"/>
    <w:docVar w:name="WAFER_2022062215334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2153344_GUID" w:val="04267806-c8d6-42ff-8570-0fc6f740e63a"/>
    <w:docVar w:name="WAFER_2023050214172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02141724_GUID" w:val="341f6529-4c90-4ea4-82fd-3349550c6296"/>
    <w:docVar w:name="WAFER_2023062611241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6112419_GUID" w:val="fe62845e-30b9-4f52-8375-6abc29d13f2b"/>
    <w:docVar w:name="WAFER_2023122816105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8161057_GUID" w:val="729ba056-ffe3-41eb-be2c-85cc4075917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9985"/>
    <o:shapelayout v:ext="edit">
      <o:idmap v:ext="edit" data="1"/>
    </o:shapelayout>
  </w:shapeDefaults>
  <w:decimalSymbol w:val="."/>
  <w:listSeparator w:val=","/>
  <w15:docId w15:val="{48134EC3-BDC9-4B2D-B24E-1FFE95C43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250840">
      <w:bodyDiv w:val="1"/>
      <w:marLeft w:val="0"/>
      <w:marRight w:val="0"/>
      <w:marTop w:val="0"/>
      <w:marBottom w:val="0"/>
      <w:divBdr>
        <w:top w:val="none" w:sz="0" w:space="0" w:color="auto"/>
        <w:left w:val="none" w:sz="0" w:space="0" w:color="auto"/>
        <w:bottom w:val="none" w:sz="0" w:space="0" w:color="auto"/>
        <w:right w:val="none" w:sz="0" w:space="0" w:color="auto"/>
      </w:divBdr>
    </w:div>
    <w:div w:id="540173523">
      <w:bodyDiv w:val="1"/>
      <w:marLeft w:val="0"/>
      <w:marRight w:val="0"/>
      <w:marTop w:val="0"/>
      <w:marBottom w:val="0"/>
      <w:divBdr>
        <w:top w:val="none" w:sz="0" w:space="0" w:color="auto"/>
        <w:left w:val="none" w:sz="0" w:space="0" w:color="auto"/>
        <w:bottom w:val="none" w:sz="0" w:space="0" w:color="auto"/>
        <w:right w:val="none" w:sz="0" w:space="0" w:color="auto"/>
      </w:divBdr>
    </w:div>
    <w:div w:id="781074390">
      <w:bodyDiv w:val="1"/>
      <w:marLeft w:val="0"/>
      <w:marRight w:val="0"/>
      <w:marTop w:val="0"/>
      <w:marBottom w:val="0"/>
      <w:divBdr>
        <w:top w:val="none" w:sz="0" w:space="0" w:color="auto"/>
        <w:left w:val="none" w:sz="0" w:space="0" w:color="auto"/>
        <w:bottom w:val="none" w:sz="0" w:space="0" w:color="auto"/>
        <w:right w:val="none" w:sz="0" w:space="0" w:color="auto"/>
      </w:divBdr>
    </w:div>
    <w:div w:id="930509999">
      <w:bodyDiv w:val="1"/>
      <w:marLeft w:val="0"/>
      <w:marRight w:val="0"/>
      <w:marTop w:val="0"/>
      <w:marBottom w:val="0"/>
      <w:divBdr>
        <w:top w:val="none" w:sz="0" w:space="0" w:color="auto"/>
        <w:left w:val="none" w:sz="0" w:space="0" w:color="auto"/>
        <w:bottom w:val="none" w:sz="0" w:space="0" w:color="auto"/>
        <w:right w:val="none" w:sz="0" w:space="0" w:color="auto"/>
      </w:divBdr>
    </w:div>
    <w:div w:id="16950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3E032-8E61-435B-8ABF-2E33EDCA2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9410</Words>
  <Characters>45922</Characters>
  <Application>Microsoft Office Word</Application>
  <DocSecurity>0</DocSecurity>
  <Lines>1640</Lines>
  <Paragraphs>1064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Settlement Agents Regulations 1982 - 07-s0-01</dc:title>
  <dc:subject/>
  <dc:creator/>
  <cp:keywords/>
  <dc:description/>
  <cp:lastModifiedBy>Master Repository Process</cp:lastModifiedBy>
  <cp:revision>4</cp:revision>
  <cp:lastPrinted>2016-11-04T01:14:00Z</cp:lastPrinted>
  <dcterms:created xsi:type="dcterms:W3CDTF">2024-01-03T03:15:00Z</dcterms:created>
  <dcterms:modified xsi:type="dcterms:W3CDTF">2024-01-03T03:15:00Z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March 1982 pp.886-7</vt:lpwstr>
  </property>
  <property fmtid="{D5CDD505-2E9C-101B-9397-08002B2CF9AE}" pid="3" name="DocumentType">
    <vt:lpwstr>Reg</vt:lpwstr>
  </property>
  <property fmtid="{D5CDD505-2E9C-101B-9397-08002B2CF9AE}" pid="4" name="OwlsUID">
    <vt:i4>4771</vt:i4>
  </property>
  <property fmtid="{D5CDD505-2E9C-101B-9397-08002B2CF9AE}" pid="5" name="ReprintedAsAt">
    <vt:filetime>2016-10-13T16:00:00Z</vt:filetime>
  </property>
  <property fmtid="{D5CDD505-2E9C-101B-9397-08002B2CF9AE}" pid="6" name="ReprintNo">
    <vt:lpwstr>7</vt:lpwstr>
  </property>
  <property fmtid="{D5CDD505-2E9C-101B-9397-08002B2CF9AE}" pid="7" name="AsAtDate">
    <vt:lpwstr>01 Jul 2023</vt:lpwstr>
  </property>
  <property fmtid="{D5CDD505-2E9C-101B-9397-08002B2CF9AE}" pid="8" name="Suffix">
    <vt:lpwstr>07-s0-01</vt:lpwstr>
  </property>
  <property fmtid="{D5CDD505-2E9C-101B-9397-08002B2CF9AE}" pid="9" name="Official">
    <vt:lpwstr/>
  </property>
  <property fmtid="{D5CDD505-2E9C-101B-9397-08002B2CF9AE}" pid="10" name="CommencementDate">
    <vt:lpwstr>20230701</vt:lpwstr>
  </property>
  <property fmtid="{D5CDD505-2E9C-101B-9397-08002B2CF9AE}" pid="11" name="CommencementAsAt">
    <vt:filetime>2023-06-30T16:00:00Z</vt:filetime>
  </property>
  <property fmtid="{D5CDD505-2E9C-101B-9397-08002B2CF9AE}" pid="12" name="CommencementYear">
    <vt:lpwstr>2023</vt:lpwstr>
  </property>
</Properties>
</file>