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Corporations (Commonwealth Powers)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(Commonwealth Powers) Act 2001</w:t>
      </w:r>
      <w:r>
        <w:fldChar w:fldCharType="end"/>
      </w:r>
    </w:p>
    <w:p>
      <w:pPr>
        <w:pStyle w:val="Arrangement"/>
      </w:pPr>
      <w:r>
        <w:t>CONTENTS</w:t>
      </w:r>
    </w:p>
    <w:p>
      <w:pPr>
        <w:pStyle w:val="TOC4"/>
        <w:tabs>
          <w:tab w:val="left" w:pos="1701"/>
        </w:tabs>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tab/>
      </w:r>
      <w:r>
        <w:rPr>
          <w:snapToGrid w:val="0"/>
        </w:rPr>
        <w:t>Short title and purpose</w:t>
      </w:r>
      <w:r>
        <w:tab/>
      </w:r>
      <w:r>
        <w:fldChar w:fldCharType="begin"/>
      </w:r>
      <w:r>
        <w:instrText xml:space="preserve"> PAGEREF _Toc518723090 \h </w:instrText>
      </w:r>
      <w:r>
        <w:fldChar w:fldCharType="separate"/>
      </w:r>
      <w:r>
        <w:t>2</w:t>
      </w:r>
      <w:r>
        <w:fldChar w:fldCharType="end"/>
      </w:r>
    </w:p>
    <w:p>
      <w:pPr>
        <w:pStyle w:val="TOC4"/>
        <w:tabs>
          <w:tab w:val="left" w:pos="1701"/>
        </w:tabs>
      </w:pPr>
      <w:r>
        <w:t>2</w:t>
      </w:r>
      <w:r>
        <w:rPr>
          <w:snapToGrid w:val="0"/>
        </w:rPr>
        <w:t>.</w:t>
      </w:r>
      <w:r>
        <w:tab/>
      </w:r>
      <w:r>
        <w:rPr>
          <w:snapToGrid w:val="0"/>
        </w:rPr>
        <w:t>Commencement</w:t>
      </w:r>
      <w:r>
        <w:tab/>
      </w:r>
      <w:r>
        <w:fldChar w:fldCharType="begin"/>
      </w:r>
      <w:r>
        <w:instrText xml:space="preserve"> PAGEREF _Toc518723091 \h </w:instrText>
      </w:r>
      <w:r>
        <w:fldChar w:fldCharType="separate"/>
      </w:r>
      <w:r>
        <w:t>2</w:t>
      </w:r>
      <w:r>
        <w:fldChar w:fldCharType="end"/>
      </w:r>
    </w:p>
    <w:p>
      <w:pPr>
        <w:pStyle w:val="TOC4"/>
        <w:tabs>
          <w:tab w:val="left" w:pos="1701"/>
        </w:tabs>
      </w:pPr>
      <w:r>
        <w:t>3.</w:t>
      </w:r>
      <w:r>
        <w:tab/>
        <w:t>Definitions</w:t>
      </w:r>
      <w:r>
        <w:tab/>
      </w:r>
      <w:r>
        <w:fldChar w:fldCharType="begin"/>
      </w:r>
      <w:r>
        <w:instrText xml:space="preserve"> PAGEREF _Toc518723092 \h </w:instrText>
      </w:r>
      <w:r>
        <w:fldChar w:fldCharType="separate"/>
      </w:r>
      <w:r>
        <w:t>2</w:t>
      </w:r>
      <w:r>
        <w:fldChar w:fldCharType="end"/>
      </w:r>
    </w:p>
    <w:p>
      <w:pPr>
        <w:pStyle w:val="TOC4"/>
        <w:tabs>
          <w:tab w:val="left" w:pos="1701"/>
        </w:tabs>
      </w:pPr>
      <w:r>
        <w:t>4.</w:t>
      </w:r>
      <w:r>
        <w:tab/>
        <w:t>Reference of matters</w:t>
      </w:r>
      <w:r>
        <w:tab/>
      </w:r>
      <w:r>
        <w:fldChar w:fldCharType="begin"/>
      </w:r>
      <w:r>
        <w:instrText xml:space="preserve"> PAGEREF _Toc518723093 \h </w:instrText>
      </w:r>
      <w:r>
        <w:fldChar w:fldCharType="separate"/>
      </w:r>
      <w:r>
        <w:t>3</w:t>
      </w:r>
      <w:r>
        <w:fldChar w:fldCharType="end"/>
      </w:r>
    </w:p>
    <w:p>
      <w:pPr>
        <w:pStyle w:val="TOC4"/>
        <w:tabs>
          <w:tab w:val="left" w:pos="1701"/>
        </w:tabs>
      </w:pPr>
      <w:r>
        <w:t>5.</w:t>
      </w:r>
      <w:r>
        <w:tab/>
        <w:t>Termination of references</w:t>
      </w:r>
      <w:r>
        <w:tab/>
      </w:r>
      <w:r>
        <w:fldChar w:fldCharType="begin"/>
      </w:r>
      <w:r>
        <w:instrText xml:space="preserve"> PAGEREF _Toc518723094 \h </w:instrText>
      </w:r>
      <w:r>
        <w:fldChar w:fldCharType="separate"/>
      </w:r>
      <w:r>
        <w:t>5</w:t>
      </w:r>
      <w:r>
        <w:fldChar w:fldCharType="end"/>
      </w:r>
    </w:p>
    <w:p>
      <w:pPr>
        <w:pStyle w:val="TOC4"/>
        <w:tabs>
          <w:tab w:val="left" w:pos="1701"/>
        </w:tabs>
      </w:pPr>
      <w:r>
        <w:t>6.</w:t>
      </w:r>
      <w:r>
        <w:tab/>
        <w:t>Extension of period of reference by proclamation</w:t>
      </w:r>
      <w:r>
        <w:tab/>
      </w:r>
      <w:r>
        <w:fldChar w:fldCharType="begin"/>
      </w:r>
      <w:r>
        <w:instrText xml:space="preserve"> PAGEREF _Toc518723095 \h </w:instrText>
      </w:r>
      <w:r>
        <w:fldChar w:fldCharType="separate"/>
      </w:r>
      <w:r>
        <w:t>6</w:t>
      </w:r>
      <w:r>
        <w:fldChar w:fldCharType="end"/>
      </w:r>
    </w:p>
    <w:p>
      <w:pPr>
        <w:pStyle w:val="TOC4"/>
        <w:tabs>
          <w:tab w:val="left" w:pos="1701"/>
        </w:tabs>
      </w:pPr>
      <w:r>
        <w:t>7.</w:t>
      </w:r>
      <w:r>
        <w:tab/>
        <w:t>Earlier termination of reference by proclamation</w:t>
      </w:r>
      <w:r>
        <w:tab/>
      </w:r>
      <w:r>
        <w:fldChar w:fldCharType="begin"/>
      </w:r>
      <w:r>
        <w:instrText xml:space="preserve"> PAGEREF _Toc518723096 \h </w:instrText>
      </w:r>
      <w:r>
        <w:fldChar w:fldCharType="separate"/>
      </w:r>
      <w:r>
        <w:t>7</w:t>
      </w:r>
      <w:r>
        <w:fldChar w:fldCharType="end"/>
      </w:r>
    </w:p>
    <w:p>
      <w:pPr>
        <w:pStyle w:val="TOC4"/>
        <w:tabs>
          <w:tab w:val="left" w:pos="1701"/>
        </w:tabs>
      </w:pPr>
      <w:r>
        <w:t>8.</w:t>
      </w:r>
      <w:r>
        <w:tab/>
        <w:t>Evidence</w:t>
      </w:r>
      <w:r>
        <w:tab/>
      </w:r>
      <w:r>
        <w:fldChar w:fldCharType="begin"/>
      </w:r>
      <w:r>
        <w:instrText xml:space="preserve"> PAGEREF _Toc518723097 \h </w:instrText>
      </w:r>
      <w:r>
        <w:fldChar w:fldCharType="separate"/>
      </w:r>
      <w:r>
        <w:t>7</w:t>
      </w:r>
      <w:r>
        <w:fldChar w:fldCharType="end"/>
      </w:r>
    </w:p>
    <w:p>
      <w:pPr>
        <w:pStyle w:val="TOC4"/>
        <w:tabs>
          <w:tab w:val="left" w:pos="1701"/>
        </w:tabs>
      </w:pPr>
      <w:r>
        <w:t>9.</w:t>
      </w:r>
      <w:r>
        <w:tab/>
        <w:t>Operation of Act</w:t>
      </w:r>
      <w:r>
        <w:tab/>
      </w:r>
      <w:r>
        <w:fldChar w:fldCharType="begin"/>
      </w:r>
      <w:r>
        <w:instrText xml:space="preserve"> PAGEREF _Toc518723098 \h </w:instrText>
      </w:r>
      <w:r>
        <w:fldChar w:fldCharType="separate"/>
      </w:r>
      <w:r>
        <w:t>8</w:t>
      </w:r>
      <w:r>
        <w:fldChar w:fldCharType="end"/>
      </w:r>
    </w:p>
    <w:p>
      <w:pPr>
        <w:pStyle w:val="TOC4"/>
        <w:tabs>
          <w:tab w:val="left" w:pos="1701"/>
        </w:tabs>
      </w:pPr>
      <w:r>
        <w:t>10.</w:t>
      </w:r>
      <w:r>
        <w:tab/>
        <w:t>Expiry of Act</w:t>
      </w:r>
      <w:r>
        <w:tab/>
      </w:r>
      <w:r>
        <w:fldChar w:fldCharType="begin"/>
      </w:r>
      <w:r>
        <w:instrText xml:space="preserve"> PAGEREF _Toc518723099 \h </w:instrText>
      </w:r>
      <w:r>
        <w:fldChar w:fldCharType="separate"/>
      </w:r>
      <w:r>
        <w:t>8</w:t>
      </w:r>
      <w:r>
        <w:fldChar w:fldCharType="end"/>
      </w:r>
    </w:p>
    <w:p>
      <w:pPr>
        <w:pStyle w:val="TOC2"/>
        <w:tabs>
          <w:tab w:val="right" w:leader="dot" w:pos="7086"/>
        </w:tabs>
      </w:pPr>
      <w:r>
        <w:t>Notes</w:t>
      </w:r>
    </w:p>
    <w:p>
      <w:pPr>
        <w:pStyle w:val="TOC4"/>
      </w:pPr>
      <w:r>
        <w:tab/>
        <w:t>Compilation table</w:t>
      </w:r>
      <w:r>
        <w:tab/>
      </w:r>
      <w:r>
        <w:fldChar w:fldCharType="begin"/>
      </w:r>
      <w:r>
        <w:instrText xml:space="preserve"> PAGEREF _Toc518723100 \h </w:instrText>
      </w:r>
      <w:r>
        <w:fldChar w:fldCharType="separate"/>
      </w:r>
      <w:r>
        <w:t>9</w:t>
      </w:r>
      <w:r>
        <w:fldChar w:fldCharType="end"/>
      </w:r>
    </w:p>
    <w:p>
      <w:pPr>
        <w:pStyle w:val="TOC2"/>
      </w:pPr>
      <w:r>
        <w:fldChar w:fldCharType="end"/>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
      <w:pPr>
        <w:pStyle w:val="WA"/>
      </w:pPr>
      <w:r>
        <w:t>Western Australia</w:t>
      </w:r>
    </w:p>
    <w:p>
      <w:pPr>
        <w:pStyle w:val="NameofActReg"/>
        <w:suppressLineNumbers/>
      </w:pPr>
      <w:r>
        <w:t>Corporations (Commonwealth Powers) Act 2001</w:t>
      </w:r>
    </w:p>
    <w:p>
      <w:pPr>
        <w:pStyle w:val="LongTitle"/>
        <w:suppressLineNumbers/>
      </w:pPr>
      <w:bookmarkStart w:id="1" w:name="BillCited"/>
      <w:bookmarkEnd w:id="1"/>
      <w:r>
        <w:rPr>
          <w:snapToGrid w:val="0"/>
        </w:rPr>
        <w:t>An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2" w:name="_Toc514575732"/>
      <w:bookmarkStart w:id="3" w:name="_Toc518723090"/>
      <w:r>
        <w:rPr>
          <w:rStyle w:val="CharSectno"/>
        </w:rPr>
        <w:t>1</w:t>
      </w:r>
      <w:r>
        <w:rPr>
          <w:snapToGrid w:val="0"/>
        </w:rPr>
        <w:t>.</w:t>
      </w:r>
      <w:r>
        <w:rPr>
          <w:snapToGrid w:val="0"/>
        </w:rPr>
        <w:tab/>
        <w:t>Short title and purpose</w:t>
      </w:r>
      <w:bookmarkEnd w:id="2"/>
      <w:bookmarkEnd w:id="3"/>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4" w:name="Start_Cursor"/>
      <w:bookmarkStart w:id="5" w:name="_Toc514575733"/>
      <w:bookmarkStart w:id="6" w:name="_Toc518723091"/>
      <w:bookmarkEnd w:id="4"/>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514575734"/>
      <w:bookmarkStart w:id="8" w:name="_Toc518723092"/>
      <w:r>
        <w:rPr>
          <w:rStyle w:val="CharSectno"/>
        </w:rPr>
        <w:t>3</w:t>
      </w:r>
      <w:r>
        <w:t>.</w:t>
      </w:r>
      <w:r>
        <w:tab/>
        <w:t>Definitions</w:t>
      </w:r>
      <w:bookmarkEnd w:id="7"/>
      <w:bookmarkEnd w:id="8"/>
    </w:p>
    <w:p>
      <w:pPr>
        <w:pStyle w:val="Subsection"/>
      </w:pPr>
      <w:r>
        <w:tab/>
        <w:t>(1)</w:t>
      </w:r>
      <w:r>
        <w:tab/>
        <w:t xml:space="preserve">In this Act, unless the contrary intention appears — </w:t>
      </w:r>
    </w:p>
    <w:p>
      <w:pPr>
        <w:pStyle w:val="Defstart"/>
      </w:pPr>
      <w:r>
        <w:tab/>
      </w:r>
      <w:r>
        <w:rPr>
          <w:b/>
        </w:rPr>
        <w:t>“</w:t>
      </w:r>
      <w:r>
        <w:rPr>
          <w:rStyle w:val="CharDefText"/>
        </w:rPr>
        <w:t>amendment reference</w:t>
      </w:r>
      <w:r>
        <w:rPr>
          <w:b/>
        </w:rPr>
        <w:t>”</w:t>
      </w:r>
      <w:r>
        <w:t xml:space="preserve"> means the reference under section 4(1)(b);</w:t>
      </w:r>
    </w:p>
    <w:p>
      <w:pPr>
        <w:pStyle w:val="Defstart"/>
      </w:pPr>
      <w:r>
        <w:tab/>
      </w:r>
      <w:r>
        <w:rPr>
          <w:b/>
        </w:rPr>
        <w:t>“</w:t>
      </w:r>
      <w:r>
        <w:rPr>
          <w:rStyle w:val="CharDefText"/>
        </w:rPr>
        <w:t>commencement day</w:t>
      </w:r>
      <w:r>
        <w:rPr>
          <w:b/>
        </w:rPr>
        <w:t>”</w:t>
      </w:r>
      <w:r>
        <w:t xml:space="preserve"> means the day on which section 4(1) comes into operation;</w:t>
      </w:r>
    </w:p>
    <w:p>
      <w:pPr>
        <w:pStyle w:val="Defstart"/>
      </w:pPr>
      <w:r>
        <w:tab/>
      </w:r>
      <w:r>
        <w:rPr>
          <w:b/>
        </w:rPr>
        <w:t>“</w:t>
      </w:r>
      <w:r>
        <w:rPr>
          <w:rStyle w:val="CharDefText"/>
        </w:rPr>
        <w:t>Corporations instrument</w:t>
      </w:r>
      <w:r>
        <w:rPr>
          <w:b/>
        </w:rPr>
        <w:t>”</w:t>
      </w:r>
      <w:r>
        <w:t xml:space="preserve"> means any instrument made or issued under the Corporations legislation;</w:t>
      </w:r>
    </w:p>
    <w:p>
      <w:pPr>
        <w:pStyle w:val="Defstart"/>
      </w:pPr>
      <w:r>
        <w:tab/>
      </w:r>
      <w:r>
        <w:rPr>
          <w:b/>
        </w:rPr>
        <w:t>“</w:t>
      </w:r>
      <w:r>
        <w:rPr>
          <w:rStyle w:val="CharDefText"/>
        </w:rPr>
        <w:t>Corporations legislation</w:t>
      </w:r>
      <w:r>
        <w:rPr>
          <w:b/>
        </w:rPr>
        <w:t>”</w:t>
      </w:r>
      <w:r>
        <w:t xml:space="preserve"> means Commonwealth Acts enacted in the terms, or substantially in the terms, of the tabled text and as in force from time to time;</w:t>
      </w:r>
    </w:p>
    <w:p>
      <w:pPr>
        <w:pStyle w:val="Defstart"/>
      </w:pPr>
      <w:r>
        <w:tab/>
      </w:r>
      <w:r>
        <w:rPr>
          <w:b/>
        </w:rPr>
        <w:t>“</w:t>
      </w:r>
      <w:r>
        <w:rPr>
          <w:rStyle w:val="CharDefText"/>
        </w:rPr>
        <w:t>express amendment</w:t>
      </w:r>
      <w:r>
        <w:rPr>
          <w:b/>
        </w:rPr>
        <w: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b/>
        </w:rPr>
        <w:t>“</w:t>
      </w:r>
      <w:r>
        <w:rPr>
          <w:rStyle w:val="CharDefText"/>
        </w:rPr>
        <w:t>initial reference</w:t>
      </w:r>
      <w:r>
        <w:rPr>
          <w:b/>
        </w:rPr>
        <w:t>”</w:t>
      </w:r>
      <w:r>
        <w:t xml:space="preserve"> means the reference under section 4(1)(a);</w:t>
      </w:r>
    </w:p>
    <w:p>
      <w:pPr>
        <w:pStyle w:val="Defstart"/>
      </w:pPr>
      <w:r>
        <w:tab/>
      </w:r>
      <w:r>
        <w:rPr>
          <w:b/>
        </w:rPr>
        <w:t>“</w:t>
      </w:r>
      <w:r>
        <w:rPr>
          <w:rStyle w:val="CharDefText"/>
        </w:rPr>
        <w:t>prescribed termination day</w:t>
      </w:r>
      <w:r>
        <w:rPr>
          <w:b/>
        </w:rPr>
        <w:t>”</w:t>
      </w:r>
      <w:r>
        <w:t xml:space="preserve"> means the day on which both the references are to terminate as set out in section 5(1);</w:t>
      </w:r>
    </w:p>
    <w:p>
      <w:pPr>
        <w:pStyle w:val="Defstart"/>
      </w:pPr>
      <w:r>
        <w:tab/>
      </w:r>
      <w:r>
        <w:rPr>
          <w:b/>
        </w:rPr>
        <w:t>“</w:t>
      </w:r>
      <w:r>
        <w:rPr>
          <w:rStyle w:val="CharDefText"/>
        </w:rPr>
        <w:t>reference</w:t>
      </w:r>
      <w:r>
        <w:rPr>
          <w:b/>
        </w:rPr>
        <w:t>”</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b/>
        </w:rPr>
        <w:t>“</w:t>
      </w:r>
      <w:r>
        <w:rPr>
          <w:rStyle w:val="CharDefText"/>
        </w:rPr>
        <w:t>referred provisions</w:t>
      </w:r>
      <w:r>
        <w:rPr>
          <w:b/>
        </w:rPr>
        <w:t>”</w:t>
      </w:r>
      <w:r>
        <w:t xml:space="preserve"> means the tabled text to the extent to which that text deals with matters that are included in the legislative powers of the Parliament of the State;</w:t>
      </w:r>
    </w:p>
    <w:p>
      <w:pPr>
        <w:pStyle w:val="Defstart"/>
      </w:pPr>
      <w:r>
        <w:tab/>
      </w:r>
      <w:r>
        <w:rPr>
          <w:b/>
        </w:rPr>
        <w:t>“</w:t>
      </w:r>
      <w:r>
        <w:rPr>
          <w:rStyle w:val="CharDefText"/>
        </w:rPr>
        <w:t>tabled text</w:t>
      </w:r>
      <w:r>
        <w:rPr>
          <w:b/>
        </w:rPr>
        <w: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tab/>
        <w:t>(2)</w:t>
      </w:r>
      <w:r>
        <w:tab/>
        <w:t xml:space="preserve">If a proclamation terminating the amendment reference alone has been made under section 7 and has not been revoked, the expression </w:t>
      </w:r>
      <w:r>
        <w:rPr>
          <w:b/>
        </w:rPr>
        <w:t>“</w:t>
      </w:r>
      <w:r>
        <w:rPr>
          <w:rStyle w:val="CharDefText"/>
        </w:rPr>
        <w:t>the references</w:t>
      </w:r>
      <w:bookmarkStart w:id="9" w:name="endcomma"/>
      <w:bookmarkEnd w:id="9"/>
      <w:r>
        <w:rPr>
          <w:b/>
        </w:rPr>
        <w:t>”</w:t>
      </w:r>
      <w:r>
        <w:t xml:space="preserve"> </w:t>
      </w:r>
      <w:bookmarkStart w:id="10" w:name="comma"/>
      <w:bookmarkEnd w:id="10"/>
      <w:r>
        <w:t>refers to the initial reference only.</w:t>
      </w:r>
    </w:p>
    <w:p>
      <w:pPr>
        <w:pStyle w:val="Heading5"/>
      </w:pPr>
      <w:bookmarkStart w:id="11" w:name="_Toc514575735"/>
      <w:bookmarkStart w:id="12" w:name="_Toc518723093"/>
      <w:r>
        <w:rPr>
          <w:rStyle w:val="CharSectno"/>
        </w:rPr>
        <w:t>4</w:t>
      </w:r>
      <w:r>
        <w:t>.</w:t>
      </w:r>
      <w:r>
        <w:tab/>
        <w:t>Reference of matters</w:t>
      </w:r>
      <w:bookmarkEnd w:id="11"/>
      <w:bookmarkEnd w:id="12"/>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13" w:name="_Toc514575736"/>
      <w:bookmarkStart w:id="14" w:name="_Toc518723094"/>
      <w:r>
        <w:rPr>
          <w:rStyle w:val="CharSectno"/>
        </w:rPr>
        <w:t>5</w:t>
      </w:r>
      <w:r>
        <w:t>.</w:t>
      </w:r>
      <w:r>
        <w:tab/>
        <w:t>Termination of references</w:t>
      </w:r>
      <w:bookmarkEnd w:id="13"/>
      <w:bookmarkEnd w:id="14"/>
    </w:p>
    <w:p>
      <w:pPr>
        <w:pStyle w:val="Subsection"/>
      </w:pPr>
      <w:r>
        <w:tab/>
        <w:t>(1)</w:t>
      </w:r>
      <w:r>
        <w:tab/>
        <w:t>Subject to earlier termination under this section, the references terminate on the day that is the fifth anniversary of the commencement day or on a later day fixed by the Governor by proclamation under section 6.</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15" w:name="_Toc514575737"/>
      <w:bookmarkStart w:id="16" w:name="_Toc518723095"/>
      <w:r>
        <w:rPr>
          <w:rStyle w:val="CharSectno"/>
        </w:rPr>
        <w:t>6</w:t>
      </w:r>
      <w:r>
        <w:t>.</w:t>
      </w:r>
      <w:r>
        <w:tab/>
        <w:t>Extension of period of reference by proclamation</w:t>
      </w:r>
      <w:bookmarkEnd w:id="15"/>
      <w:bookmarkEnd w:id="16"/>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17" w:name="_Toc514575738"/>
      <w:bookmarkStart w:id="18" w:name="_Toc518723096"/>
      <w:r>
        <w:rPr>
          <w:rStyle w:val="CharSectno"/>
        </w:rPr>
        <w:t>7</w:t>
      </w:r>
      <w:r>
        <w:t>.</w:t>
      </w:r>
      <w:r>
        <w:tab/>
        <w:t>Earlier termination of reference by proclamation</w:t>
      </w:r>
      <w:bookmarkEnd w:id="17"/>
      <w:bookmarkEnd w:id="18"/>
    </w:p>
    <w:p>
      <w:pPr>
        <w:pStyle w:val="Subsection"/>
      </w:pPr>
      <w:r>
        <w:tab/>
        <w:t>(1)</w:t>
      </w:r>
      <w:r>
        <w:tab/>
        <w:t xml:space="preserve">The Governor may, at any time, by proclamation (a </w:t>
      </w:r>
      <w:r>
        <w:rPr>
          <w:b/>
        </w:rPr>
        <w:t>“</w:t>
      </w:r>
      <w:r>
        <w:rPr>
          <w:rStyle w:val="CharDefText"/>
        </w:rPr>
        <w:t>termination proclamation</w:t>
      </w:r>
      <w:r>
        <w:rPr>
          <w:b/>
        </w:rPr>
        <w:t>”</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19" w:name="_Toc514575739"/>
      <w:bookmarkStart w:id="20" w:name="_Toc518723097"/>
      <w:r>
        <w:rPr>
          <w:rStyle w:val="CharSectno"/>
        </w:rPr>
        <w:t>8</w:t>
      </w:r>
      <w:r>
        <w:t>.</w:t>
      </w:r>
      <w:r>
        <w:tab/>
        <w:t>Evidence</w:t>
      </w:r>
      <w:bookmarkEnd w:id="19"/>
      <w:bookmarkEnd w:id="20"/>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21" w:name="_Toc514575740"/>
      <w:bookmarkStart w:id="22" w:name="_Toc518723098"/>
      <w:r>
        <w:rPr>
          <w:rStyle w:val="CharSectno"/>
        </w:rPr>
        <w:t>9</w:t>
      </w:r>
      <w:r>
        <w:t>.</w:t>
      </w:r>
      <w:r>
        <w:tab/>
        <w:t>Operation of Act</w:t>
      </w:r>
      <w:bookmarkEnd w:id="21"/>
      <w:bookmarkEnd w:id="22"/>
    </w:p>
    <w:p>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pPr>
        <w:pStyle w:val="Heading5"/>
      </w:pPr>
      <w:bookmarkStart w:id="23" w:name="_Toc514575741"/>
      <w:bookmarkStart w:id="24" w:name="_Toc518723099"/>
      <w:r>
        <w:rPr>
          <w:rStyle w:val="CharSectno"/>
        </w:rPr>
        <w:t>10</w:t>
      </w:r>
      <w:r>
        <w:t>.</w:t>
      </w:r>
      <w:r>
        <w:tab/>
        <w:t>Expiry of Act</w:t>
      </w:r>
      <w:bookmarkEnd w:id="23"/>
      <w:bookmarkEnd w:id="24"/>
    </w:p>
    <w:p>
      <w:pPr>
        <w:pStyle w:val="Subsection"/>
      </w:pPr>
      <w:r>
        <w:tab/>
      </w:r>
      <w:r>
        <w:tab/>
        <w:t>This Act expires at the beginning of the day on which the initial reference terminates as set out in section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Corporations (Commonwealth Powers) Act 2001</w:t>
      </w:r>
      <w:r>
        <w:rPr>
          <w:snapToGrid w:val="0"/>
        </w:rPr>
        <w:t>.  The following table contains information about that Act.</w:t>
      </w:r>
    </w:p>
    <w:p>
      <w:pPr>
        <w:pStyle w:val="nHeading3"/>
      </w:pPr>
      <w:bookmarkStart w:id="25" w:name="_Toc512403484"/>
      <w:bookmarkStart w:id="26" w:name="_Toc512403627"/>
      <w:bookmarkStart w:id="27" w:name="_Toc518723100"/>
      <w:r>
        <w:t>Compilation table</w:t>
      </w:r>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(Commonwealth Powers) Act 2001</w:t>
            </w:r>
          </w:p>
        </w:tc>
        <w:tc>
          <w:tcPr>
            <w:tcW w:w="1134" w:type="dxa"/>
            <w:tcBorders>
              <w:top w:val="single" w:sz="4" w:space="0" w:color="auto"/>
              <w:bottom w:val="single" w:sz="4" w:space="0" w:color="auto"/>
            </w:tcBorders>
          </w:tcPr>
          <w:p>
            <w:pPr>
              <w:pStyle w:val="nTable"/>
              <w:spacing w:before="100"/>
            </w:pPr>
            <w:r>
              <w:t>7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ind w:right="72"/>
            </w:pPr>
            <w:r>
              <w:t xml:space="preserve">29 Jun 2001 (see s. 2 and </w:t>
            </w:r>
            <w:r>
              <w:rPr>
                <w:i/>
              </w:rPr>
              <w:t>Gazette</w:t>
            </w:r>
            <w:r>
              <w:t xml:space="preserve"> 29 Jun 2001 p. 3257)</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Corporations (Commonwealth Powers)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(Commonwealth Powers)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(Commonwealth Powers)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ReprintNo0">
    <w:name w:val="ReprintNo"/>
    <w:rPr>
      <w:rFonts w:ascii="Times New Roman" w:hAnsi="Times New Roman"/>
      <w:b/>
      <w:noProof/>
      <w:sz w:val="2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ReprintNo0">
    <w:name w:val="ReprintNo"/>
    <w:rPr>
      <w:rFonts w:ascii="Times New Roman" w:hAnsi="Times New Roman"/>
      <w:b/>
      <w:noProof/>
      <w:sz w:val="2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1822</Words>
  <Characters>9457</Characters>
  <Application>Microsoft Office Word</Application>
  <DocSecurity>0</DocSecurity>
  <Lines>262</Lines>
  <Paragraphs>134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2001 - 00-a0-06</dc:title>
  <dc:subject/>
  <dc:creator/>
  <cp:keywords/>
  <dc:description/>
  <cp:lastModifiedBy>svcMRProcess</cp:lastModifiedBy>
  <cp:revision>4</cp:revision>
  <cp:lastPrinted>2001-07-02T07:52:00Z</cp:lastPrinted>
  <dcterms:created xsi:type="dcterms:W3CDTF">2020-01-10T08:09:00Z</dcterms:created>
  <dcterms:modified xsi:type="dcterms:W3CDTF">2020-01-10T08:09:00Z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20010629</vt:lpwstr>
  </property>
  <property fmtid="{D5CDD505-2E9C-101B-9397-08002B2CF9AE}" pid="4" name="DocumentType">
    <vt:lpwstr>Act</vt:lpwstr>
  </property>
  <property fmtid="{D5CDD505-2E9C-101B-9397-08002B2CF9AE}" pid="5" name="AsAtDate">
    <vt:lpwstr>29 Jun 2001</vt:lpwstr>
  </property>
  <property fmtid="{D5CDD505-2E9C-101B-9397-08002B2CF9AE}" pid="6" name="Suffix">
    <vt:lpwstr>00-a0-06</vt:lpwstr>
  </property>
</Properties>
</file>