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Western Australian Meat Industry Authority Act 1976</w:t>
      </w:r>
    </w:p>
    <w:p>
      <w:pPr>
        <w:pStyle w:val="NameofActReg"/>
        <w:spacing w:before="3760" w:after="4200"/>
      </w:pPr>
      <w:r>
        <w:rPr>
          <w:noProof/>
        </w:rPr>
        <w:t>Western Australian Meat Industry Authority Regulations 1985</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 February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Western Australian Meat Industry Authority Regulations 1985</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_Toc129687029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_Toc129687030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_Toc129687031 \h </w:instrText>
      </w:r>
      <w:r>
        <w:fldChar w:fldCharType="separate"/>
      </w:r>
      <w:r>
        <w:t>1</w:t>
      </w:r>
      <w:r>
        <w:fldChar w:fldCharType="end"/>
      </w:r>
    </w:p>
    <w:p>
      <w:pPr>
        <w:pStyle w:val="TOC2"/>
        <w:tabs>
          <w:tab w:val="right" w:leader="dot" w:pos="7086"/>
        </w:tabs>
        <w:rPr>
          <w:b w:val="0"/>
          <w:sz w:val="24"/>
          <w:szCs w:val="24"/>
        </w:rPr>
      </w:pPr>
      <w:r>
        <w:rPr>
          <w:szCs w:val="30"/>
        </w:rPr>
        <w:t>Part II — Inspectors</w:t>
      </w:r>
    </w:p>
    <w:p>
      <w:pPr>
        <w:pStyle w:val="TOC8"/>
        <w:rPr>
          <w:sz w:val="24"/>
          <w:szCs w:val="24"/>
        </w:rPr>
      </w:pPr>
      <w:r>
        <w:rPr>
          <w:szCs w:val="24"/>
        </w:rPr>
        <w:t>4</w:t>
      </w:r>
      <w:r>
        <w:rPr>
          <w:snapToGrid w:val="0"/>
          <w:szCs w:val="24"/>
        </w:rPr>
        <w:t>.</w:t>
      </w:r>
      <w:r>
        <w:rPr>
          <w:snapToGrid w:val="0"/>
          <w:szCs w:val="24"/>
        </w:rPr>
        <w:tab/>
        <w:t>Inspectors</w:t>
      </w:r>
      <w:r>
        <w:tab/>
      </w:r>
      <w:r>
        <w:fldChar w:fldCharType="begin"/>
      </w:r>
      <w:r>
        <w:instrText xml:space="preserve"> PAGEREF _Toc129687033 \h </w:instrText>
      </w:r>
      <w:r>
        <w:fldChar w:fldCharType="separate"/>
      </w:r>
      <w:r>
        <w:t>3</w:t>
      </w:r>
      <w:r>
        <w:fldChar w:fldCharType="end"/>
      </w:r>
    </w:p>
    <w:p>
      <w:pPr>
        <w:pStyle w:val="TOC2"/>
        <w:tabs>
          <w:tab w:val="right" w:leader="dot" w:pos="7086"/>
        </w:tabs>
        <w:rPr>
          <w:b w:val="0"/>
          <w:sz w:val="24"/>
          <w:szCs w:val="24"/>
        </w:rPr>
      </w:pPr>
      <w:r>
        <w:rPr>
          <w:szCs w:val="30"/>
        </w:rPr>
        <w:t>Part III — Branding of carcases</w:t>
      </w:r>
    </w:p>
    <w:p>
      <w:pPr>
        <w:pStyle w:val="TOC8"/>
        <w:rPr>
          <w:sz w:val="24"/>
          <w:szCs w:val="24"/>
        </w:rPr>
      </w:pPr>
      <w:r>
        <w:rPr>
          <w:szCs w:val="24"/>
        </w:rPr>
        <w:t>5</w:t>
      </w:r>
      <w:r>
        <w:rPr>
          <w:snapToGrid w:val="0"/>
          <w:szCs w:val="24"/>
        </w:rPr>
        <w:t>.</w:t>
      </w:r>
      <w:r>
        <w:rPr>
          <w:snapToGrid w:val="0"/>
          <w:szCs w:val="24"/>
        </w:rPr>
        <w:tab/>
        <w:t>Recording of information</w:t>
      </w:r>
      <w:r>
        <w:tab/>
      </w:r>
      <w:r>
        <w:fldChar w:fldCharType="begin"/>
      </w:r>
      <w:r>
        <w:instrText xml:space="preserve"> PAGEREF _Toc129687035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Branding devices</w:t>
      </w:r>
      <w:r>
        <w:tab/>
      </w:r>
      <w:r>
        <w:fldChar w:fldCharType="begin"/>
      </w:r>
      <w:r>
        <w:instrText xml:space="preserve"> PAGEREF _Toc129687036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Application of brand</w:t>
      </w:r>
      <w:r>
        <w:tab/>
      </w:r>
      <w:r>
        <w:fldChar w:fldCharType="begin"/>
      </w:r>
      <w:r>
        <w:instrText xml:space="preserve"> PAGEREF _Toc129687037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Appearance of brand</w:t>
      </w:r>
      <w:r>
        <w:tab/>
      </w:r>
      <w:r>
        <w:fldChar w:fldCharType="begin"/>
      </w:r>
      <w:r>
        <w:instrText xml:space="preserve"> PAGEREF _Toc129687038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Interference with brand</w:t>
      </w:r>
      <w:r>
        <w:tab/>
      </w:r>
      <w:r>
        <w:fldChar w:fldCharType="begin"/>
      </w:r>
      <w:r>
        <w:instrText xml:space="preserve"> PAGEREF _Toc129687039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Inspection of imported carcases</w:t>
      </w:r>
      <w:r>
        <w:tab/>
      </w:r>
      <w:r>
        <w:fldChar w:fldCharType="begin"/>
      </w:r>
      <w:r>
        <w:instrText xml:space="preserve"> PAGEREF _Toc129687040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Lamb — prescribed characteristics and brand</w:t>
      </w:r>
      <w:r>
        <w:tab/>
      </w:r>
      <w:r>
        <w:fldChar w:fldCharType="begin"/>
      </w:r>
      <w:r>
        <w:instrText xml:space="preserve"> PAGEREF _Toc129687041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Lamb slaughtered for export</w:t>
      </w:r>
      <w:r>
        <w:tab/>
      </w:r>
      <w:r>
        <w:fldChar w:fldCharType="begin"/>
      </w:r>
      <w:r>
        <w:instrText xml:space="preserve"> PAGEREF _Toc129687042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Hogget — prescribed characteristics and brand</w:t>
      </w:r>
      <w:r>
        <w:tab/>
      </w:r>
      <w:r>
        <w:fldChar w:fldCharType="begin"/>
      </w:r>
      <w:r>
        <w:instrText xml:space="preserve"> PAGEREF _Toc129687043 \h </w:instrText>
      </w:r>
      <w:r>
        <w:fldChar w:fldCharType="separate"/>
      </w:r>
      <w:r>
        <w:t>9</w:t>
      </w:r>
      <w:r>
        <w:fldChar w:fldCharType="end"/>
      </w:r>
    </w:p>
    <w:p>
      <w:pPr>
        <w:pStyle w:val="TOC8"/>
        <w:rPr>
          <w:sz w:val="24"/>
          <w:szCs w:val="24"/>
        </w:rPr>
      </w:pPr>
      <w:r>
        <w:rPr>
          <w:szCs w:val="24"/>
        </w:rPr>
        <w:t>14</w:t>
      </w:r>
      <w:r>
        <w:rPr>
          <w:snapToGrid w:val="0"/>
          <w:szCs w:val="24"/>
        </w:rPr>
        <w:t xml:space="preserve">. </w:t>
      </w:r>
      <w:r>
        <w:rPr>
          <w:snapToGrid w:val="0"/>
          <w:szCs w:val="24"/>
        </w:rPr>
        <w:tab/>
        <w:t>“Tender Gold” beef — prescribed characteristics and brand</w:t>
      </w:r>
      <w:r>
        <w:tab/>
      </w:r>
      <w:r>
        <w:fldChar w:fldCharType="begin"/>
      </w:r>
      <w:r>
        <w:instrText xml:space="preserve"> PAGEREF _Toc129687044 \h </w:instrText>
      </w:r>
      <w:r>
        <w:fldChar w:fldCharType="separate"/>
      </w:r>
      <w:r>
        <w:t>11</w:t>
      </w:r>
      <w:r>
        <w:fldChar w:fldCharType="end"/>
      </w:r>
    </w:p>
    <w:p>
      <w:pPr>
        <w:pStyle w:val="TOC8"/>
        <w:rPr>
          <w:sz w:val="24"/>
          <w:szCs w:val="24"/>
        </w:rPr>
      </w:pPr>
      <w:r>
        <w:rPr>
          <w:szCs w:val="24"/>
        </w:rPr>
        <w:t>14A</w:t>
      </w:r>
      <w:r>
        <w:rPr>
          <w:snapToGrid w:val="0"/>
          <w:szCs w:val="24"/>
        </w:rPr>
        <w:t>.</w:t>
      </w:r>
      <w:r>
        <w:rPr>
          <w:snapToGrid w:val="0"/>
          <w:szCs w:val="24"/>
        </w:rPr>
        <w:tab/>
        <w:t>“Lot Fed” beef — prescribed characteristics and brand</w:t>
      </w:r>
      <w:r>
        <w:tab/>
      </w:r>
      <w:r>
        <w:fldChar w:fldCharType="begin"/>
      </w:r>
      <w:r>
        <w:instrText xml:space="preserve"> PAGEREF _Toc129687045 \h </w:instrText>
      </w:r>
      <w:r>
        <w:fldChar w:fldCharType="separate"/>
      </w:r>
      <w:r>
        <w:t>14</w:t>
      </w:r>
      <w:r>
        <w:fldChar w:fldCharType="end"/>
      </w:r>
    </w:p>
    <w:p>
      <w:pPr>
        <w:pStyle w:val="TOC2"/>
        <w:tabs>
          <w:tab w:val="right" w:leader="dot" w:pos="7086"/>
        </w:tabs>
        <w:rPr>
          <w:b w:val="0"/>
          <w:sz w:val="24"/>
          <w:szCs w:val="24"/>
        </w:rPr>
      </w:pPr>
      <w:r>
        <w:rPr>
          <w:szCs w:val="30"/>
        </w:rPr>
        <w:t>Part IV — Standard carcases</w:t>
      </w:r>
    </w:p>
    <w:p>
      <w:pPr>
        <w:pStyle w:val="TOC8"/>
        <w:rPr>
          <w:sz w:val="24"/>
          <w:szCs w:val="24"/>
        </w:rPr>
      </w:pPr>
      <w:r>
        <w:rPr>
          <w:szCs w:val="24"/>
        </w:rPr>
        <w:t>15</w:t>
      </w:r>
      <w:r>
        <w:rPr>
          <w:snapToGrid w:val="0"/>
          <w:szCs w:val="24"/>
        </w:rPr>
        <w:t>.</w:t>
      </w:r>
      <w:r>
        <w:rPr>
          <w:snapToGrid w:val="0"/>
          <w:szCs w:val="24"/>
        </w:rPr>
        <w:tab/>
        <w:t>Sale of standard carcases</w:t>
      </w:r>
      <w:r>
        <w:tab/>
      </w:r>
      <w:r>
        <w:fldChar w:fldCharType="begin"/>
      </w:r>
      <w:r>
        <w:instrText xml:space="preserve"> PAGEREF _Toc129687047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Weighing of carcases</w:t>
      </w:r>
      <w:r>
        <w:tab/>
      </w:r>
      <w:r>
        <w:fldChar w:fldCharType="begin"/>
      </w:r>
      <w:r>
        <w:instrText xml:space="preserve"> PAGEREF _Toc129687048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Standard carcase</w:t>
      </w:r>
      <w:r>
        <w:tab/>
      </w:r>
      <w:r>
        <w:fldChar w:fldCharType="begin"/>
      </w:r>
      <w:r>
        <w:instrText xml:space="preserve"> PAGEREF _Toc129687049 \h </w:instrText>
      </w:r>
      <w:r>
        <w:fldChar w:fldCharType="separate"/>
      </w:r>
      <w:r>
        <w:t>18</w:t>
      </w:r>
      <w:r>
        <w:fldChar w:fldCharType="end"/>
      </w:r>
    </w:p>
    <w:p>
      <w:pPr>
        <w:pStyle w:val="TOC2"/>
        <w:tabs>
          <w:tab w:val="right" w:leader="dot" w:pos="7086"/>
        </w:tabs>
        <w:rPr>
          <w:b w:val="0"/>
          <w:sz w:val="24"/>
          <w:szCs w:val="24"/>
        </w:rPr>
      </w:pPr>
      <w:r>
        <w:rPr>
          <w:szCs w:val="30"/>
        </w:rPr>
        <w:t>Part V — Abattoirs</w:t>
      </w:r>
    </w:p>
    <w:p>
      <w:pPr>
        <w:pStyle w:val="TOC8"/>
        <w:rPr>
          <w:sz w:val="24"/>
          <w:szCs w:val="24"/>
        </w:rPr>
      </w:pPr>
      <w:r>
        <w:rPr>
          <w:szCs w:val="24"/>
        </w:rPr>
        <w:t>18</w:t>
      </w:r>
      <w:r>
        <w:rPr>
          <w:snapToGrid w:val="0"/>
          <w:szCs w:val="24"/>
        </w:rPr>
        <w:t>.</w:t>
      </w:r>
      <w:r>
        <w:rPr>
          <w:snapToGrid w:val="0"/>
          <w:szCs w:val="24"/>
        </w:rPr>
        <w:tab/>
        <w:t>References to forms</w:t>
      </w:r>
      <w:r>
        <w:tab/>
      </w:r>
      <w:r>
        <w:fldChar w:fldCharType="begin"/>
      </w:r>
      <w:r>
        <w:instrText xml:space="preserve"> PAGEREF _Toc129687051 \h </w:instrText>
      </w:r>
      <w:r>
        <w:fldChar w:fldCharType="separate"/>
      </w:r>
      <w:r>
        <w:t>19</w:t>
      </w:r>
      <w:r>
        <w:fldChar w:fldCharType="end"/>
      </w:r>
    </w:p>
    <w:p>
      <w:pPr>
        <w:pStyle w:val="TOC8"/>
        <w:rPr>
          <w:sz w:val="24"/>
          <w:szCs w:val="24"/>
        </w:rPr>
      </w:pPr>
      <w:r>
        <w:rPr>
          <w:szCs w:val="24"/>
        </w:rPr>
        <w:t>19</w:t>
      </w:r>
      <w:r>
        <w:rPr>
          <w:snapToGrid w:val="0"/>
          <w:szCs w:val="24"/>
        </w:rPr>
        <w:t>.</w:t>
      </w:r>
      <w:r>
        <w:rPr>
          <w:snapToGrid w:val="0"/>
          <w:szCs w:val="24"/>
        </w:rPr>
        <w:tab/>
        <w:t>Form of applications for approvals</w:t>
      </w:r>
      <w:r>
        <w:tab/>
      </w:r>
      <w:r>
        <w:fldChar w:fldCharType="begin"/>
      </w:r>
      <w:r>
        <w:instrText xml:space="preserve"> PAGEREF _Toc129687052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Form of approvals</w:t>
      </w:r>
      <w:r>
        <w:tab/>
      </w:r>
      <w:r>
        <w:fldChar w:fldCharType="begin"/>
      </w:r>
      <w:r>
        <w:instrText xml:space="preserve"> PAGEREF _Toc129687053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Matter prescribed under section 19(b)(vi) of the Act</w:t>
      </w:r>
      <w:r>
        <w:tab/>
      </w:r>
      <w:r>
        <w:fldChar w:fldCharType="begin"/>
      </w:r>
      <w:r>
        <w:instrText xml:space="preserve"> PAGEREF _Toc129687054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Notification of changes</w:t>
      </w:r>
      <w:r>
        <w:tab/>
      </w:r>
      <w:r>
        <w:fldChar w:fldCharType="begin"/>
      </w:r>
      <w:r>
        <w:instrText xml:space="preserve"> PAGEREF _Toc129687055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Monthly returns</w:t>
      </w:r>
      <w:r>
        <w:tab/>
      </w:r>
      <w:r>
        <w:fldChar w:fldCharType="begin"/>
      </w:r>
      <w:r>
        <w:instrText xml:space="preserve"> PAGEREF _Toc129687056 \h </w:instrText>
      </w:r>
      <w:r>
        <w:fldChar w:fldCharType="separate"/>
      </w:r>
      <w:r>
        <w:t>20</w:t>
      </w:r>
      <w:r>
        <w:fldChar w:fldCharType="end"/>
      </w:r>
    </w:p>
    <w:p>
      <w:pPr>
        <w:pStyle w:val="TOC2"/>
        <w:tabs>
          <w:tab w:val="right" w:leader="dot" w:pos="7086"/>
        </w:tabs>
        <w:rPr>
          <w:b w:val="0"/>
          <w:sz w:val="24"/>
          <w:szCs w:val="24"/>
        </w:rPr>
      </w:pPr>
      <w:r>
        <w:rPr>
          <w:szCs w:val="30"/>
        </w:rPr>
        <w:t>Part VI — Midland Saleyard</w:t>
      </w:r>
    </w:p>
    <w:p>
      <w:pPr>
        <w:pStyle w:val="TOC8"/>
        <w:rPr>
          <w:sz w:val="24"/>
          <w:szCs w:val="24"/>
        </w:rPr>
      </w:pPr>
      <w:r>
        <w:rPr>
          <w:szCs w:val="24"/>
        </w:rPr>
        <w:t>25</w:t>
      </w:r>
      <w:r>
        <w:rPr>
          <w:snapToGrid w:val="0"/>
          <w:szCs w:val="24"/>
        </w:rPr>
        <w:t>.</w:t>
      </w:r>
      <w:r>
        <w:rPr>
          <w:snapToGrid w:val="0"/>
          <w:szCs w:val="24"/>
        </w:rPr>
        <w:tab/>
        <w:t>Stock agents</w:t>
      </w:r>
      <w:r>
        <w:tab/>
      </w:r>
      <w:r>
        <w:fldChar w:fldCharType="begin"/>
      </w:r>
      <w:r>
        <w:instrText xml:space="preserve"> PAGEREF _Toc129687058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Delivery of stock to Midland Saleyard</w:t>
      </w:r>
      <w:r>
        <w:tab/>
      </w:r>
      <w:r>
        <w:fldChar w:fldCharType="begin"/>
      </w:r>
      <w:r>
        <w:instrText xml:space="preserve"> PAGEREF _Toc129687059 \h </w:instrText>
      </w:r>
      <w:r>
        <w:fldChar w:fldCharType="separate"/>
      </w:r>
      <w:r>
        <w:t>21</w:t>
      </w:r>
      <w:r>
        <w:fldChar w:fldCharType="end"/>
      </w:r>
    </w:p>
    <w:p>
      <w:pPr>
        <w:pStyle w:val="TOC8"/>
        <w:rPr>
          <w:sz w:val="24"/>
          <w:szCs w:val="24"/>
        </w:rPr>
      </w:pPr>
      <w:r>
        <w:rPr>
          <w:szCs w:val="24"/>
        </w:rPr>
        <w:t>27</w:t>
      </w:r>
      <w:r>
        <w:rPr>
          <w:snapToGrid w:val="0"/>
          <w:szCs w:val="24"/>
        </w:rPr>
        <w:t>.</w:t>
      </w:r>
      <w:r>
        <w:rPr>
          <w:snapToGrid w:val="0"/>
          <w:szCs w:val="24"/>
        </w:rPr>
        <w:tab/>
        <w:t>Care of stock in Midland Saleyard</w:t>
      </w:r>
      <w:r>
        <w:tab/>
      </w:r>
      <w:r>
        <w:fldChar w:fldCharType="begin"/>
      </w:r>
      <w:r>
        <w:instrText xml:space="preserve"> PAGEREF _Toc129687060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Dead or disabled stock</w:t>
      </w:r>
      <w:r>
        <w:tab/>
      </w:r>
      <w:r>
        <w:fldChar w:fldCharType="begin"/>
      </w:r>
      <w:r>
        <w:instrText xml:space="preserve"> PAGEREF _Toc129687061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Stock yarded for sale</w:t>
      </w:r>
      <w:r>
        <w:tab/>
      </w:r>
      <w:r>
        <w:fldChar w:fldCharType="begin"/>
      </w:r>
      <w:r>
        <w:instrText xml:space="preserve"> PAGEREF _Toc129687062 \h </w:instrText>
      </w:r>
      <w:r>
        <w:fldChar w:fldCharType="separate"/>
      </w:r>
      <w:r>
        <w:t>22</w:t>
      </w:r>
      <w:r>
        <w:fldChar w:fldCharType="end"/>
      </w:r>
    </w:p>
    <w:p>
      <w:pPr>
        <w:pStyle w:val="TOC8"/>
        <w:rPr>
          <w:sz w:val="24"/>
          <w:szCs w:val="24"/>
        </w:rPr>
      </w:pPr>
      <w:r>
        <w:rPr>
          <w:szCs w:val="24"/>
        </w:rPr>
        <w:t>30</w:t>
      </w:r>
      <w:r>
        <w:rPr>
          <w:snapToGrid w:val="0"/>
          <w:szCs w:val="24"/>
        </w:rPr>
        <w:t>.</w:t>
      </w:r>
      <w:r>
        <w:rPr>
          <w:snapToGrid w:val="0"/>
          <w:szCs w:val="24"/>
        </w:rPr>
        <w:tab/>
        <w:t>No private sales before auction</w:t>
      </w:r>
      <w:r>
        <w:tab/>
      </w:r>
      <w:r>
        <w:fldChar w:fldCharType="begin"/>
      </w:r>
      <w:r>
        <w:instrText xml:space="preserve"> PAGEREF _Toc129687063 \h </w:instrText>
      </w:r>
      <w:r>
        <w:fldChar w:fldCharType="separate"/>
      </w:r>
      <w:r>
        <w:t>23</w:t>
      </w:r>
      <w:r>
        <w:fldChar w:fldCharType="end"/>
      </w:r>
    </w:p>
    <w:p>
      <w:pPr>
        <w:pStyle w:val="TOC8"/>
        <w:rPr>
          <w:sz w:val="24"/>
          <w:szCs w:val="24"/>
        </w:rPr>
      </w:pPr>
      <w:r>
        <w:rPr>
          <w:szCs w:val="24"/>
        </w:rPr>
        <w:t>30A</w:t>
      </w:r>
      <w:r>
        <w:rPr>
          <w:snapToGrid w:val="0"/>
          <w:szCs w:val="24"/>
        </w:rPr>
        <w:t>.</w:t>
      </w:r>
      <w:r>
        <w:rPr>
          <w:snapToGrid w:val="0"/>
          <w:szCs w:val="24"/>
        </w:rPr>
        <w:tab/>
        <w:t>Abandoned stock</w:t>
      </w:r>
      <w:r>
        <w:tab/>
      </w:r>
      <w:r>
        <w:fldChar w:fldCharType="begin"/>
      </w:r>
      <w:r>
        <w:instrText xml:space="preserve"> PAGEREF _Toc129687064 \h </w:instrText>
      </w:r>
      <w:r>
        <w:fldChar w:fldCharType="separate"/>
      </w:r>
      <w:r>
        <w:t>23</w:t>
      </w:r>
      <w:r>
        <w:fldChar w:fldCharType="end"/>
      </w:r>
    </w:p>
    <w:p>
      <w:pPr>
        <w:pStyle w:val="TOC8"/>
        <w:rPr>
          <w:sz w:val="24"/>
          <w:szCs w:val="24"/>
        </w:rPr>
      </w:pPr>
      <w:r>
        <w:rPr>
          <w:szCs w:val="24"/>
        </w:rPr>
        <w:t>31</w:t>
      </w:r>
      <w:r>
        <w:rPr>
          <w:snapToGrid w:val="0"/>
          <w:szCs w:val="24"/>
        </w:rPr>
        <w:t>.</w:t>
      </w:r>
      <w:r>
        <w:rPr>
          <w:snapToGrid w:val="0"/>
          <w:szCs w:val="24"/>
        </w:rPr>
        <w:tab/>
        <w:t>Purchaser’s order</w:t>
      </w:r>
      <w:r>
        <w:tab/>
      </w:r>
      <w:r>
        <w:fldChar w:fldCharType="begin"/>
      </w:r>
      <w:r>
        <w:instrText xml:space="preserve"> PAGEREF _Toc129687065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Vehicle washing facilities</w:t>
      </w:r>
      <w:r>
        <w:tab/>
      </w:r>
      <w:r>
        <w:fldChar w:fldCharType="begin"/>
      </w:r>
      <w:r>
        <w:instrText xml:space="preserve"> PAGEREF _Toc129687066 \h </w:instrText>
      </w:r>
      <w:r>
        <w:fldChar w:fldCharType="separate"/>
      </w:r>
      <w:r>
        <w:t>24</w:t>
      </w:r>
      <w:r>
        <w:fldChar w:fldCharType="end"/>
      </w:r>
    </w:p>
    <w:p>
      <w:pPr>
        <w:pStyle w:val="TOC2"/>
        <w:tabs>
          <w:tab w:val="right" w:leader="dot" w:pos="7086"/>
        </w:tabs>
        <w:rPr>
          <w:b w:val="0"/>
          <w:sz w:val="24"/>
          <w:szCs w:val="24"/>
        </w:rPr>
      </w:pPr>
      <w:r>
        <w:rPr>
          <w:szCs w:val="30"/>
        </w:rPr>
        <w:t>Part VII — Fees and returns</w:t>
      </w:r>
    </w:p>
    <w:p>
      <w:pPr>
        <w:pStyle w:val="TOC8"/>
        <w:rPr>
          <w:sz w:val="24"/>
          <w:szCs w:val="24"/>
        </w:rPr>
      </w:pPr>
      <w:r>
        <w:rPr>
          <w:szCs w:val="24"/>
        </w:rPr>
        <w:t>33</w:t>
      </w:r>
      <w:r>
        <w:rPr>
          <w:snapToGrid w:val="0"/>
          <w:szCs w:val="24"/>
        </w:rPr>
        <w:t>.</w:t>
      </w:r>
      <w:r>
        <w:rPr>
          <w:snapToGrid w:val="0"/>
          <w:szCs w:val="24"/>
        </w:rPr>
        <w:tab/>
        <w:t>Abattoir fees</w:t>
      </w:r>
      <w:r>
        <w:tab/>
      </w:r>
      <w:r>
        <w:fldChar w:fldCharType="begin"/>
      </w:r>
      <w:r>
        <w:instrText xml:space="preserve"> PAGEREF _Toc129687068 \h </w:instrText>
      </w:r>
      <w:r>
        <w:fldChar w:fldCharType="separate"/>
      </w:r>
      <w:r>
        <w:t>25</w:t>
      </w:r>
      <w:r>
        <w:fldChar w:fldCharType="end"/>
      </w:r>
    </w:p>
    <w:p>
      <w:pPr>
        <w:pStyle w:val="TOC8"/>
        <w:rPr>
          <w:sz w:val="24"/>
          <w:szCs w:val="24"/>
        </w:rPr>
      </w:pPr>
      <w:r>
        <w:rPr>
          <w:szCs w:val="24"/>
        </w:rPr>
        <w:t>34.</w:t>
      </w:r>
      <w:r>
        <w:rPr>
          <w:szCs w:val="24"/>
        </w:rPr>
        <w:tab/>
        <w:t>Midland Saleyard fees</w:t>
      </w:r>
      <w:r>
        <w:tab/>
      </w:r>
      <w:r>
        <w:fldChar w:fldCharType="begin"/>
      </w:r>
      <w:r>
        <w:instrText xml:space="preserve"> PAGEREF _Toc129687069 \h </w:instrText>
      </w:r>
      <w:r>
        <w:fldChar w:fldCharType="separate"/>
      </w:r>
      <w:r>
        <w:t>25</w:t>
      </w:r>
      <w:r>
        <w:fldChar w:fldCharType="end"/>
      </w:r>
    </w:p>
    <w:p>
      <w:pPr>
        <w:pStyle w:val="TOC8"/>
        <w:rPr>
          <w:sz w:val="24"/>
          <w:szCs w:val="24"/>
        </w:rPr>
      </w:pPr>
      <w:r>
        <w:rPr>
          <w:szCs w:val="24"/>
        </w:rPr>
        <w:t>35</w:t>
      </w:r>
      <w:r>
        <w:rPr>
          <w:snapToGrid w:val="0"/>
          <w:szCs w:val="24"/>
        </w:rPr>
        <w:t>.</w:t>
      </w:r>
      <w:r>
        <w:rPr>
          <w:snapToGrid w:val="0"/>
          <w:szCs w:val="24"/>
        </w:rPr>
        <w:tab/>
        <w:t>Returns for yarded stock</w:t>
      </w:r>
      <w:r>
        <w:tab/>
      </w:r>
      <w:r>
        <w:fldChar w:fldCharType="begin"/>
      </w:r>
      <w:r>
        <w:instrText xml:space="preserve"> PAGEREF _Toc129687070 \h </w:instrText>
      </w:r>
      <w:r>
        <w:fldChar w:fldCharType="separate"/>
      </w:r>
      <w:r>
        <w:t>26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w:t>
      </w:r>
      <w:r>
        <w:rPr>
          <w:sz w:val="24"/>
          <w:szCs w:val="28"/>
        </w:rPr>
        <w:t xml:space="preserve"> </w:t>
      </w:r>
      <w:r>
        <w:rPr>
          <w:szCs w:val="28"/>
        </w:rPr>
        <w:t>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Part 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Part A</w:t>
      </w:r>
    </w:p>
    <w:p>
      <w:pPr>
        <w:pStyle w:val="TOC2"/>
        <w:tabs>
          <w:tab w:val="right" w:leader="dot" w:pos="7086"/>
        </w:tabs>
        <w:rPr>
          <w:b w:val="0"/>
          <w:sz w:val="24"/>
          <w:szCs w:val="24"/>
        </w:rPr>
      </w:pPr>
      <w:r>
        <w:rPr>
          <w:szCs w:val="28"/>
        </w:rPr>
        <w:t>Part B</w:t>
      </w:r>
    </w:p>
    <w:p>
      <w:pPr>
        <w:pStyle w:val="TOC2"/>
        <w:tabs>
          <w:tab w:val="right" w:leader="dot" w:pos="7086"/>
        </w:tabs>
        <w:rPr>
          <w:b w:val="0"/>
          <w:sz w:val="24"/>
          <w:szCs w:val="24"/>
        </w:rPr>
      </w:pPr>
      <w:r>
        <w:rPr>
          <w:szCs w:val="28"/>
        </w:rPr>
        <w:t>Part C</w:t>
      </w:r>
    </w:p>
    <w:p>
      <w:pPr>
        <w:pStyle w:val="TOC2"/>
        <w:tabs>
          <w:tab w:val="right" w:leader="dot" w:pos="7086"/>
        </w:tabs>
        <w:rPr>
          <w:b w:val="0"/>
          <w:sz w:val="24"/>
          <w:szCs w:val="24"/>
        </w:rPr>
      </w:pPr>
      <w:r>
        <w:rPr>
          <w:szCs w:val="28"/>
        </w:rPr>
        <w:t>Part D</w:t>
      </w:r>
    </w:p>
    <w:p>
      <w:pPr>
        <w:pStyle w:val="TOC2"/>
        <w:tabs>
          <w:tab w:val="right" w:leader="dot" w:pos="7086"/>
        </w:tabs>
        <w:rPr>
          <w:b w:val="0"/>
          <w:sz w:val="24"/>
          <w:szCs w:val="24"/>
        </w:rPr>
      </w:pPr>
      <w:r>
        <w:rPr>
          <w:szCs w:val="28"/>
        </w:rPr>
        <w:t>Schedule 4</w:t>
      </w:r>
    </w:p>
    <w:p>
      <w:pPr>
        <w:pStyle w:val="TOC8"/>
        <w:rPr>
          <w:sz w:val="24"/>
          <w:szCs w:val="24"/>
        </w:rPr>
      </w:pPr>
      <w:r>
        <w:rPr>
          <w:szCs w:val="22"/>
        </w:rPr>
        <w:t>1</w:t>
      </w:r>
      <w:r>
        <w:rPr>
          <w:snapToGrid w:val="0"/>
          <w:szCs w:val="22"/>
        </w:rPr>
        <w:t>.</w:t>
      </w:r>
      <w:r>
        <w:rPr>
          <w:snapToGrid w:val="0"/>
          <w:szCs w:val="22"/>
        </w:rPr>
        <w:tab/>
        <w:t>Pigs</w:t>
      </w:r>
      <w:r>
        <w:tab/>
      </w:r>
      <w:r>
        <w:fldChar w:fldCharType="begin"/>
      </w:r>
      <w:r>
        <w:instrText xml:space="preserve"> PAGEREF _Toc129687084 \h </w:instrText>
      </w:r>
      <w:r>
        <w:fldChar w:fldCharType="separate"/>
      </w:r>
      <w:r>
        <w:t>36</w:t>
      </w:r>
      <w:r>
        <w:fldChar w:fldCharType="end"/>
      </w:r>
    </w:p>
    <w:p>
      <w:pPr>
        <w:pStyle w:val="TOC8"/>
        <w:rPr>
          <w:sz w:val="24"/>
          <w:szCs w:val="24"/>
        </w:rPr>
      </w:pPr>
      <w:r>
        <w:rPr>
          <w:szCs w:val="22"/>
        </w:rPr>
        <w:t>2</w:t>
      </w:r>
      <w:r>
        <w:rPr>
          <w:snapToGrid w:val="0"/>
          <w:szCs w:val="22"/>
        </w:rPr>
        <w:t>.</w:t>
      </w:r>
      <w:r>
        <w:rPr>
          <w:snapToGrid w:val="0"/>
          <w:szCs w:val="22"/>
        </w:rPr>
        <w:tab/>
        <w:t>Cattle</w:t>
      </w:r>
      <w:r>
        <w:tab/>
      </w:r>
      <w:r>
        <w:fldChar w:fldCharType="begin"/>
      </w:r>
      <w:r>
        <w:instrText xml:space="preserve"> PAGEREF _Toc129687085 \h </w:instrText>
      </w:r>
      <w:r>
        <w:fldChar w:fldCharType="separate"/>
      </w:r>
      <w:r>
        <w:t>36</w:t>
      </w:r>
      <w:r>
        <w:fldChar w:fldCharType="end"/>
      </w:r>
    </w:p>
    <w:p>
      <w:pPr>
        <w:pStyle w:val="TOC8"/>
        <w:rPr>
          <w:sz w:val="24"/>
          <w:szCs w:val="24"/>
        </w:rPr>
      </w:pPr>
      <w:r>
        <w:rPr>
          <w:szCs w:val="22"/>
        </w:rPr>
        <w:t>3</w:t>
      </w:r>
      <w:r>
        <w:rPr>
          <w:snapToGrid w:val="0"/>
          <w:szCs w:val="22"/>
        </w:rPr>
        <w:t>.</w:t>
      </w:r>
      <w:r>
        <w:rPr>
          <w:snapToGrid w:val="0"/>
          <w:szCs w:val="22"/>
        </w:rPr>
        <w:tab/>
        <w:t>Sheep</w:t>
      </w:r>
      <w:r>
        <w:tab/>
      </w:r>
      <w:r>
        <w:fldChar w:fldCharType="begin"/>
      </w:r>
      <w:r>
        <w:instrText xml:space="preserve"> PAGEREF _Toc129687086 \h </w:instrText>
      </w:r>
      <w:r>
        <w:fldChar w:fldCharType="separate"/>
      </w:r>
      <w:r>
        <w:t>37</w:t>
      </w:r>
      <w:r>
        <w:fldChar w:fldCharType="end"/>
      </w:r>
    </w:p>
    <w:p>
      <w:pPr>
        <w:pStyle w:val="TOC8"/>
        <w:rPr>
          <w:sz w:val="24"/>
          <w:szCs w:val="24"/>
        </w:rPr>
      </w:pPr>
      <w:r>
        <w:rPr>
          <w:szCs w:val="22"/>
        </w:rPr>
        <w:t>4</w:t>
      </w:r>
      <w:r>
        <w:rPr>
          <w:snapToGrid w:val="0"/>
          <w:szCs w:val="22"/>
        </w:rPr>
        <w:t>.</w:t>
      </w:r>
      <w:r>
        <w:rPr>
          <w:snapToGrid w:val="0"/>
          <w:szCs w:val="22"/>
        </w:rPr>
        <w:tab/>
        <w:t>Goats</w:t>
      </w:r>
      <w:r>
        <w:tab/>
      </w:r>
      <w:r>
        <w:fldChar w:fldCharType="begin"/>
      </w:r>
      <w:r>
        <w:instrText xml:space="preserve"> PAGEREF _Toc129687087 \h </w:instrText>
      </w:r>
      <w:r>
        <w:fldChar w:fldCharType="separate"/>
      </w:r>
      <w:r>
        <w:t>38</w:t>
      </w:r>
      <w:r>
        <w:fldChar w:fldCharType="end"/>
      </w:r>
    </w:p>
    <w:p>
      <w:pPr>
        <w:pStyle w:val="TOC2"/>
        <w:tabs>
          <w:tab w:val="right" w:leader="dot" w:pos="7086"/>
        </w:tabs>
        <w:rPr>
          <w:b w:val="0"/>
          <w:sz w:val="24"/>
          <w:szCs w:val="24"/>
        </w:rPr>
      </w:pPr>
      <w:r>
        <w:rPr>
          <w:szCs w:val="28"/>
        </w:rPr>
        <w:t>Schedule 5</w:t>
      </w:r>
    </w:p>
    <w:p>
      <w:pPr>
        <w:pStyle w:val="TOC2"/>
        <w:tabs>
          <w:tab w:val="right" w:leader="dot" w:pos="7086"/>
        </w:tabs>
        <w:rPr>
          <w:b w:val="0"/>
          <w:sz w:val="24"/>
          <w:szCs w:val="24"/>
        </w:rPr>
      </w:pPr>
      <w:r>
        <w:rPr>
          <w:szCs w:val="28"/>
        </w:rPr>
        <w:t>Schedule 6</w:t>
      </w:r>
    </w:p>
    <w:p>
      <w:pPr>
        <w:pStyle w:val="TOC2"/>
        <w:tabs>
          <w:tab w:val="right" w:leader="dot" w:pos="7086"/>
        </w:tabs>
        <w:rPr>
          <w:b w:val="0"/>
          <w:sz w:val="24"/>
          <w:szCs w:val="24"/>
        </w:rPr>
      </w:pPr>
      <w:r>
        <w:rPr>
          <w:szCs w:val="28"/>
        </w:rPr>
        <w:t>Part 1 — Abattoir fees</w:t>
      </w:r>
    </w:p>
    <w:p>
      <w:pPr>
        <w:pStyle w:val="TOC2"/>
        <w:tabs>
          <w:tab w:val="right" w:leader="dot" w:pos="7086"/>
        </w:tabs>
        <w:rPr>
          <w:b w:val="0"/>
          <w:sz w:val="24"/>
          <w:szCs w:val="24"/>
        </w:rPr>
      </w:pPr>
      <w:r>
        <w:rPr>
          <w:szCs w:val="28"/>
        </w:rPr>
        <w:t>Part 2 — Midland Saleyard : sale fees</w:t>
      </w:r>
    </w:p>
    <w:p>
      <w:pPr>
        <w:pStyle w:val="TOC2"/>
        <w:tabs>
          <w:tab w:val="right" w:leader="dot" w:pos="7086"/>
        </w:tabs>
        <w:rPr>
          <w:b w:val="0"/>
          <w:sz w:val="24"/>
          <w:szCs w:val="24"/>
        </w:rPr>
      </w:pPr>
      <w:r>
        <w:rPr>
          <w:szCs w:val="28"/>
        </w:rPr>
        <w:t>Part 3 — Midland Saleyard : transhipment fees</w:t>
      </w:r>
    </w:p>
    <w:p>
      <w:pPr>
        <w:pStyle w:val="TOC2"/>
        <w:tabs>
          <w:tab w:val="right" w:leader="dot" w:pos="7086"/>
        </w:tabs>
        <w:rPr>
          <w:b w:val="0"/>
          <w:sz w:val="24"/>
          <w:szCs w:val="24"/>
        </w:rPr>
      </w:pPr>
      <w:r>
        <w:rPr>
          <w:szCs w:val="28"/>
        </w:rPr>
        <w:t>Part 4 — Interpretation</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_Toc129687095 \h </w:instrText>
      </w:r>
      <w:r>
        <w:fldChar w:fldCharType="separate"/>
      </w:r>
      <w:r>
        <w:t>49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February 2006</w:t>
            </w:r>
          </w:p>
        </w:tc>
      </w:tr>
    </w:tbl>
    <w:p>
      <w:pPr>
        <w:pStyle w:val="WA"/>
      </w:pPr>
      <w:r>
        <w:t>Western Australia</w:t>
      </w:r>
    </w:p>
    <w:p>
      <w:pPr>
        <w:pStyle w:val="PrincipalActReg"/>
        <w:rPr>
          <w:snapToGrid w:val="0"/>
        </w:rPr>
      </w:pPr>
      <w:r>
        <w:rPr>
          <w:snapToGrid w:val="0"/>
        </w:rPr>
        <w:t>Western Australian Meat Industry Authority Act 1976</w:t>
      </w:r>
    </w:p>
    <w:p>
      <w:pPr>
        <w:pStyle w:val="NameofActReg"/>
      </w:pPr>
      <w:r>
        <w:t>Western Australian Meat Industry Authority Regulations 1985</w:t>
      </w:r>
    </w:p>
    <w:p>
      <w:pPr>
        <w:pStyle w:val="Heading2"/>
        <w:pageBreakBefore w:val="0"/>
      </w:pPr>
      <w:bookmarkStart w:id="2" w:name="_Toc74987943"/>
      <w:bookmarkStart w:id="3" w:name="_Toc92686621"/>
      <w:bookmarkStart w:id="4" w:name="_Toc92875761"/>
      <w:bookmarkStart w:id="5" w:name="_Toc112492514"/>
      <w:bookmarkStart w:id="6" w:name="_Toc121819099"/>
      <w:bookmarkStart w:id="7" w:name="_Toc122409064"/>
      <w:bookmarkStart w:id="8" w:name="_Toc122494368"/>
      <w:bookmarkStart w:id="9" w:name="_Toc122494475"/>
      <w:bookmarkStart w:id="10" w:name="_Toc127261474"/>
      <w:bookmarkStart w:id="11" w:name="_Toc12968702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435352692"/>
      <w:bookmarkStart w:id="13" w:name="_Toc54070762"/>
      <w:bookmarkStart w:id="14" w:name="_Toc129687029"/>
      <w:r>
        <w:rPr>
          <w:rStyle w:val="CharSectno"/>
        </w:rPr>
        <w:t>1</w:t>
      </w:r>
      <w:r>
        <w:rPr>
          <w:snapToGrid w:val="0"/>
        </w:rPr>
        <w:t>.</w:t>
      </w:r>
      <w:r>
        <w:rPr>
          <w:snapToGrid w:val="0"/>
        </w:rPr>
        <w:tab/>
        <w:t>Citation</w:t>
      </w:r>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 xml:space="preserve">Western Australian Meat Industry Authority Regulations 1985 </w:t>
      </w:r>
      <w:r>
        <w:rPr>
          <w:snapToGrid w:val="0"/>
          <w:vertAlign w:val="superscript"/>
        </w:rPr>
        <w:t>1</w:t>
      </w:r>
      <w:r>
        <w:rPr>
          <w:snapToGrid w:val="0"/>
        </w:rPr>
        <w:t>.</w:t>
      </w:r>
    </w:p>
    <w:p>
      <w:pPr>
        <w:pStyle w:val="Heading5"/>
        <w:rPr>
          <w:snapToGrid w:val="0"/>
        </w:rPr>
      </w:pPr>
      <w:bookmarkStart w:id="15" w:name="_Toc435352693"/>
      <w:bookmarkStart w:id="16" w:name="_Toc54070763"/>
      <w:bookmarkStart w:id="17" w:name="_Toc129687030"/>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 </w:t>
      </w:r>
      <w:r>
        <w:rPr>
          <w:snapToGrid w:val="0"/>
          <w:vertAlign w:val="superscript"/>
        </w:rPr>
        <w:t>1</w:t>
      </w:r>
      <w:r>
        <w:rPr>
          <w:snapToGrid w:val="0"/>
        </w:rPr>
        <w:t>.</w:t>
      </w:r>
    </w:p>
    <w:p>
      <w:pPr>
        <w:pStyle w:val="Heading5"/>
        <w:rPr>
          <w:snapToGrid w:val="0"/>
        </w:rPr>
      </w:pPr>
      <w:bookmarkStart w:id="18" w:name="_Toc435352694"/>
      <w:bookmarkStart w:id="19" w:name="_Toc54070764"/>
      <w:bookmarkStart w:id="20" w:name="_Toc129687031"/>
      <w:r>
        <w:rPr>
          <w:rStyle w:val="CharSectno"/>
        </w:rPr>
        <w:t>3</w:t>
      </w:r>
      <w:r>
        <w:rPr>
          <w:snapToGrid w:val="0"/>
        </w:rPr>
        <w:t>.</w:t>
      </w:r>
      <w:r>
        <w:rPr>
          <w:snapToGrid w:val="0"/>
        </w:rPr>
        <w:tab/>
        <w:t>Interpretation</w:t>
      </w:r>
      <w:bookmarkEnd w:id="18"/>
      <w:bookmarkEnd w:id="19"/>
      <w:bookmarkEnd w:id="2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Authority;</w:t>
      </w:r>
    </w:p>
    <w:p>
      <w:pPr>
        <w:pStyle w:val="Defstart"/>
        <w:keepLines/>
      </w:pPr>
      <w:r>
        <w:rPr>
          <w:b/>
        </w:rPr>
        <w:tab/>
        <w:t>“</w:t>
      </w:r>
      <w:r>
        <w:rPr>
          <w:rStyle w:val="CharDefText"/>
        </w:rPr>
        <w:t>Aus</w:t>
      </w:r>
      <w:r>
        <w:rPr>
          <w:rStyle w:val="CharDefText"/>
        </w:rPr>
        <w:noBreakHyphen/>
        <w:t>Meat</w:t>
      </w:r>
      <w:r>
        <w:rPr>
          <w:b/>
        </w:rPr>
        <w:t>”</w:t>
      </w:r>
      <w:r>
        <w:t xml:space="preserve"> means the Authority for Uniform Specification of Meat and Livestock appointed under section 16 of the </w:t>
      </w:r>
      <w:r>
        <w:rPr>
          <w:i/>
        </w:rPr>
        <w:t>Australian Meat and Live</w:t>
      </w:r>
      <w:r>
        <w:rPr>
          <w:i/>
        </w:rPr>
        <w:noBreakHyphen/>
        <w:t>stock Corporation Act 1977</w:t>
      </w:r>
      <w:r>
        <w:t xml:space="preserve"> of the Commonwealth;</w:t>
      </w:r>
    </w:p>
    <w:p>
      <w:pPr>
        <w:pStyle w:val="Defstart"/>
      </w:pPr>
      <w:r>
        <w:rPr>
          <w:b/>
        </w:rPr>
        <w:tab/>
        <w:t>“</w:t>
      </w:r>
      <w:r>
        <w:rPr>
          <w:rStyle w:val="CharDefText"/>
        </w:rPr>
        <w:t>intended for small goods manufacture</w:t>
      </w:r>
      <w:r>
        <w:rPr>
          <w:b/>
        </w:rPr>
        <w:t>”</w:t>
      </w:r>
      <w:r>
        <w:t xml:space="preserve"> means identified for use in smallgoods manufacture by an approved ticket;</w:t>
      </w:r>
    </w:p>
    <w:p>
      <w:pPr>
        <w:pStyle w:val="Defstart"/>
      </w:pPr>
      <w:r>
        <w:rPr>
          <w:b/>
        </w:rPr>
        <w:tab/>
        <w:t>“</w:t>
      </w:r>
      <w:r>
        <w:rPr>
          <w:rStyle w:val="CharDefText"/>
        </w:rPr>
        <w:t>lamb</w:t>
      </w:r>
      <w:r>
        <w:rPr>
          <w:b/>
        </w:rPr>
        <w:t>”</w:t>
      </w:r>
      <w:r>
        <w:t xml:space="preserve"> means a sheep that has not cut a permanent incisor tooth;</w:t>
      </w:r>
    </w:p>
    <w:p>
      <w:pPr>
        <w:pStyle w:val="Defstart"/>
      </w:pPr>
      <w:r>
        <w:rPr>
          <w:b/>
        </w:rPr>
        <w:tab/>
        <w:t>“</w:t>
      </w:r>
      <w:r>
        <w:rPr>
          <w:rStyle w:val="CharDefText"/>
        </w:rPr>
        <w:t>meat inspection service</w:t>
      </w:r>
      <w:r>
        <w:rPr>
          <w:b/>
        </w:rPr>
        <w:t>”</w:t>
      </w:r>
      <w:r>
        <w:t xml:space="preserve"> means a service established for the purpose of the inspection of meat and approved by the Authority for the purposes of these regulations;</w:t>
      </w:r>
    </w:p>
    <w:p>
      <w:pPr>
        <w:pStyle w:val="Defstart"/>
      </w:pPr>
      <w:r>
        <w:rPr>
          <w:b/>
        </w:rPr>
        <w:tab/>
        <w:t>“</w:t>
      </w:r>
      <w:r>
        <w:rPr>
          <w:rStyle w:val="CharDefText"/>
        </w:rPr>
        <w:t>stock agent</w:t>
      </w:r>
      <w:r>
        <w:rPr>
          <w:b/>
        </w:rPr>
        <w:t>”</w:t>
      </w:r>
      <w:r>
        <w:t xml:space="preserve"> means a person who has approval under regulation 25 to act as a stock agent and in relation to particular stock means the stock agent to whom that stock has been consigned.</w:t>
      </w:r>
    </w:p>
    <w:p>
      <w:pPr>
        <w:pStyle w:val="Subsection"/>
      </w:pPr>
      <w:r>
        <w:tab/>
        <w:t>(2)</w:t>
      </w:r>
      <w:r>
        <w:tab/>
        <w:t>In these regulations a reference to stock which is yarded for transhipment is a reference to stock which is yarded at the Midland Saleyard for the purpose of being transported from the Saleyard to another place without being offered for sale at the Midland Saleyard.</w:t>
      </w:r>
    </w:p>
    <w:p>
      <w:pPr>
        <w:pStyle w:val="Footnotesection"/>
      </w:pPr>
      <w:r>
        <w:tab/>
        <w:t xml:space="preserve">[Regulation 3 amended in Gazette 23 Aug 1985 p. 3038; 27 May 1988 p. 1793; 2 Feb 1996 p. 389; 2 Sep 1997 p. 4962.] </w:t>
      </w:r>
    </w:p>
    <w:p>
      <w:pPr>
        <w:pStyle w:val="Heading2"/>
      </w:pPr>
      <w:bookmarkStart w:id="21" w:name="_Toc74987947"/>
      <w:bookmarkStart w:id="22" w:name="_Toc92686625"/>
      <w:bookmarkStart w:id="23" w:name="_Toc92875765"/>
      <w:bookmarkStart w:id="24" w:name="_Toc112492518"/>
      <w:bookmarkStart w:id="25" w:name="_Toc121819103"/>
      <w:bookmarkStart w:id="26" w:name="_Toc122409068"/>
      <w:bookmarkStart w:id="27" w:name="_Toc122494372"/>
      <w:bookmarkStart w:id="28" w:name="_Toc122494479"/>
      <w:bookmarkStart w:id="29" w:name="_Toc127261478"/>
      <w:bookmarkStart w:id="30" w:name="_Toc129687032"/>
      <w:r>
        <w:rPr>
          <w:rStyle w:val="CharPartNo"/>
        </w:rPr>
        <w:t>Part II</w:t>
      </w:r>
      <w:r>
        <w:rPr>
          <w:rStyle w:val="CharDivNo"/>
        </w:rPr>
        <w:t> </w:t>
      </w:r>
      <w:r>
        <w:t>—</w:t>
      </w:r>
      <w:r>
        <w:rPr>
          <w:rStyle w:val="CharDivText"/>
        </w:rPr>
        <w:t> </w:t>
      </w:r>
      <w:r>
        <w:rPr>
          <w:rStyle w:val="CharPartText"/>
        </w:rPr>
        <w:t>Inspectors</w:t>
      </w:r>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435352695"/>
      <w:bookmarkStart w:id="32" w:name="_Toc54070765"/>
      <w:bookmarkStart w:id="33" w:name="_Toc129687033"/>
      <w:r>
        <w:rPr>
          <w:rStyle w:val="CharSectno"/>
        </w:rPr>
        <w:t>4</w:t>
      </w:r>
      <w:r>
        <w:rPr>
          <w:snapToGrid w:val="0"/>
        </w:rPr>
        <w:t>.</w:t>
      </w:r>
      <w:r>
        <w:rPr>
          <w:snapToGrid w:val="0"/>
        </w:rPr>
        <w:tab/>
        <w:t>Inspectors</w:t>
      </w:r>
      <w:bookmarkEnd w:id="31"/>
      <w:bookmarkEnd w:id="32"/>
      <w:bookmarkEnd w:id="33"/>
      <w:r>
        <w:rPr>
          <w:snapToGrid w:val="0"/>
        </w:rPr>
        <w:t xml:space="preserve"> </w:t>
      </w:r>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w:t>
      </w:r>
    </w:p>
    <w:p>
      <w:pPr>
        <w:pStyle w:val="Indenta"/>
        <w:rPr>
          <w:snapToGrid w:val="0"/>
        </w:rPr>
      </w:pPr>
      <w:r>
        <w:rPr>
          <w:snapToGrid w:val="0"/>
        </w:rPr>
        <w:tab/>
        <w:t>(c)</w:t>
      </w:r>
      <w:r>
        <w:rPr>
          <w:snapToGrid w:val="0"/>
        </w:rPr>
        <w:tab/>
        <w:t>monitoring the sale of carcases of prescribed and declared animals; and</w:t>
      </w:r>
    </w:p>
    <w:p>
      <w:pPr>
        <w:pStyle w:val="Indenta"/>
        <w:rPr>
          <w:snapToGrid w:val="0"/>
        </w:rPr>
      </w:pPr>
      <w:r>
        <w:rPr>
          <w:snapToGrid w:val="0"/>
        </w:rPr>
        <w:tab/>
        <w:t>(d)</w:t>
      </w:r>
      <w:r>
        <w:rPr>
          <w:snapToGrid w:val="0"/>
        </w:rPr>
        <w:tab/>
        <w:t>such other duties as are specified by the Authority.</w:t>
      </w:r>
    </w:p>
    <w:p>
      <w:pPr>
        <w:pStyle w:val="Footnotesection"/>
      </w:pPr>
      <w:r>
        <w:tab/>
        <w:t xml:space="preserve">[Regulation 4 amended in Gazette 12 Jul 1991 p. 3411 (disallowed in Gazette 25 Oct 1991 p. 5499).] </w:t>
      </w:r>
    </w:p>
    <w:p>
      <w:pPr>
        <w:pStyle w:val="Heading2"/>
      </w:pPr>
      <w:bookmarkStart w:id="34" w:name="_Toc74987949"/>
      <w:bookmarkStart w:id="35" w:name="_Toc92686627"/>
      <w:bookmarkStart w:id="36" w:name="_Toc92875767"/>
      <w:bookmarkStart w:id="37" w:name="_Toc112492520"/>
      <w:bookmarkStart w:id="38" w:name="_Toc121819105"/>
      <w:bookmarkStart w:id="39" w:name="_Toc122409070"/>
      <w:bookmarkStart w:id="40" w:name="_Toc122494374"/>
      <w:bookmarkStart w:id="41" w:name="_Toc122494481"/>
      <w:bookmarkStart w:id="42" w:name="_Toc127261480"/>
      <w:bookmarkStart w:id="43" w:name="_Toc129687034"/>
      <w:r>
        <w:rPr>
          <w:rStyle w:val="CharPartNo"/>
        </w:rPr>
        <w:t>Part III</w:t>
      </w:r>
      <w:r>
        <w:rPr>
          <w:rStyle w:val="CharDivNo"/>
        </w:rPr>
        <w:t> </w:t>
      </w:r>
      <w:r>
        <w:t>—</w:t>
      </w:r>
      <w:r>
        <w:rPr>
          <w:rStyle w:val="CharDivText"/>
        </w:rPr>
        <w:t> </w:t>
      </w:r>
      <w:r>
        <w:rPr>
          <w:rStyle w:val="CharPartText"/>
        </w:rPr>
        <w:t>Branding of carcases</w:t>
      </w:r>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435352696"/>
      <w:bookmarkStart w:id="45" w:name="_Toc54070766"/>
      <w:bookmarkStart w:id="46" w:name="_Toc129687035"/>
      <w:r>
        <w:rPr>
          <w:rStyle w:val="CharSectno"/>
        </w:rPr>
        <w:t>5</w:t>
      </w:r>
      <w:r>
        <w:rPr>
          <w:snapToGrid w:val="0"/>
        </w:rPr>
        <w:t>.</w:t>
      </w:r>
      <w:r>
        <w:rPr>
          <w:snapToGrid w:val="0"/>
        </w:rPr>
        <w:tab/>
        <w:t>Recording of information</w:t>
      </w:r>
      <w:bookmarkEnd w:id="44"/>
      <w:bookmarkEnd w:id="45"/>
      <w:bookmarkEnd w:id="46"/>
      <w:r>
        <w:rPr>
          <w:snapToGrid w:val="0"/>
        </w:rPr>
        <w:t xml:space="preserve"> </w:t>
      </w:r>
    </w:p>
    <w:p>
      <w:pPr>
        <w:pStyle w:val="Subsection"/>
        <w:spacing w:before="120"/>
        <w:rPr>
          <w:snapToGrid w:val="0"/>
        </w:rPr>
      </w:pPr>
      <w:r>
        <w:rPr>
          <w:snapToGrid w:val="0"/>
        </w:rPr>
        <w:tab/>
        <w:t>(1)</w:t>
      </w:r>
      <w:r>
        <w:rPr>
          <w:snapToGrid w:val="0"/>
        </w:rPr>
        <w:tab/>
        <w:t>An owner shall ensure that information on — </w:t>
      </w:r>
    </w:p>
    <w:p>
      <w:pPr>
        <w:pStyle w:val="Indenta"/>
        <w:spacing w:before="60"/>
        <w:rPr>
          <w:snapToGrid w:val="0"/>
        </w:rPr>
      </w:pPr>
      <w:r>
        <w:rPr>
          <w:snapToGrid w:val="0"/>
        </w:rPr>
        <w:tab/>
        <w:t>(a)</w:t>
      </w:r>
      <w:r>
        <w:rPr>
          <w:snapToGrid w:val="0"/>
        </w:rPr>
        <w:tab/>
        <w:t>the kind of animal;</w:t>
      </w:r>
    </w:p>
    <w:p>
      <w:pPr>
        <w:pStyle w:val="Indenta"/>
        <w:spacing w:before="60"/>
        <w:rPr>
          <w:snapToGrid w:val="0"/>
        </w:rPr>
      </w:pPr>
      <w:r>
        <w:rPr>
          <w:snapToGrid w:val="0"/>
        </w:rPr>
        <w:tab/>
        <w:t>(b)</w:t>
      </w:r>
      <w:r>
        <w:rPr>
          <w:snapToGrid w:val="0"/>
        </w:rPr>
        <w:tab/>
        <w:t>the dentition and fatness of the animal;</w:t>
      </w:r>
    </w:p>
    <w:p>
      <w:pPr>
        <w:pStyle w:val="Indenta"/>
        <w:spacing w:before="60"/>
        <w:rPr>
          <w:snapToGrid w:val="0"/>
        </w:rPr>
      </w:pPr>
      <w:r>
        <w:rPr>
          <w:snapToGrid w:val="0"/>
        </w:rPr>
        <w:tab/>
        <w:t>(c)</w:t>
      </w:r>
      <w:r>
        <w:rPr>
          <w:snapToGrid w:val="0"/>
        </w:rPr>
        <w:tab/>
        <w:t>any treatment to prevent cold shortening that has been applied to the carcase; and</w:t>
      </w:r>
    </w:p>
    <w:p>
      <w:pPr>
        <w:pStyle w:val="Indenta"/>
        <w:spacing w:before="60"/>
        <w:rPr>
          <w:snapToGrid w:val="0"/>
        </w:rPr>
      </w:pPr>
      <w:r>
        <w:rPr>
          <w:snapToGrid w:val="0"/>
        </w:rPr>
        <w:tab/>
        <w:t>(d)</w:t>
      </w:r>
      <w:r>
        <w:rPr>
          <w:snapToGrid w:val="0"/>
        </w:rPr>
        <w:tab/>
        <w:t>such other branding characteristics as the Authority may specify in writing,</w:t>
      </w:r>
    </w:p>
    <w:p>
      <w:pPr>
        <w:pStyle w:val="Subsection"/>
        <w:spacing w:before="120"/>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spacing w:before="120"/>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Penalty: $500.</w:t>
      </w:r>
    </w:p>
    <w:p>
      <w:pPr>
        <w:pStyle w:val="Subsection"/>
        <w:spacing w:before="120"/>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pPr>
      <w:r>
        <w:tab/>
        <w:t xml:space="preserve">[Regulation 5 amended in Gazette 17 Jun 1994 p. 2504.] </w:t>
      </w:r>
    </w:p>
    <w:p>
      <w:pPr>
        <w:pStyle w:val="Heading5"/>
        <w:rPr>
          <w:snapToGrid w:val="0"/>
        </w:rPr>
      </w:pPr>
      <w:bookmarkStart w:id="47" w:name="_Toc435352697"/>
      <w:bookmarkStart w:id="48" w:name="_Toc54070767"/>
      <w:bookmarkStart w:id="49" w:name="_Toc129687036"/>
      <w:r>
        <w:rPr>
          <w:rStyle w:val="CharSectno"/>
        </w:rPr>
        <w:t>6</w:t>
      </w:r>
      <w:r>
        <w:rPr>
          <w:snapToGrid w:val="0"/>
        </w:rPr>
        <w:t>.</w:t>
      </w:r>
      <w:r>
        <w:rPr>
          <w:snapToGrid w:val="0"/>
        </w:rPr>
        <w:tab/>
        <w:t>Branding devices</w:t>
      </w:r>
      <w:bookmarkEnd w:id="47"/>
      <w:bookmarkEnd w:id="48"/>
      <w:bookmarkEnd w:id="49"/>
      <w:r>
        <w:rPr>
          <w:snapToGrid w:val="0"/>
        </w:rPr>
        <w:t xml:space="preserve"> </w:t>
      </w:r>
    </w:p>
    <w:p>
      <w:pPr>
        <w:pStyle w:val="Subsection"/>
        <w:spacing w:before="120"/>
        <w:rPr>
          <w:snapToGrid w:val="0"/>
        </w:rPr>
      </w:pPr>
      <w:r>
        <w:rPr>
          <w:snapToGrid w:val="0"/>
        </w:rPr>
        <w:tab/>
        <w:t>(1)</w:t>
      </w:r>
      <w:r>
        <w:rPr>
          <w:snapToGrid w:val="0"/>
        </w:rPr>
        <w:tab/>
        <w:t>An owner shall ensure that every branding device in his possession, care or custody is —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spacing w:before="120"/>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Penalty: $500.</w:t>
      </w:r>
    </w:p>
    <w:p>
      <w:pPr>
        <w:pStyle w:val="Heading5"/>
        <w:rPr>
          <w:snapToGrid w:val="0"/>
        </w:rPr>
      </w:pPr>
      <w:bookmarkStart w:id="50" w:name="_Toc435352698"/>
      <w:bookmarkStart w:id="51" w:name="_Toc54070768"/>
      <w:bookmarkStart w:id="52" w:name="_Toc129687037"/>
      <w:r>
        <w:rPr>
          <w:rStyle w:val="CharSectno"/>
        </w:rPr>
        <w:t>7</w:t>
      </w:r>
      <w:r>
        <w:rPr>
          <w:snapToGrid w:val="0"/>
        </w:rPr>
        <w:t>.</w:t>
      </w:r>
      <w:r>
        <w:rPr>
          <w:snapToGrid w:val="0"/>
        </w:rPr>
        <w:tab/>
        <w:t>Application of brand</w:t>
      </w:r>
      <w:bookmarkEnd w:id="50"/>
      <w:bookmarkEnd w:id="51"/>
      <w:bookmarkEnd w:id="52"/>
      <w:r>
        <w:rPr>
          <w:snapToGrid w:val="0"/>
        </w:rPr>
        <w:t xml:space="preserve"> </w:t>
      </w:r>
    </w:p>
    <w:p>
      <w:pPr>
        <w:pStyle w:val="Subsection"/>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Penalty: $500.</w:t>
      </w:r>
    </w:p>
    <w:p>
      <w:pPr>
        <w:pStyle w:val="Heading5"/>
        <w:rPr>
          <w:snapToGrid w:val="0"/>
        </w:rPr>
      </w:pPr>
      <w:bookmarkStart w:id="53" w:name="_Toc435352699"/>
      <w:bookmarkStart w:id="54" w:name="_Toc54070769"/>
      <w:bookmarkStart w:id="55" w:name="_Toc129687038"/>
      <w:r>
        <w:rPr>
          <w:rStyle w:val="CharSectno"/>
        </w:rPr>
        <w:t>8</w:t>
      </w:r>
      <w:r>
        <w:rPr>
          <w:snapToGrid w:val="0"/>
        </w:rPr>
        <w:t>.</w:t>
      </w:r>
      <w:r>
        <w:rPr>
          <w:snapToGrid w:val="0"/>
        </w:rPr>
        <w:tab/>
        <w:t>Appearance of brand</w:t>
      </w:r>
      <w:bookmarkEnd w:id="53"/>
      <w:bookmarkEnd w:id="54"/>
      <w:bookmarkEnd w:id="55"/>
      <w:r>
        <w:rPr>
          <w:snapToGrid w:val="0"/>
        </w:rPr>
        <w:t xml:space="preserve"> </w:t>
      </w:r>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 </w:t>
      </w:r>
    </w:p>
    <w:p>
      <w:pPr>
        <w:pStyle w:val="Indenta"/>
        <w:spacing w:before="60"/>
        <w:rPr>
          <w:snapToGrid w:val="0"/>
        </w:rPr>
      </w:pPr>
      <w:r>
        <w:rPr>
          <w:snapToGrid w:val="0"/>
        </w:rPr>
        <w:tab/>
        <w:t>(a)</w:t>
      </w:r>
      <w:r>
        <w:rPr>
          <w:snapToGrid w:val="0"/>
        </w:rPr>
        <w:tab/>
        <w:t>to cause that brand to be removed; and</w:t>
      </w:r>
    </w:p>
    <w:p>
      <w:pPr>
        <w:pStyle w:val="Indenta"/>
        <w:spacing w:before="60"/>
        <w:rPr>
          <w:snapToGrid w:val="0"/>
        </w:rPr>
      </w:pPr>
      <w:r>
        <w:rPr>
          <w:snapToGrid w:val="0"/>
        </w:rPr>
        <w:tab/>
        <w:t>(b)</w:t>
      </w:r>
      <w:r>
        <w:rPr>
          <w:snapToGrid w:val="0"/>
        </w:rPr>
        <w:tab/>
        <w:t>if the carcase is of a prescribed animal, to ensure that it is branded again.</w:t>
      </w:r>
    </w:p>
    <w:p>
      <w:pPr>
        <w:pStyle w:val="Subsection"/>
        <w:spacing w:before="12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Penalty: $500.</w:t>
      </w:r>
    </w:p>
    <w:p>
      <w:pPr>
        <w:pStyle w:val="Heading5"/>
        <w:rPr>
          <w:snapToGrid w:val="0"/>
        </w:rPr>
      </w:pPr>
      <w:bookmarkStart w:id="56" w:name="_Toc435352700"/>
      <w:bookmarkStart w:id="57" w:name="_Toc54070770"/>
      <w:bookmarkStart w:id="58" w:name="_Toc129687039"/>
      <w:r>
        <w:rPr>
          <w:rStyle w:val="CharSectno"/>
        </w:rPr>
        <w:t>9</w:t>
      </w:r>
      <w:r>
        <w:rPr>
          <w:snapToGrid w:val="0"/>
        </w:rPr>
        <w:t>.</w:t>
      </w:r>
      <w:r>
        <w:rPr>
          <w:snapToGrid w:val="0"/>
        </w:rPr>
        <w:tab/>
        <w:t>Interference with brand</w:t>
      </w:r>
      <w:bookmarkEnd w:id="56"/>
      <w:bookmarkEnd w:id="57"/>
      <w:bookmarkEnd w:id="58"/>
      <w:r>
        <w:rPr>
          <w:snapToGrid w:val="0"/>
        </w:rPr>
        <w:t xml:space="preserve"> </w:t>
      </w:r>
    </w:p>
    <w:p>
      <w:pPr>
        <w:pStyle w:val="Subsection"/>
      </w:pPr>
      <w:r>
        <w:tab/>
      </w:r>
      <w:r>
        <w:tab/>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Penalty: $500.</w:t>
      </w:r>
    </w:p>
    <w:p>
      <w:pPr>
        <w:pStyle w:val="Heading5"/>
        <w:rPr>
          <w:snapToGrid w:val="0"/>
        </w:rPr>
      </w:pPr>
      <w:bookmarkStart w:id="59" w:name="_Toc435352701"/>
      <w:bookmarkStart w:id="60" w:name="_Toc54070771"/>
      <w:bookmarkStart w:id="61" w:name="_Toc129687040"/>
      <w:r>
        <w:rPr>
          <w:rStyle w:val="CharSectno"/>
        </w:rPr>
        <w:t>10</w:t>
      </w:r>
      <w:r>
        <w:rPr>
          <w:snapToGrid w:val="0"/>
        </w:rPr>
        <w:t>.</w:t>
      </w:r>
      <w:r>
        <w:rPr>
          <w:snapToGrid w:val="0"/>
        </w:rPr>
        <w:tab/>
        <w:t>Inspection of imported carcases</w:t>
      </w:r>
      <w:bookmarkEnd w:id="59"/>
      <w:bookmarkEnd w:id="60"/>
      <w:bookmarkEnd w:id="61"/>
      <w:r>
        <w:rPr>
          <w:snapToGrid w:val="0"/>
        </w:rPr>
        <w:t xml:space="preserve"> </w:t>
      </w:r>
    </w:p>
    <w:p>
      <w:pPr>
        <w:pStyle w:val="Subsection"/>
        <w:rPr>
          <w:snapToGrid w:val="0"/>
        </w:rPr>
      </w:pPr>
      <w:r>
        <w:rPr>
          <w:snapToGrid w:val="0"/>
        </w:rPr>
        <w:tab/>
      </w:r>
      <w:r>
        <w:rPr>
          <w:snapToGrid w:val="0"/>
        </w:rPr>
        <w:tab/>
        <w:t>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Executive Director, Public Health and Scientific Support Services.</w:t>
      </w:r>
    </w:p>
    <w:p>
      <w:pPr>
        <w:pStyle w:val="Penstart"/>
        <w:rPr>
          <w:snapToGrid w:val="0"/>
        </w:rPr>
      </w:pPr>
      <w:r>
        <w:rPr>
          <w:snapToGrid w:val="0"/>
        </w:rPr>
        <w:tab/>
        <w:t>Penalty: $500.</w:t>
      </w:r>
    </w:p>
    <w:p>
      <w:pPr>
        <w:pStyle w:val="Heading5"/>
        <w:rPr>
          <w:snapToGrid w:val="0"/>
        </w:rPr>
      </w:pPr>
      <w:bookmarkStart w:id="62" w:name="_Toc435352702"/>
      <w:bookmarkStart w:id="63" w:name="_Toc54070772"/>
      <w:bookmarkStart w:id="64" w:name="_Toc129687041"/>
      <w:r>
        <w:rPr>
          <w:rStyle w:val="CharSectno"/>
        </w:rPr>
        <w:t>11</w:t>
      </w:r>
      <w:r>
        <w:rPr>
          <w:snapToGrid w:val="0"/>
        </w:rPr>
        <w:t>.</w:t>
      </w:r>
      <w:r>
        <w:rPr>
          <w:snapToGrid w:val="0"/>
        </w:rPr>
        <w:tab/>
        <w:t>Lamb — prescribed characteristics and brand</w:t>
      </w:r>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The prescribed characteristics of lamb are that it is a sheep that has not cut a permanent incisor tooth.</w:t>
      </w:r>
    </w:p>
    <w:p>
      <w:pPr>
        <w:pStyle w:val="Subsection"/>
        <w:spacing w:before="120"/>
        <w:rPr>
          <w:snapToGrid w:val="0"/>
        </w:rPr>
      </w:pPr>
      <w:r>
        <w:rPr>
          <w:snapToGrid w:val="0"/>
        </w:rPr>
        <w:tab/>
        <w:t>(2)</w:t>
      </w:r>
      <w:r>
        <w:rPr>
          <w:snapToGrid w:val="0"/>
        </w:rPr>
        <w:tab/>
        <w:t xml:space="preserve">Except as provided in subregulations (5) and (7), every carcase of lamb slaughtered for human consumption in the State may —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spacing w:before="120"/>
        <w:rPr>
          <w:snapToGrid w:val="0"/>
        </w:rPr>
      </w:pPr>
      <w:r>
        <w:rPr>
          <w:snapToGrid w:val="0"/>
        </w:rPr>
        <w:tab/>
        <w:t>(2a)</w:t>
      </w:r>
      <w:r>
        <w:rPr>
          <w:snapToGrid w:val="0"/>
        </w:rPr>
        <w:tab/>
        <w:t>Before branding any carcase as lamb under subregulation (2) the owner shall ensure that — </w:t>
      </w:r>
    </w:p>
    <w:p>
      <w:pPr>
        <w:pStyle w:val="Indenta"/>
        <w:spacing w:before="60"/>
        <w:rPr>
          <w:snapToGrid w:val="0"/>
        </w:rPr>
      </w:pPr>
      <w:r>
        <w:rPr>
          <w:snapToGrid w:val="0"/>
        </w:rPr>
        <w:tab/>
        <w:t>(a)</w:t>
      </w:r>
      <w:r>
        <w:rPr>
          <w:snapToGrid w:val="0"/>
        </w:rPr>
        <w:tab/>
        <w:t>the fatness of the carcase has been determined by or under the supervision of an inspector in accordance with the following tissue depths at a site over the 12th rib and 11 cm from the backbone —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$2 000.</w:t>
      </w:r>
    </w:p>
    <w:p>
      <w:pPr>
        <w:pStyle w:val="Subsection"/>
        <w:keepLines/>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Penalty: $500.</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 </w:t>
      </w:r>
    </w:p>
    <w:p>
      <w:pPr>
        <w:pStyle w:val="Indenta"/>
        <w:rPr>
          <w:snapToGrid w:val="0"/>
        </w:rPr>
      </w:pPr>
      <w:r>
        <w:rPr>
          <w:snapToGrid w:val="0"/>
        </w:rPr>
        <w:tab/>
        <w:t>(a)</w:t>
      </w:r>
      <w:r>
        <w:rPr>
          <w:snapToGrid w:val="0"/>
        </w:rPr>
        <w:tab/>
        <w:t>that the carcase is of a sheep that has not cut a permanent incisor tooth; 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 </w:t>
      </w:r>
    </w:p>
    <w:p>
      <w:pPr>
        <w:pStyle w:val="Indenta"/>
        <w:rPr>
          <w:snapToGrid w:val="0"/>
        </w:rPr>
      </w:pPr>
      <w:r>
        <w:rPr>
          <w:snapToGrid w:val="0"/>
        </w:rPr>
        <w:tab/>
        <w:t>(a)</w:t>
      </w:r>
      <w:r>
        <w:rPr>
          <w:snapToGrid w:val="0"/>
        </w:rPr>
        <w:tab/>
        <w:t xml:space="preserve">in the manner illustrated in Part C of Schedule 1; or </w:t>
      </w:r>
    </w:p>
    <w:p>
      <w:pPr>
        <w:pStyle w:val="Indenta"/>
        <w:rPr>
          <w:snapToGrid w:val="0"/>
        </w:rPr>
      </w:pPr>
      <w:r>
        <w:rPr>
          <w:snapToGrid w:val="0"/>
        </w:rPr>
        <w:tab/>
        <w:t>(b)</w:t>
      </w:r>
      <w:r>
        <w:rPr>
          <w:snapToGrid w:val="0"/>
        </w:rPr>
        <w:tab/>
        <w:t>where the brand is applied as a stamp —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 xml:space="preserve">to each individual cut where the carcase has been processed into cuts, </w:t>
      </w:r>
    </w:p>
    <w:p>
      <w:pPr>
        <w:pStyle w:val="Subsection"/>
        <w:rPr>
          <w:snapToGrid w:val="0"/>
        </w:rPr>
      </w:pPr>
      <w:r>
        <w:rPr>
          <w:snapToGrid w:val="0"/>
        </w:rPr>
        <w:tab/>
      </w:r>
      <w:r>
        <w:rPr>
          <w:snapToGrid w:val="0"/>
        </w:rPr>
        <w:tab/>
        <w:t>using an approved red ink.</w:t>
      </w:r>
    </w:p>
    <w:p>
      <w:pPr>
        <w:pStyle w:val="Subsection"/>
        <w:spacing w:before="120"/>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spacing w:before="120"/>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spacing w:before="80"/>
        <w:ind w:left="890" w:hanging="890"/>
      </w:pPr>
      <w:r>
        <w:tab/>
        <w:t>[Regulation 11 amended in Gazette 27 May 1988 p. 1793; 17 Jun 1994 p. 2504</w:t>
      </w:r>
      <w:r>
        <w:noBreakHyphen/>
        <w:t xml:space="preserve">5; 17 Oct 2003 p. 4435.] </w:t>
      </w:r>
    </w:p>
    <w:p>
      <w:pPr>
        <w:pStyle w:val="Heading5"/>
        <w:spacing w:before="180"/>
        <w:rPr>
          <w:snapToGrid w:val="0"/>
        </w:rPr>
      </w:pPr>
      <w:bookmarkStart w:id="65" w:name="_Toc435352703"/>
      <w:bookmarkStart w:id="66" w:name="_Toc54070773"/>
      <w:bookmarkStart w:id="67" w:name="_Toc129687042"/>
      <w:r>
        <w:rPr>
          <w:rStyle w:val="CharSectno"/>
        </w:rPr>
        <w:t>12</w:t>
      </w:r>
      <w:r>
        <w:rPr>
          <w:snapToGrid w:val="0"/>
        </w:rPr>
        <w:t>.</w:t>
      </w:r>
      <w:r>
        <w:rPr>
          <w:snapToGrid w:val="0"/>
        </w:rPr>
        <w:tab/>
        <w:t>Lamb slaughtered for export</w:t>
      </w:r>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t>Where a carcase of lamb is slaughtered in the State for export and is subsequently redirected for sale for human consumption in the State — </w:t>
      </w:r>
    </w:p>
    <w:p>
      <w:pPr>
        <w:pStyle w:val="Indenta"/>
        <w:spacing w:before="60"/>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spacing w:before="60"/>
        <w:rPr>
          <w:snapToGrid w:val="0"/>
        </w:rPr>
      </w:pPr>
      <w:r>
        <w:rPr>
          <w:snapToGrid w:val="0"/>
        </w:rPr>
        <w:tab/>
        <w:t>(b)</w:t>
      </w:r>
      <w:r>
        <w:rPr>
          <w:snapToGrid w:val="0"/>
        </w:rPr>
        <w:tab/>
        <w:t>it shall be branded —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spacing w:before="120"/>
        <w:rPr>
          <w:snapToGrid w:val="0"/>
        </w:rPr>
      </w:pPr>
      <w:r>
        <w:rPr>
          <w:snapToGrid w:val="0"/>
        </w:rPr>
        <w:tab/>
        <w:t>(2)</w:t>
      </w:r>
      <w:r>
        <w:rPr>
          <w:snapToGrid w:val="0"/>
        </w:rPr>
        <w:tab/>
        <w:t>The brand referred to — </w:t>
      </w:r>
    </w:p>
    <w:p>
      <w:pPr>
        <w:pStyle w:val="Indenta"/>
        <w:spacing w:before="60"/>
        <w:rPr>
          <w:snapToGrid w:val="0"/>
        </w:rPr>
      </w:pPr>
      <w:r>
        <w:rPr>
          <w:snapToGrid w:val="0"/>
        </w:rPr>
        <w:tab/>
        <w:t>(a)</w:t>
      </w:r>
      <w:r>
        <w:rPr>
          <w:snapToGrid w:val="0"/>
        </w:rPr>
        <w:tab/>
        <w:t>in subregulation (1)(b)(i) shall be applied in the manner illustrated in Part C of Schedule 1;</w:t>
      </w:r>
    </w:p>
    <w:p>
      <w:pPr>
        <w:pStyle w:val="Indenta"/>
        <w:spacing w:before="60"/>
        <w:rPr>
          <w:snapToGrid w:val="0"/>
        </w:rPr>
      </w:pPr>
      <w:r>
        <w:rPr>
          <w:snapToGrid w:val="0"/>
        </w:rPr>
        <w:tab/>
        <w:t>(b)</w:t>
      </w:r>
      <w:r>
        <w:rPr>
          <w:snapToGrid w:val="0"/>
        </w:rPr>
        <w:tab/>
        <w:t>in subregulation (1)(b)(ii), shall be applied in the manner specified in regulation 11(6)(b),</w:t>
      </w:r>
    </w:p>
    <w:p>
      <w:pPr>
        <w:pStyle w:val="Subsection"/>
        <w:spacing w:before="80"/>
        <w:rPr>
          <w:snapToGrid w:val="0"/>
        </w:rPr>
      </w:pPr>
      <w:r>
        <w:rPr>
          <w:snapToGrid w:val="0"/>
        </w:rPr>
        <w:tab/>
      </w:r>
      <w:r>
        <w:rPr>
          <w:snapToGrid w:val="0"/>
        </w:rPr>
        <w:tab/>
        <w:t>using an approved red ink.</w:t>
      </w:r>
    </w:p>
    <w:p>
      <w:pPr>
        <w:pStyle w:val="Footnotesection"/>
        <w:spacing w:before="80"/>
        <w:ind w:left="890" w:hanging="890"/>
      </w:pPr>
      <w:r>
        <w:tab/>
        <w:t xml:space="preserve">[Regulation 12 inserted in Gazette 23 Aug 1985 p. 3038.] </w:t>
      </w:r>
    </w:p>
    <w:p>
      <w:pPr>
        <w:pStyle w:val="Heading5"/>
        <w:rPr>
          <w:snapToGrid w:val="0"/>
        </w:rPr>
      </w:pPr>
      <w:bookmarkStart w:id="68" w:name="_Toc435352704"/>
      <w:bookmarkStart w:id="69" w:name="_Toc54070774"/>
      <w:bookmarkStart w:id="70" w:name="_Toc129687043"/>
      <w:r>
        <w:rPr>
          <w:rStyle w:val="CharSectno"/>
        </w:rPr>
        <w:t>13</w:t>
      </w:r>
      <w:r>
        <w:rPr>
          <w:snapToGrid w:val="0"/>
        </w:rPr>
        <w:t>.</w:t>
      </w:r>
      <w:r>
        <w:rPr>
          <w:snapToGrid w:val="0"/>
        </w:rPr>
        <w:tab/>
        <w:t>Hogget — prescribed characteristics and brand</w:t>
      </w:r>
      <w:bookmarkEnd w:id="68"/>
      <w:bookmarkEnd w:id="69"/>
      <w:bookmarkEnd w:id="70"/>
      <w:r>
        <w:rPr>
          <w:snapToGrid w:val="0"/>
        </w:rPr>
        <w:t xml:space="preserve"> </w:t>
      </w:r>
    </w:p>
    <w:p>
      <w:pPr>
        <w:pStyle w:val="Subsection"/>
        <w:spacing w:before="120"/>
        <w:rPr>
          <w:snapToGrid w:val="0"/>
        </w:rPr>
      </w:pPr>
      <w:r>
        <w:rPr>
          <w:snapToGrid w:val="0"/>
        </w:rPr>
        <w:tab/>
        <w:t>(1)</w:t>
      </w:r>
      <w:r>
        <w:rPr>
          <w:snapToGrid w:val="0"/>
        </w:rPr>
        <w:tab/>
        <w:t>The prescribed characteristics of hogget are that it is a ewe or a wether not showing secondary sex characteristics that — </w:t>
      </w:r>
    </w:p>
    <w:p>
      <w:pPr>
        <w:pStyle w:val="Indenta"/>
        <w:rPr>
          <w:snapToGrid w:val="0"/>
        </w:rPr>
      </w:pPr>
      <w:r>
        <w:rPr>
          <w:snapToGrid w:val="0"/>
        </w:rPr>
        <w:tab/>
        <w:t>(a)</w:t>
      </w:r>
      <w:r>
        <w:rPr>
          <w:snapToGrid w:val="0"/>
        </w:rPr>
        <w:tab/>
        <w:t>has cut one but not more than 2 permanent incisor teeth; and</w:t>
      </w:r>
    </w:p>
    <w:p>
      <w:pPr>
        <w:pStyle w:val="Indenta"/>
        <w:rPr>
          <w:snapToGrid w:val="0"/>
        </w:rPr>
      </w:pPr>
      <w:r>
        <w:rPr>
          <w:snapToGrid w:val="0"/>
        </w:rPr>
        <w:tab/>
        <w:t>(b)</w:t>
      </w:r>
      <w:r>
        <w:rPr>
          <w:snapToGrid w:val="0"/>
        </w:rPr>
        <w:tab/>
        <w:t>is of fat class 2, 3 or 4 determined in accordance with subregulation (3)(b).</w:t>
      </w:r>
    </w:p>
    <w:p>
      <w:pPr>
        <w:pStyle w:val="Subsection"/>
        <w:spacing w:before="120"/>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spacing w:before="120"/>
        <w:rPr>
          <w:snapToGrid w:val="0"/>
        </w:rPr>
      </w:pPr>
      <w:r>
        <w:rPr>
          <w:snapToGrid w:val="0"/>
        </w:rPr>
        <w:tab/>
        <w:t>(3)</w:t>
      </w:r>
      <w:r>
        <w:rPr>
          <w:snapToGrid w:val="0"/>
        </w:rPr>
        <w:tab/>
        <w:t>Before branding any carcase as hogget under subregulation (2) the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 </w:t>
      </w:r>
    </w:p>
    <w:p>
      <w:pPr>
        <w:pStyle w:val="MiscellaneousHeading"/>
        <w:spacing w:before="40"/>
        <w:rPr>
          <w:b/>
          <w:snapToGrid w:val="0"/>
        </w:rPr>
      </w:pPr>
      <w:r>
        <w:rPr>
          <w:b/>
          <w:snapToGrid w:val="0"/>
        </w:rPr>
        <w:t xml:space="preserv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 xml:space="preserve">[Regulation 13 amended in Gazette 23 Aug 1985 p. 3038; 27 May 1988 p. 1793; 23 Aug 2005 p. 3907.] </w:t>
      </w:r>
    </w:p>
    <w:p>
      <w:pPr>
        <w:pStyle w:val="Heading5"/>
        <w:rPr>
          <w:snapToGrid w:val="0"/>
        </w:rPr>
      </w:pPr>
      <w:bookmarkStart w:id="71" w:name="_Toc435352705"/>
      <w:bookmarkStart w:id="72" w:name="_Toc54070775"/>
      <w:bookmarkStart w:id="73" w:name="_Toc129687044"/>
      <w:r>
        <w:rPr>
          <w:rStyle w:val="CharSectno"/>
        </w:rPr>
        <w:t>14</w:t>
      </w:r>
      <w:r>
        <w:rPr>
          <w:snapToGrid w:val="0"/>
        </w:rPr>
        <w:t xml:space="preserve">. </w:t>
      </w:r>
      <w:r>
        <w:rPr>
          <w:snapToGrid w:val="0"/>
        </w:rPr>
        <w:tab/>
        <w:t>“Tender Gold” beef — prescribed characteristics and brand</w:t>
      </w:r>
      <w:bookmarkEnd w:id="71"/>
      <w:bookmarkEnd w:id="72"/>
      <w:bookmarkEnd w:id="73"/>
      <w:r>
        <w:rPr>
          <w:snapToGrid w:val="0"/>
        </w:rPr>
        <w:t xml:space="preserve"> </w:t>
      </w:r>
    </w:p>
    <w:p>
      <w:pPr>
        <w:pStyle w:val="Subsection"/>
        <w:keepNext/>
        <w:keepLines/>
        <w:rPr>
          <w:snapToGrid w:val="0"/>
        </w:rPr>
      </w:pPr>
      <w:r>
        <w:rPr>
          <w:snapToGrid w:val="0"/>
        </w:rPr>
        <w:tab/>
        <w:t>(1)</w:t>
      </w:r>
      <w:r>
        <w:rPr>
          <w:snapToGrid w:val="0"/>
        </w:rPr>
        <w:tab/>
        <w:t>A carcase of beef has the prescribed characteristics of “Tender Gold” beef if — </w:t>
      </w:r>
    </w:p>
    <w:p>
      <w:pPr>
        <w:pStyle w:val="Indenta"/>
        <w:rPr>
          <w:snapToGrid w:val="0"/>
        </w:rPr>
      </w:pPr>
      <w:r>
        <w:rPr>
          <w:snapToGrid w:val="0"/>
        </w:rPr>
        <w:tab/>
        <w:t>(a)</w:t>
      </w:r>
      <w:r>
        <w:rPr>
          <w:snapToGrid w:val="0"/>
        </w:rPr>
        <w:tab/>
        <w:t>the carcase is of a bovine that — </w:t>
      </w:r>
    </w:p>
    <w:p>
      <w:pPr>
        <w:pStyle w:val="Indenti"/>
        <w:rPr>
          <w:snapToGrid w:val="0"/>
        </w:rPr>
      </w:pPr>
      <w:r>
        <w:rPr>
          <w:snapToGrid w:val="0"/>
        </w:rPr>
        <w:tab/>
        <w:t>(i)</w:t>
      </w:r>
      <w:r>
        <w:rPr>
          <w:snapToGrid w:val="0"/>
        </w:rPr>
        <w:tab/>
        <w:t>is derived from either a female or a castrate or entire male that does not exhibit secondary sexual characteristics;</w:t>
      </w:r>
    </w:p>
    <w:p>
      <w:pPr>
        <w:pStyle w:val="Indenti"/>
        <w:rPr>
          <w:snapToGrid w:val="0"/>
        </w:rPr>
      </w:pPr>
      <w:r>
        <w:rPr>
          <w:snapToGrid w:val="0"/>
        </w:rPr>
        <w:tab/>
        <w:t>(ii)</w:t>
      </w:r>
      <w:r>
        <w:rPr>
          <w:snapToGrid w:val="0"/>
        </w:rPr>
        <w:tab/>
        <w:t>has cut no more than 2 permanent incisor teeth;</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t>(b)</w:t>
      </w:r>
      <w:r>
        <w:rPr>
          <w:snapToGrid w:val="0"/>
        </w:rPr>
        <w:tab/>
        <w:t>the carcase has been treated to prevent cold shortening in accordance with subregulation (3)(c);</w:t>
      </w:r>
    </w:p>
    <w:p>
      <w:pPr>
        <w:pStyle w:val="Indenta"/>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 xml:space="preserve">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w:t>
      </w:r>
    </w:p>
    <w:p>
      <w:pPr>
        <w:pStyle w:val="Indenta"/>
        <w:rPr>
          <w:snapToGrid w:val="0"/>
        </w:rPr>
      </w:pPr>
      <w:r>
        <w:rPr>
          <w:snapToGrid w:val="0"/>
        </w:rPr>
        <w:tab/>
        <w:t>(d)</w:t>
      </w:r>
      <w:r>
        <w:rPr>
          <w:snapToGrid w:val="0"/>
        </w:rPr>
        <w:tab/>
        <w:t>the colour of the meat is approved by an inspector and the colour of the fat is creamy or white as approved by an inspector;</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Penalty: $500.</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in Gazette 14 Jun 1985 p. 2172); amended in Gazette 27 May 1988 p. 1793</w:t>
      </w:r>
      <w:r>
        <w:noBreakHyphen/>
        <w:t>4; 2 Feb 1996 p. 390.]</w:t>
      </w:r>
    </w:p>
    <w:p>
      <w:pPr>
        <w:pStyle w:val="Heading5"/>
        <w:rPr>
          <w:snapToGrid w:val="0"/>
        </w:rPr>
      </w:pPr>
      <w:bookmarkStart w:id="74" w:name="_Toc435352706"/>
      <w:bookmarkStart w:id="75" w:name="_Toc54070776"/>
      <w:bookmarkStart w:id="76" w:name="_Toc129687045"/>
      <w:r>
        <w:rPr>
          <w:rStyle w:val="CharSectno"/>
        </w:rPr>
        <w:t>14A</w:t>
      </w:r>
      <w:r>
        <w:rPr>
          <w:snapToGrid w:val="0"/>
        </w:rPr>
        <w:t>.</w:t>
      </w:r>
      <w:r>
        <w:rPr>
          <w:snapToGrid w:val="0"/>
        </w:rPr>
        <w:tab/>
        <w:t>“Lot Fed” beef — prescribed characteristics and brand</w:t>
      </w:r>
      <w:bookmarkEnd w:id="74"/>
      <w:bookmarkEnd w:id="75"/>
      <w:bookmarkEnd w:id="76"/>
      <w:r>
        <w:rPr>
          <w:snapToGrid w:val="0"/>
        </w:rPr>
        <w:t xml:space="preserve"> </w:t>
      </w:r>
    </w:p>
    <w:p>
      <w:pPr>
        <w:pStyle w:val="Subsection"/>
        <w:rPr>
          <w:snapToGrid w:val="0"/>
        </w:rPr>
      </w:pPr>
      <w:r>
        <w:rPr>
          <w:snapToGrid w:val="0"/>
        </w:rPr>
        <w:tab/>
        <w:t>(1)</w:t>
      </w:r>
      <w:r>
        <w:rPr>
          <w:snapToGrid w:val="0"/>
        </w:rPr>
        <w:tab/>
        <w:t>A carcase of beef has the prescribed characteristics of “Lot Fed” beef if — </w:t>
      </w:r>
    </w:p>
    <w:p>
      <w:pPr>
        <w:pStyle w:val="Indenta"/>
        <w:rPr>
          <w:snapToGrid w:val="0"/>
        </w:rPr>
      </w:pPr>
      <w:r>
        <w:rPr>
          <w:snapToGrid w:val="0"/>
        </w:rPr>
        <w:tab/>
        <w:t>(a)</w:t>
      </w:r>
      <w:r>
        <w:rPr>
          <w:snapToGrid w:val="0"/>
        </w:rPr>
        <w:tab/>
        <w:t>the carcase is of a bovine that — </w:t>
      </w:r>
    </w:p>
    <w:p>
      <w:pPr>
        <w:pStyle w:val="Indenti"/>
        <w:rPr>
          <w:snapToGrid w:val="0"/>
        </w:rPr>
      </w:pPr>
      <w:r>
        <w:rPr>
          <w:snapToGrid w:val="0"/>
        </w:rPr>
        <w:tab/>
        <w:t>(i)</w:t>
      </w:r>
      <w:r>
        <w:rPr>
          <w:snapToGrid w:val="0"/>
        </w:rPr>
        <w:tab/>
        <w:t>is derived from either a female or a castrate or entire male that does not exhibit secondary sexual characteristics;</w:t>
      </w:r>
    </w:p>
    <w:p>
      <w:pPr>
        <w:pStyle w:val="Indenti"/>
        <w:rPr>
          <w:snapToGrid w:val="0"/>
        </w:rPr>
      </w:pPr>
      <w:r>
        <w:rPr>
          <w:snapToGrid w:val="0"/>
        </w:rPr>
        <w:tab/>
        <w:t>(ii)</w:t>
      </w:r>
      <w:r>
        <w:rPr>
          <w:snapToGrid w:val="0"/>
        </w:rPr>
        <w:tab/>
        <w:t>has cut no more than 2 permanent incisor teeth;</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w:t>
      </w:r>
    </w:p>
    <w:p>
      <w:pPr>
        <w:pStyle w:val="Indenta"/>
        <w:rPr>
          <w:snapToGrid w:val="0"/>
        </w:rPr>
      </w:pPr>
      <w:r>
        <w:rPr>
          <w:snapToGrid w:val="0"/>
        </w:rPr>
        <w:tab/>
        <w:t>(d)</w:t>
      </w:r>
      <w:r>
        <w:rPr>
          <w:snapToGrid w:val="0"/>
        </w:rPr>
        <w:tab/>
        <w:t>the animal from which the carcase was derived was slaughtered within 5 days of leaving the feedlot;</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 </w:t>
      </w:r>
    </w:p>
    <w:p>
      <w:pPr>
        <w:pStyle w:val="Indenta"/>
        <w:rPr>
          <w:snapToGrid w:val="0"/>
        </w:rPr>
      </w:pPr>
      <w:r>
        <w:rPr>
          <w:snapToGrid w:val="0"/>
        </w:rPr>
        <w:tab/>
        <w:t>(a)</w:t>
      </w:r>
      <w:r>
        <w:rPr>
          <w:snapToGrid w:val="0"/>
        </w:rPr>
        <w:tab/>
        <w:t>the carcase has been mouthed by or under the supervision of an inspector;</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w:t>
      </w:r>
    </w:p>
    <w:p>
      <w:pPr>
        <w:pStyle w:val="Indenta"/>
        <w:rPr>
          <w:snapToGrid w:val="0"/>
        </w:rPr>
      </w:pPr>
      <w:r>
        <w:rPr>
          <w:snapToGrid w:val="0"/>
        </w:rPr>
        <w:tab/>
        <w:t>(d)</w:t>
      </w:r>
      <w:r>
        <w:rPr>
          <w:snapToGrid w:val="0"/>
        </w:rPr>
        <w:tab/>
        <w:t>the animal from which the carcase was derived was identified as prescribed in subregulation (1)(b);</w:t>
      </w:r>
    </w:p>
    <w:p>
      <w:pPr>
        <w:pStyle w:val="Indenta"/>
        <w:rPr>
          <w:snapToGrid w:val="0"/>
        </w:rPr>
      </w:pPr>
      <w:r>
        <w:rPr>
          <w:snapToGrid w:val="0"/>
        </w:rPr>
        <w:tab/>
        <w:t>(e)</w:t>
      </w:r>
      <w:r>
        <w:rPr>
          <w:snapToGrid w:val="0"/>
        </w:rPr>
        <w:tab/>
        <w:t>the identification referred to in subregulation (1)(b) is available to an inspector;</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in Gazette 23 May 1986 p. 1740</w:t>
      </w:r>
      <w:r>
        <w:noBreakHyphen/>
        <w:t>1; amended in Gazette 27 May 1988 p. 1794</w:t>
      </w:r>
      <w:r>
        <w:noBreakHyphen/>
        <w:t xml:space="preserve">5; 2 Feb 1996 p. 390.] </w:t>
      </w:r>
    </w:p>
    <w:p>
      <w:pPr>
        <w:pStyle w:val="Heading2"/>
      </w:pPr>
      <w:bookmarkStart w:id="77" w:name="_Toc74987961"/>
      <w:bookmarkStart w:id="78" w:name="_Toc92686639"/>
      <w:bookmarkStart w:id="79" w:name="_Toc92875779"/>
      <w:bookmarkStart w:id="80" w:name="_Toc112492532"/>
      <w:bookmarkStart w:id="81" w:name="_Toc121819117"/>
      <w:bookmarkStart w:id="82" w:name="_Toc122409082"/>
      <w:bookmarkStart w:id="83" w:name="_Toc122494386"/>
      <w:bookmarkStart w:id="84" w:name="_Toc122494493"/>
      <w:bookmarkStart w:id="85" w:name="_Toc127261492"/>
      <w:bookmarkStart w:id="86" w:name="_Toc129687046"/>
      <w:r>
        <w:rPr>
          <w:rStyle w:val="CharPartNo"/>
        </w:rPr>
        <w:t>Part IV</w:t>
      </w:r>
      <w:r>
        <w:rPr>
          <w:rStyle w:val="CharDivNo"/>
        </w:rPr>
        <w:t> </w:t>
      </w:r>
      <w:r>
        <w:t>—</w:t>
      </w:r>
      <w:r>
        <w:rPr>
          <w:rStyle w:val="CharDivText"/>
        </w:rPr>
        <w:t> </w:t>
      </w:r>
      <w:r>
        <w:rPr>
          <w:rStyle w:val="CharPartText"/>
        </w:rPr>
        <w:t>Standard carcases</w:t>
      </w:r>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435352707"/>
      <w:bookmarkStart w:id="88" w:name="_Toc54070777"/>
      <w:bookmarkStart w:id="89" w:name="_Toc129687047"/>
      <w:r>
        <w:rPr>
          <w:rStyle w:val="CharSectno"/>
        </w:rPr>
        <w:t>15</w:t>
      </w:r>
      <w:r>
        <w:rPr>
          <w:snapToGrid w:val="0"/>
        </w:rPr>
        <w:t>.</w:t>
      </w:r>
      <w:r>
        <w:rPr>
          <w:snapToGrid w:val="0"/>
        </w:rPr>
        <w:tab/>
        <w:t>Sale of standard carcases</w:t>
      </w:r>
      <w:bookmarkEnd w:id="87"/>
      <w:bookmarkEnd w:id="88"/>
      <w:bookmarkEnd w:id="89"/>
      <w:r>
        <w:rPr>
          <w:snapToGrid w:val="0"/>
        </w:rPr>
        <w:t xml:space="preserve"> </w:t>
      </w:r>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Penalty: $500.</w:t>
      </w:r>
    </w:p>
    <w:p>
      <w:pPr>
        <w:pStyle w:val="Footnotesection"/>
      </w:pPr>
      <w:r>
        <w:tab/>
        <w:t xml:space="preserve">[Regulation 15 amended in Gazette 27 May 1988 p. 1795.] </w:t>
      </w:r>
    </w:p>
    <w:p>
      <w:pPr>
        <w:pStyle w:val="Heading5"/>
        <w:rPr>
          <w:snapToGrid w:val="0"/>
        </w:rPr>
      </w:pPr>
      <w:bookmarkStart w:id="90" w:name="_Toc435352708"/>
      <w:bookmarkStart w:id="91" w:name="_Toc54070778"/>
      <w:bookmarkStart w:id="92" w:name="_Toc129687048"/>
      <w:r>
        <w:rPr>
          <w:rStyle w:val="CharSectno"/>
        </w:rPr>
        <w:t>16</w:t>
      </w:r>
      <w:r>
        <w:rPr>
          <w:snapToGrid w:val="0"/>
        </w:rPr>
        <w:t>.</w:t>
      </w:r>
      <w:r>
        <w:rPr>
          <w:snapToGrid w:val="0"/>
        </w:rPr>
        <w:tab/>
        <w:t>Weighing of carcases</w:t>
      </w:r>
      <w:bookmarkEnd w:id="90"/>
      <w:bookmarkEnd w:id="91"/>
      <w:bookmarkEnd w:id="92"/>
      <w:r>
        <w:rPr>
          <w:snapToGrid w:val="0"/>
        </w:rPr>
        <w:t xml:space="preserve"> </w:t>
      </w:r>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Penalty: $500.</w:t>
      </w:r>
    </w:p>
    <w:p>
      <w:pPr>
        <w:pStyle w:val="Footnotesection"/>
      </w:pPr>
      <w:r>
        <w:tab/>
        <w:t xml:space="preserve">[Regulation 16 amended in Gazette 2 Sep 1988 p. 3470.] </w:t>
      </w:r>
    </w:p>
    <w:p>
      <w:pPr>
        <w:pStyle w:val="Heading5"/>
        <w:rPr>
          <w:snapToGrid w:val="0"/>
        </w:rPr>
      </w:pPr>
      <w:bookmarkStart w:id="93" w:name="_Toc435352709"/>
      <w:bookmarkStart w:id="94" w:name="_Toc54070779"/>
      <w:bookmarkStart w:id="95" w:name="_Toc129687049"/>
      <w:r>
        <w:rPr>
          <w:rStyle w:val="CharSectno"/>
        </w:rPr>
        <w:t>17</w:t>
      </w:r>
      <w:r>
        <w:rPr>
          <w:snapToGrid w:val="0"/>
        </w:rPr>
        <w:t>.</w:t>
      </w:r>
      <w:r>
        <w:rPr>
          <w:snapToGrid w:val="0"/>
        </w:rPr>
        <w:tab/>
        <w:t>Standard carcase</w:t>
      </w:r>
      <w:bookmarkEnd w:id="93"/>
      <w:bookmarkEnd w:id="94"/>
      <w:bookmarkEnd w:id="95"/>
      <w:r>
        <w:rPr>
          <w:snapToGrid w:val="0"/>
        </w:rPr>
        <w:t xml:space="preserve"> </w:t>
      </w:r>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96" w:name="_Toc74987965"/>
      <w:bookmarkStart w:id="97" w:name="_Toc92686643"/>
      <w:bookmarkStart w:id="98" w:name="_Toc92875783"/>
      <w:bookmarkStart w:id="99" w:name="_Toc112492536"/>
      <w:bookmarkStart w:id="100" w:name="_Toc121819121"/>
      <w:bookmarkStart w:id="101" w:name="_Toc122409086"/>
      <w:bookmarkStart w:id="102" w:name="_Toc122494390"/>
      <w:bookmarkStart w:id="103" w:name="_Toc122494497"/>
      <w:bookmarkStart w:id="104" w:name="_Toc127261496"/>
      <w:bookmarkStart w:id="105" w:name="_Toc129687050"/>
      <w:r>
        <w:rPr>
          <w:rStyle w:val="CharPartNo"/>
        </w:rPr>
        <w:t>Part V</w:t>
      </w:r>
      <w:r>
        <w:rPr>
          <w:rStyle w:val="CharDivNo"/>
        </w:rPr>
        <w:t> </w:t>
      </w:r>
      <w:r>
        <w:t>—</w:t>
      </w:r>
      <w:r>
        <w:rPr>
          <w:rStyle w:val="CharDivText"/>
        </w:rPr>
        <w:t> </w:t>
      </w:r>
      <w:r>
        <w:rPr>
          <w:rStyle w:val="CharPartText"/>
        </w:rPr>
        <w:t>Abattoirs</w:t>
      </w:r>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Footnoteheading"/>
        <w:rPr>
          <w:snapToGrid w:val="0"/>
        </w:rPr>
      </w:pPr>
      <w:r>
        <w:rPr>
          <w:snapToGrid w:val="0"/>
        </w:rPr>
        <w:tab/>
        <w:t xml:space="preserve">[Heading inserted in Gazette 26 Oct 1990 p. 5361.] </w:t>
      </w:r>
    </w:p>
    <w:p>
      <w:pPr>
        <w:pStyle w:val="Heading5"/>
        <w:rPr>
          <w:snapToGrid w:val="0"/>
        </w:rPr>
      </w:pPr>
      <w:bookmarkStart w:id="106" w:name="_Toc435352710"/>
      <w:bookmarkStart w:id="107" w:name="_Toc54070780"/>
      <w:bookmarkStart w:id="108" w:name="_Toc129687051"/>
      <w:r>
        <w:rPr>
          <w:rStyle w:val="CharSectno"/>
        </w:rPr>
        <w:t>18</w:t>
      </w:r>
      <w:r>
        <w:rPr>
          <w:snapToGrid w:val="0"/>
        </w:rPr>
        <w:t>.</w:t>
      </w:r>
      <w:r>
        <w:rPr>
          <w:snapToGrid w:val="0"/>
        </w:rPr>
        <w:tab/>
        <w:t>References to forms</w:t>
      </w:r>
      <w:bookmarkEnd w:id="106"/>
      <w:bookmarkEnd w:id="107"/>
      <w:bookmarkEnd w:id="108"/>
      <w:r>
        <w:rPr>
          <w:snapToGrid w:val="0"/>
        </w:rPr>
        <w:t xml:space="preserve"> </w:t>
      </w:r>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 xml:space="preserve">[Regulation 18 inserted in Gazette 26 Oct 1990 p. 5361.] </w:t>
      </w:r>
    </w:p>
    <w:p>
      <w:pPr>
        <w:pStyle w:val="Heading5"/>
        <w:rPr>
          <w:snapToGrid w:val="0"/>
        </w:rPr>
      </w:pPr>
      <w:bookmarkStart w:id="109" w:name="_Toc435352711"/>
      <w:bookmarkStart w:id="110" w:name="_Toc54070781"/>
      <w:bookmarkStart w:id="111" w:name="_Toc129687052"/>
      <w:r>
        <w:rPr>
          <w:rStyle w:val="CharSectno"/>
        </w:rPr>
        <w:t>19</w:t>
      </w:r>
      <w:r>
        <w:rPr>
          <w:snapToGrid w:val="0"/>
        </w:rPr>
        <w:t>.</w:t>
      </w:r>
      <w:r>
        <w:rPr>
          <w:snapToGrid w:val="0"/>
        </w:rPr>
        <w:tab/>
        <w:t>Form of applications for approvals</w:t>
      </w:r>
      <w:bookmarkEnd w:id="109"/>
      <w:bookmarkEnd w:id="110"/>
      <w:bookmarkEnd w:id="111"/>
      <w:r>
        <w:rPr>
          <w:snapToGrid w:val="0"/>
        </w:rPr>
        <w:t xml:space="preserve"> </w:t>
      </w:r>
    </w:p>
    <w:p>
      <w:pPr>
        <w:pStyle w:val="Subsection"/>
        <w:rPr>
          <w:snapToGrid w:val="0"/>
        </w:rPr>
      </w:pPr>
      <w:r>
        <w:rPr>
          <w:snapToGrid w:val="0"/>
        </w:rPr>
        <w:tab/>
      </w:r>
      <w:r>
        <w:rPr>
          <w:snapToGrid w:val="0"/>
        </w:rPr>
        <w:tab/>
        <w:t>An application —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 xml:space="preserve">[Regulation 19 inserted in Gazette 26 Oct 1990 p. 5362.] </w:t>
      </w:r>
    </w:p>
    <w:p>
      <w:pPr>
        <w:pStyle w:val="Heading5"/>
        <w:rPr>
          <w:snapToGrid w:val="0"/>
        </w:rPr>
      </w:pPr>
      <w:bookmarkStart w:id="112" w:name="_Toc435352712"/>
      <w:bookmarkStart w:id="113" w:name="_Toc54070782"/>
      <w:bookmarkStart w:id="114" w:name="_Toc129687053"/>
      <w:r>
        <w:rPr>
          <w:rStyle w:val="CharSectno"/>
        </w:rPr>
        <w:t>20</w:t>
      </w:r>
      <w:r>
        <w:rPr>
          <w:snapToGrid w:val="0"/>
        </w:rPr>
        <w:t>.</w:t>
      </w:r>
      <w:r>
        <w:rPr>
          <w:snapToGrid w:val="0"/>
        </w:rPr>
        <w:tab/>
        <w:t>Form of approvals</w:t>
      </w:r>
      <w:bookmarkEnd w:id="112"/>
      <w:bookmarkEnd w:id="113"/>
      <w:bookmarkEnd w:id="114"/>
      <w:r>
        <w:rPr>
          <w:snapToGrid w:val="0"/>
        </w:rPr>
        <w:t xml:space="preserve"> </w:t>
      </w:r>
    </w:p>
    <w:p>
      <w:pPr>
        <w:pStyle w:val="Subsection"/>
        <w:rPr>
          <w:snapToGrid w:val="0"/>
        </w:rPr>
      </w:pPr>
      <w:r>
        <w:rPr>
          <w:snapToGrid w:val="0"/>
        </w:rPr>
        <w:tab/>
      </w:r>
      <w:r>
        <w:rPr>
          <w:snapToGrid w:val="0"/>
        </w:rPr>
        <w:tab/>
        <w:t>An approval —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 xml:space="preserve">[Regulation 20 inserted in Gazette 26 Oct 1990 p. 5362.] </w:t>
      </w:r>
    </w:p>
    <w:p>
      <w:pPr>
        <w:pStyle w:val="Heading5"/>
        <w:rPr>
          <w:snapToGrid w:val="0"/>
        </w:rPr>
      </w:pPr>
      <w:bookmarkStart w:id="115" w:name="_Toc435352713"/>
      <w:bookmarkStart w:id="116" w:name="_Toc54070783"/>
      <w:bookmarkStart w:id="117" w:name="_Toc129687054"/>
      <w:r>
        <w:rPr>
          <w:rStyle w:val="CharSectno"/>
        </w:rPr>
        <w:t>21</w:t>
      </w:r>
      <w:r>
        <w:rPr>
          <w:snapToGrid w:val="0"/>
        </w:rPr>
        <w:t>.</w:t>
      </w:r>
      <w:r>
        <w:rPr>
          <w:snapToGrid w:val="0"/>
        </w:rPr>
        <w:tab/>
        <w:t>Matter prescribed under section 19(b)(vi) of the Act</w:t>
      </w:r>
      <w:bookmarkEnd w:id="115"/>
      <w:bookmarkEnd w:id="116"/>
      <w:bookmarkEnd w:id="117"/>
      <w:r>
        <w:rPr>
          <w:snapToGrid w:val="0"/>
        </w:rPr>
        <w:t xml:space="preserve"> </w:t>
      </w:r>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snapToGrid w:val="0"/>
        </w:rPr>
        <w:t>Country Slaughterhouse Regulations 1969</w:t>
      </w:r>
      <w:r>
        <w:rPr>
          <w:snapToGrid w:val="0"/>
          <w:vertAlign w:val="superscript"/>
        </w:rPr>
        <w:t> 2</w:t>
      </w:r>
      <w:r>
        <w:rPr>
          <w:snapToGrid w:val="0"/>
        </w:rPr>
        <w:t xml:space="preserve"> apply, the abattoir or proposed abattoir complies with the provisions of those regulations.</w:t>
      </w:r>
    </w:p>
    <w:p>
      <w:pPr>
        <w:pStyle w:val="Footnotesection"/>
      </w:pPr>
      <w:r>
        <w:tab/>
        <w:t xml:space="preserve">[Regulation 21 inserted in Gazette 26 Oct 1990 p. 5362.] </w:t>
      </w:r>
    </w:p>
    <w:p>
      <w:pPr>
        <w:pStyle w:val="Ednotesection"/>
      </w:pPr>
      <w:r>
        <w:t>[</w:t>
      </w:r>
      <w:r>
        <w:rPr>
          <w:b/>
        </w:rPr>
        <w:t>22.</w:t>
      </w:r>
      <w:r>
        <w:tab/>
        <w:t>Repealed in Gazette 30 Dec 2004 p. 6902.]</w:t>
      </w:r>
    </w:p>
    <w:p>
      <w:pPr>
        <w:pStyle w:val="Heading5"/>
        <w:rPr>
          <w:snapToGrid w:val="0"/>
        </w:rPr>
      </w:pPr>
      <w:bookmarkStart w:id="118" w:name="_Toc435352715"/>
      <w:bookmarkStart w:id="119" w:name="_Toc54070785"/>
      <w:bookmarkStart w:id="120" w:name="_Toc129687055"/>
      <w:r>
        <w:rPr>
          <w:rStyle w:val="CharSectno"/>
        </w:rPr>
        <w:t>23</w:t>
      </w:r>
      <w:r>
        <w:rPr>
          <w:snapToGrid w:val="0"/>
        </w:rPr>
        <w:t>.</w:t>
      </w:r>
      <w:r>
        <w:rPr>
          <w:snapToGrid w:val="0"/>
        </w:rPr>
        <w:tab/>
        <w:t>Notification of changes</w:t>
      </w:r>
      <w:bookmarkEnd w:id="118"/>
      <w:bookmarkEnd w:id="119"/>
      <w:bookmarkEnd w:id="120"/>
      <w:r>
        <w:rPr>
          <w:snapToGrid w:val="0"/>
        </w:rPr>
        <w:t xml:space="preserve"> </w:t>
      </w:r>
    </w:p>
    <w:p>
      <w:pPr>
        <w:pStyle w:val="Subsection"/>
        <w:rPr>
          <w:snapToGrid w:val="0"/>
        </w:rPr>
      </w:pPr>
      <w:r>
        <w:rPr>
          <w:snapToGrid w:val="0"/>
        </w:rPr>
        <w:tab/>
      </w:r>
      <w:r>
        <w:rPr>
          <w:snapToGrid w:val="0"/>
        </w:rPr>
        <w:tab/>
        <w:t>The owner of an abattoir shall notify the Authority in writing of —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 xml:space="preserve">[Regulation 23 inserted in Gazette 26 Oct 1990 p. 5362.] </w:t>
      </w:r>
    </w:p>
    <w:p>
      <w:pPr>
        <w:pStyle w:val="Heading5"/>
        <w:rPr>
          <w:snapToGrid w:val="0"/>
        </w:rPr>
      </w:pPr>
      <w:bookmarkStart w:id="121" w:name="_Toc435352716"/>
      <w:bookmarkStart w:id="122" w:name="_Toc54070786"/>
      <w:bookmarkStart w:id="123" w:name="_Toc129687056"/>
      <w:r>
        <w:rPr>
          <w:rStyle w:val="CharSectno"/>
        </w:rPr>
        <w:t>24</w:t>
      </w:r>
      <w:r>
        <w:rPr>
          <w:snapToGrid w:val="0"/>
        </w:rPr>
        <w:t>.</w:t>
      </w:r>
      <w:r>
        <w:rPr>
          <w:snapToGrid w:val="0"/>
        </w:rPr>
        <w:tab/>
        <w:t>Monthly returns</w:t>
      </w:r>
      <w:bookmarkEnd w:id="121"/>
      <w:bookmarkEnd w:id="122"/>
      <w:bookmarkEnd w:id="123"/>
      <w:r>
        <w:rPr>
          <w:snapToGrid w:val="0"/>
        </w:rPr>
        <w:t xml:space="preserve"> </w:t>
      </w:r>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 xml:space="preserve">[Regulation 24 inserted in Gazette 26 Oct 1990 p. 5362.] </w:t>
      </w:r>
    </w:p>
    <w:p>
      <w:pPr>
        <w:pStyle w:val="Heading2"/>
      </w:pPr>
      <w:bookmarkStart w:id="124" w:name="_Toc74987973"/>
      <w:bookmarkStart w:id="125" w:name="_Toc92686651"/>
      <w:bookmarkStart w:id="126" w:name="_Toc92875790"/>
      <w:bookmarkStart w:id="127" w:name="_Toc112492543"/>
      <w:bookmarkStart w:id="128" w:name="_Toc121819128"/>
      <w:bookmarkStart w:id="129" w:name="_Toc122409093"/>
      <w:bookmarkStart w:id="130" w:name="_Toc122494397"/>
      <w:bookmarkStart w:id="131" w:name="_Toc122494504"/>
      <w:bookmarkStart w:id="132" w:name="_Toc127261503"/>
      <w:bookmarkStart w:id="133" w:name="_Toc129687057"/>
      <w:r>
        <w:rPr>
          <w:rStyle w:val="CharPartNo"/>
        </w:rPr>
        <w:t>Part VI</w:t>
      </w:r>
      <w:r>
        <w:rPr>
          <w:rStyle w:val="CharDivNo"/>
        </w:rPr>
        <w:t> </w:t>
      </w:r>
      <w:r>
        <w:t>—</w:t>
      </w:r>
      <w:r>
        <w:rPr>
          <w:rStyle w:val="CharDivText"/>
        </w:rPr>
        <w:t> </w:t>
      </w:r>
      <w:r>
        <w:rPr>
          <w:rStyle w:val="CharPartText"/>
        </w:rPr>
        <w:t>Midland Saleyard</w:t>
      </w:r>
      <w:bookmarkEnd w:id="124"/>
      <w:bookmarkEnd w:id="125"/>
      <w:bookmarkEnd w:id="126"/>
      <w:bookmarkEnd w:id="127"/>
      <w:bookmarkEnd w:id="128"/>
      <w:bookmarkEnd w:id="129"/>
      <w:bookmarkEnd w:id="130"/>
      <w:bookmarkEnd w:id="131"/>
      <w:bookmarkEnd w:id="132"/>
      <w:bookmarkEnd w:id="133"/>
    </w:p>
    <w:p>
      <w:pPr>
        <w:pStyle w:val="Footnoteheading"/>
        <w:rPr>
          <w:snapToGrid w:val="0"/>
        </w:rPr>
      </w:pPr>
      <w:r>
        <w:rPr>
          <w:snapToGrid w:val="0"/>
        </w:rPr>
        <w:tab/>
        <w:t xml:space="preserve">[Heading inserted in Gazette 2 Feb 1996 p. 390.] </w:t>
      </w:r>
    </w:p>
    <w:p>
      <w:pPr>
        <w:pStyle w:val="Heading5"/>
        <w:rPr>
          <w:snapToGrid w:val="0"/>
        </w:rPr>
      </w:pPr>
      <w:bookmarkStart w:id="134" w:name="_Toc435352717"/>
      <w:bookmarkStart w:id="135" w:name="_Toc54070787"/>
      <w:bookmarkStart w:id="136" w:name="_Toc129687058"/>
      <w:r>
        <w:rPr>
          <w:rStyle w:val="CharSectno"/>
        </w:rPr>
        <w:t>25</w:t>
      </w:r>
      <w:r>
        <w:rPr>
          <w:snapToGrid w:val="0"/>
        </w:rPr>
        <w:t>.</w:t>
      </w:r>
      <w:r>
        <w:rPr>
          <w:snapToGrid w:val="0"/>
        </w:rPr>
        <w:tab/>
        <w:t>Stock agents</w:t>
      </w:r>
      <w:bookmarkEnd w:id="134"/>
      <w:bookmarkEnd w:id="135"/>
      <w:bookmarkEnd w:id="136"/>
      <w:r>
        <w:rPr>
          <w:snapToGrid w:val="0"/>
        </w:rPr>
        <w:t xml:space="preserve"> </w:t>
      </w:r>
    </w:p>
    <w:p>
      <w:pPr>
        <w:pStyle w:val="Subsection"/>
        <w:rPr>
          <w:snapToGrid w:val="0"/>
        </w:rPr>
      </w:pPr>
      <w:r>
        <w:rPr>
          <w:snapToGrid w:val="0"/>
        </w:rPr>
        <w:tab/>
        <w:t>(1)</w:t>
      </w:r>
      <w:r>
        <w:rPr>
          <w:snapToGrid w:val="0"/>
        </w:rPr>
        <w:tab/>
        <w:t>A person shall not sell any stock at Midland Saleyard without the prior written approval of the Authority.</w:t>
      </w:r>
    </w:p>
    <w:p>
      <w:pPr>
        <w:pStyle w:val="Subsection"/>
        <w:rPr>
          <w:snapToGrid w:val="0"/>
        </w:rPr>
      </w:pPr>
      <w:r>
        <w:rPr>
          <w:snapToGrid w:val="0"/>
        </w:rPr>
        <w:tab/>
        <w:t>(2)</w:t>
      </w:r>
      <w:r>
        <w:rPr>
          <w:snapToGrid w:val="0"/>
        </w:rPr>
        <w:tab/>
        <w:t>On application being made to it in writing the Authority may grant to the applicant approval to act as a stock agent subject to such conditions and restrictions as the Authority sees fit to impose.</w:t>
      </w:r>
    </w:p>
    <w:p>
      <w:pPr>
        <w:pStyle w:val="Subsection"/>
        <w:rPr>
          <w:snapToGrid w:val="0"/>
        </w:rPr>
      </w:pPr>
      <w:r>
        <w:rPr>
          <w:snapToGrid w:val="0"/>
        </w:rPr>
        <w:tab/>
        <w:t>(3)</w:t>
      </w:r>
      <w:r>
        <w:rPr>
          <w:snapToGrid w:val="0"/>
        </w:rPr>
        <w:tab/>
        <w:t xml:space="preserve">If approval is granted under subregulation (2) to a firm or company, the approval extends to any member or employee of the firm or company who holds an auctioneer’s licence under the </w:t>
      </w:r>
      <w:r>
        <w:rPr>
          <w:i/>
          <w:snapToGrid w:val="0"/>
        </w:rPr>
        <w:t>Auction Sales Act 1973</w:t>
      </w:r>
      <w:r>
        <w:rPr>
          <w:snapToGrid w:val="0"/>
        </w:rPr>
        <w:t>.</w:t>
      </w:r>
    </w:p>
    <w:p>
      <w:pPr>
        <w:pStyle w:val="Footnotesection"/>
      </w:pPr>
      <w:r>
        <w:tab/>
        <w:t xml:space="preserve">[Regulation 25 inserted in Gazette 2 Feb 1996 p. 390.] </w:t>
      </w:r>
    </w:p>
    <w:p>
      <w:pPr>
        <w:pStyle w:val="Heading5"/>
        <w:rPr>
          <w:snapToGrid w:val="0"/>
        </w:rPr>
      </w:pPr>
      <w:bookmarkStart w:id="137" w:name="_Toc435352718"/>
      <w:bookmarkStart w:id="138" w:name="_Toc54070788"/>
      <w:bookmarkStart w:id="139" w:name="_Toc129687059"/>
      <w:r>
        <w:rPr>
          <w:rStyle w:val="CharSectno"/>
        </w:rPr>
        <w:t>26</w:t>
      </w:r>
      <w:r>
        <w:rPr>
          <w:snapToGrid w:val="0"/>
        </w:rPr>
        <w:t>.</w:t>
      </w:r>
      <w:r>
        <w:rPr>
          <w:snapToGrid w:val="0"/>
        </w:rPr>
        <w:tab/>
        <w:t>Delivery of stock to Midland Saleyard</w:t>
      </w:r>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A person delivering stock to Midland Saleyard shall place the stock in the pens or yards indicated by the Authority. </w:t>
      </w:r>
    </w:p>
    <w:p>
      <w:pPr>
        <w:pStyle w:val="Subsection"/>
        <w:rPr>
          <w:snapToGrid w:val="0"/>
        </w:rPr>
      </w:pPr>
      <w:r>
        <w:rPr>
          <w:snapToGrid w:val="0"/>
        </w:rPr>
        <w:tab/>
        <w:t>(2)</w:t>
      </w:r>
      <w:r>
        <w:rPr>
          <w:snapToGrid w:val="0"/>
        </w:rPr>
        <w:tab/>
        <w:t>A person delivering stock to Midland Saleyard and the stock agent (or if there is no stock agent, the owner) shall comply with any directions of the Authority in relation to the delivery, yarding and removal of the stock.</w:t>
      </w:r>
    </w:p>
    <w:p>
      <w:pPr>
        <w:pStyle w:val="Footnotesection"/>
      </w:pPr>
      <w:r>
        <w:tab/>
        <w:t xml:space="preserve">[Regulation 26 inserted in Gazette 2 Feb 1996 p. 390.] </w:t>
      </w:r>
    </w:p>
    <w:p>
      <w:pPr>
        <w:pStyle w:val="Heading5"/>
        <w:rPr>
          <w:snapToGrid w:val="0"/>
        </w:rPr>
      </w:pPr>
      <w:bookmarkStart w:id="140" w:name="_Toc435352719"/>
      <w:bookmarkStart w:id="141" w:name="_Toc54070789"/>
      <w:bookmarkStart w:id="142" w:name="_Toc129687060"/>
      <w:r>
        <w:rPr>
          <w:rStyle w:val="CharSectno"/>
        </w:rPr>
        <w:t>27</w:t>
      </w:r>
      <w:r>
        <w:rPr>
          <w:snapToGrid w:val="0"/>
        </w:rPr>
        <w:t>.</w:t>
      </w:r>
      <w:r>
        <w:rPr>
          <w:snapToGrid w:val="0"/>
        </w:rPr>
        <w:tab/>
        <w:t>Care of stock in Midland Saleyard</w:t>
      </w:r>
      <w:bookmarkEnd w:id="140"/>
      <w:bookmarkEnd w:id="141"/>
      <w:bookmarkEnd w:id="142"/>
      <w:r>
        <w:rPr>
          <w:snapToGrid w:val="0"/>
        </w:rPr>
        <w:t xml:space="preserve"> </w:t>
      </w:r>
    </w:p>
    <w:p>
      <w:pPr>
        <w:pStyle w:val="Subsection"/>
        <w:rPr>
          <w:snapToGrid w:val="0"/>
        </w:rPr>
      </w:pPr>
      <w:r>
        <w:rPr>
          <w:snapToGrid w:val="0"/>
        </w:rPr>
        <w:tab/>
      </w:r>
      <w:r>
        <w:rPr>
          <w:snapToGrid w:val="0"/>
        </w:rPr>
        <w:tab/>
        <w:t>Where stock is yarded in Midland Saleyard the stock agent (or if there is no stock agent, the owner) shall — </w:t>
      </w:r>
    </w:p>
    <w:p>
      <w:pPr>
        <w:pStyle w:val="Indenta"/>
        <w:rPr>
          <w:snapToGrid w:val="0"/>
        </w:rPr>
      </w:pPr>
      <w:r>
        <w:rPr>
          <w:snapToGrid w:val="0"/>
        </w:rPr>
        <w:tab/>
        <w:t>(a)</w:t>
      </w:r>
      <w:r>
        <w:rPr>
          <w:snapToGrid w:val="0"/>
        </w:rPr>
        <w:tab/>
        <w:t>ensure that the stock is properly cared for;</w:t>
      </w:r>
    </w:p>
    <w:p>
      <w:pPr>
        <w:pStyle w:val="Indenta"/>
        <w:rPr>
          <w:snapToGrid w:val="0"/>
        </w:rPr>
      </w:pPr>
      <w:r>
        <w:rPr>
          <w:snapToGrid w:val="0"/>
        </w:rPr>
        <w:tab/>
        <w:t>(b)</w:t>
      </w:r>
      <w:r>
        <w:rPr>
          <w:snapToGrid w:val="0"/>
        </w:rPr>
        <w:tab/>
        <w:t>if the stock is kept yarded for more than 24 hours, provide the stock with food; and</w:t>
      </w:r>
    </w:p>
    <w:p>
      <w:pPr>
        <w:pStyle w:val="Indenta"/>
        <w:rPr>
          <w:snapToGrid w:val="0"/>
        </w:rPr>
      </w:pPr>
      <w:r>
        <w:rPr>
          <w:snapToGrid w:val="0"/>
        </w:rPr>
        <w:tab/>
        <w:t>(c)</w:t>
      </w:r>
      <w:r>
        <w:rPr>
          <w:snapToGrid w:val="0"/>
        </w:rPr>
        <w:tab/>
        <w:t>comply with any directions given by the Authority in relation to the care, feeding and watering of the stock.</w:t>
      </w:r>
    </w:p>
    <w:p>
      <w:pPr>
        <w:pStyle w:val="Footnotesection"/>
      </w:pPr>
      <w:r>
        <w:tab/>
        <w:t>[Regulation 27 inserted in Gazette 2 Feb 1996 p. 390; amended in Gazette 2 Sep 1997 p. 4962</w:t>
      </w:r>
      <w:r>
        <w:noBreakHyphen/>
        <w:t xml:space="preserve">3.] </w:t>
      </w:r>
    </w:p>
    <w:p>
      <w:pPr>
        <w:pStyle w:val="Heading5"/>
        <w:rPr>
          <w:snapToGrid w:val="0"/>
        </w:rPr>
      </w:pPr>
      <w:bookmarkStart w:id="143" w:name="_Toc435352720"/>
      <w:bookmarkStart w:id="144" w:name="_Toc54070790"/>
      <w:bookmarkStart w:id="145" w:name="_Toc129687061"/>
      <w:r>
        <w:rPr>
          <w:rStyle w:val="CharSectno"/>
        </w:rPr>
        <w:t>28</w:t>
      </w:r>
      <w:r>
        <w:rPr>
          <w:snapToGrid w:val="0"/>
        </w:rPr>
        <w:t>.</w:t>
      </w:r>
      <w:r>
        <w:rPr>
          <w:snapToGrid w:val="0"/>
        </w:rPr>
        <w:tab/>
        <w:t>Dead or disabled stock</w:t>
      </w:r>
      <w:bookmarkEnd w:id="143"/>
      <w:bookmarkEnd w:id="144"/>
      <w:bookmarkEnd w:id="145"/>
      <w:r>
        <w:rPr>
          <w:snapToGrid w:val="0"/>
        </w:rPr>
        <w:t xml:space="preserve"> </w:t>
      </w:r>
    </w:p>
    <w:p>
      <w:pPr>
        <w:pStyle w:val="Subsection"/>
        <w:rPr>
          <w:snapToGrid w:val="0"/>
        </w:rPr>
      </w:pPr>
      <w:r>
        <w:rPr>
          <w:snapToGrid w:val="0"/>
        </w:rPr>
        <w:tab/>
        <w:t>(1)</w:t>
      </w:r>
      <w:r>
        <w:rPr>
          <w:snapToGrid w:val="0"/>
        </w:rPr>
        <w:tab/>
        <w:t>If any stock is delivered to Midland Saleyard dead, crippled or disabled, or dies or becomes crippled or disabled while yarded, the stock agent (or if there is no stock agent, the owner) shall remove the stock from the saleyard within 24 hours.</w:t>
      </w:r>
    </w:p>
    <w:p>
      <w:pPr>
        <w:pStyle w:val="Subsection"/>
        <w:rPr>
          <w:snapToGrid w:val="0"/>
        </w:rPr>
      </w:pPr>
      <w:r>
        <w:rPr>
          <w:snapToGrid w:val="0"/>
        </w:rPr>
        <w:tab/>
        <w:t>(2)</w:t>
      </w:r>
      <w:r>
        <w:rPr>
          <w:snapToGrid w:val="0"/>
        </w:rPr>
        <w:tab/>
        <w:t>If any such stock is not removed within 24 hours the Authority may dispose of it and recover the cost of that disposal from the stock agent (or if there is no stock agent, the owner).</w:t>
      </w:r>
    </w:p>
    <w:p>
      <w:pPr>
        <w:pStyle w:val="Subsection"/>
        <w:rPr>
          <w:snapToGrid w:val="0"/>
        </w:rPr>
      </w:pPr>
      <w:r>
        <w:rPr>
          <w:snapToGrid w:val="0"/>
        </w:rPr>
        <w:tab/>
        <w:t>(3)</w:t>
      </w:r>
      <w:r>
        <w:rPr>
          <w:snapToGrid w:val="0"/>
        </w:rPr>
        <w:tab/>
        <w:t>A stock agent shall not offer crippled or disabled stock for sale by auction at Midland Saleyard.</w:t>
      </w:r>
    </w:p>
    <w:p>
      <w:pPr>
        <w:pStyle w:val="Footnotesection"/>
      </w:pPr>
      <w:r>
        <w:tab/>
        <w:t xml:space="preserve">[Regulation 28 inserted in Gazette 2 Feb 1996 p. 390.] </w:t>
      </w:r>
    </w:p>
    <w:p>
      <w:pPr>
        <w:pStyle w:val="Heading5"/>
        <w:rPr>
          <w:snapToGrid w:val="0"/>
        </w:rPr>
      </w:pPr>
      <w:bookmarkStart w:id="146" w:name="_Toc435352721"/>
      <w:bookmarkStart w:id="147" w:name="_Toc54070791"/>
      <w:bookmarkStart w:id="148" w:name="_Toc129687062"/>
      <w:r>
        <w:rPr>
          <w:rStyle w:val="CharSectno"/>
        </w:rPr>
        <w:t>29</w:t>
      </w:r>
      <w:r>
        <w:rPr>
          <w:snapToGrid w:val="0"/>
        </w:rPr>
        <w:t>.</w:t>
      </w:r>
      <w:r>
        <w:rPr>
          <w:snapToGrid w:val="0"/>
        </w:rPr>
        <w:tab/>
        <w:t>Stock yarded for sale</w:t>
      </w:r>
      <w:bookmarkEnd w:id="146"/>
      <w:bookmarkEnd w:id="147"/>
      <w:bookmarkEnd w:id="148"/>
      <w:r>
        <w:rPr>
          <w:snapToGrid w:val="0"/>
        </w:rPr>
        <w:t xml:space="preserve"> </w:t>
      </w:r>
    </w:p>
    <w:p>
      <w:pPr>
        <w:pStyle w:val="Subsection"/>
        <w:rPr>
          <w:snapToGrid w:val="0"/>
        </w:rPr>
      </w:pPr>
      <w:r>
        <w:rPr>
          <w:snapToGrid w:val="0"/>
        </w:rPr>
        <w:tab/>
        <w:t>(1)</w:t>
      </w:r>
      <w:r>
        <w:rPr>
          <w:snapToGrid w:val="0"/>
        </w:rPr>
        <w:tab/>
        <w:t>Stock yarded in Midland Saleyard for sale may remain yarded until 12 noon on the day after it is offered for sale.</w:t>
      </w:r>
    </w:p>
    <w:p>
      <w:pPr>
        <w:pStyle w:val="Subsection"/>
        <w:rPr>
          <w:snapToGrid w:val="0"/>
        </w:rPr>
      </w:pPr>
      <w:r>
        <w:rPr>
          <w:snapToGrid w:val="0"/>
        </w:rPr>
        <w:tab/>
        <w:t>(2)</w:t>
      </w:r>
      <w:r>
        <w:rPr>
          <w:snapToGrid w:val="0"/>
        </w:rPr>
        <w:tab/>
        <w:t>If stock remains yarded after that time — </w:t>
      </w:r>
    </w:p>
    <w:p>
      <w:pPr>
        <w:pStyle w:val="Indenta"/>
        <w:rPr>
          <w:snapToGrid w:val="0"/>
        </w:rPr>
      </w:pPr>
      <w:r>
        <w:rPr>
          <w:snapToGrid w:val="0"/>
        </w:rPr>
        <w:tab/>
        <w:t>(a)</w:t>
      </w:r>
      <w:r>
        <w:rPr>
          <w:snapToGrid w:val="0"/>
        </w:rPr>
        <w:tab/>
        <w:t>the Authority may move the stock to another part of the saleyard or any other place owned by the Authority and recover the cost of moving the stock from the owner; and</w:t>
      </w:r>
    </w:p>
    <w:p>
      <w:pPr>
        <w:pStyle w:val="Indenta"/>
        <w:rPr>
          <w:snapToGrid w:val="0"/>
        </w:rPr>
      </w:pPr>
      <w:r>
        <w:rPr>
          <w:snapToGrid w:val="0"/>
        </w:rPr>
        <w:tab/>
        <w:t>(b)</w:t>
      </w:r>
      <w:r>
        <w:rPr>
          <w:snapToGrid w:val="0"/>
        </w:rPr>
        <w:tab/>
        <w:t>the stock is to be treated, for the purposes of regulations 34 and 35, as if it had been yarded for transhipment.</w:t>
      </w:r>
    </w:p>
    <w:p>
      <w:pPr>
        <w:pStyle w:val="Footnotesection"/>
      </w:pPr>
      <w:r>
        <w:tab/>
        <w:t xml:space="preserve">[Regulation 29 inserted in Gazette 2 Feb 1996 p. 391; amended in Gazette 2 Sep 1997 p. 4963.] </w:t>
      </w:r>
    </w:p>
    <w:p>
      <w:pPr>
        <w:pStyle w:val="Heading5"/>
        <w:rPr>
          <w:snapToGrid w:val="0"/>
        </w:rPr>
      </w:pPr>
      <w:bookmarkStart w:id="149" w:name="_Toc435352722"/>
      <w:bookmarkStart w:id="150" w:name="_Toc54070792"/>
      <w:bookmarkStart w:id="151" w:name="_Toc129687063"/>
      <w:r>
        <w:rPr>
          <w:rStyle w:val="CharSectno"/>
        </w:rPr>
        <w:t>30</w:t>
      </w:r>
      <w:r>
        <w:rPr>
          <w:snapToGrid w:val="0"/>
        </w:rPr>
        <w:t>.</w:t>
      </w:r>
      <w:r>
        <w:rPr>
          <w:snapToGrid w:val="0"/>
        </w:rPr>
        <w:tab/>
        <w:t>No private sales before auction</w:t>
      </w:r>
      <w:bookmarkEnd w:id="149"/>
      <w:bookmarkEnd w:id="150"/>
      <w:bookmarkEnd w:id="151"/>
      <w:r>
        <w:rPr>
          <w:snapToGrid w:val="0"/>
        </w:rPr>
        <w:t xml:space="preserve"> </w:t>
      </w:r>
    </w:p>
    <w:p>
      <w:pPr>
        <w:pStyle w:val="Subsection"/>
        <w:spacing w:before="120"/>
        <w:rPr>
          <w:snapToGrid w:val="0"/>
        </w:rPr>
      </w:pPr>
      <w:r>
        <w:rPr>
          <w:snapToGrid w:val="0"/>
        </w:rPr>
        <w:tab/>
      </w:r>
      <w:r>
        <w:rPr>
          <w:snapToGrid w:val="0"/>
        </w:rPr>
        <w:tab/>
        <w:t>Subject to regulation 28(3), a stock agent shall not sell stock at Midland Saleyard by private sale without first submitting the stock for auction.</w:t>
      </w:r>
    </w:p>
    <w:p>
      <w:pPr>
        <w:pStyle w:val="Footnotesection"/>
      </w:pPr>
      <w:r>
        <w:tab/>
        <w:t xml:space="preserve">[Regulation 30 inserted in Gazette 2 Feb 1996 p. 391.] </w:t>
      </w:r>
    </w:p>
    <w:p>
      <w:pPr>
        <w:pStyle w:val="Heading5"/>
        <w:rPr>
          <w:snapToGrid w:val="0"/>
        </w:rPr>
      </w:pPr>
      <w:bookmarkStart w:id="152" w:name="_Toc435352723"/>
      <w:bookmarkStart w:id="153" w:name="_Toc54070793"/>
      <w:bookmarkStart w:id="154" w:name="_Toc129687064"/>
      <w:r>
        <w:rPr>
          <w:rStyle w:val="CharSectno"/>
        </w:rPr>
        <w:t>30A</w:t>
      </w:r>
      <w:r>
        <w:rPr>
          <w:snapToGrid w:val="0"/>
        </w:rPr>
        <w:t>.</w:t>
      </w:r>
      <w:r>
        <w:rPr>
          <w:snapToGrid w:val="0"/>
        </w:rPr>
        <w:tab/>
        <w:t>Abandoned stock</w:t>
      </w:r>
      <w:bookmarkEnd w:id="152"/>
      <w:bookmarkEnd w:id="153"/>
      <w:bookmarkEnd w:id="154"/>
      <w:r>
        <w:rPr>
          <w:snapToGrid w:val="0"/>
        </w:rPr>
        <w:t xml:space="preserve"> </w:t>
      </w:r>
    </w:p>
    <w:p>
      <w:pPr>
        <w:pStyle w:val="Subsection"/>
        <w:spacing w:before="120"/>
        <w:rPr>
          <w:snapToGrid w:val="0"/>
        </w:rPr>
      </w:pPr>
      <w:r>
        <w:rPr>
          <w:snapToGrid w:val="0"/>
        </w:rPr>
        <w:tab/>
        <w:t>(1)</w:t>
      </w:r>
      <w:r>
        <w:rPr>
          <w:snapToGrid w:val="0"/>
        </w:rPr>
        <w:tab/>
        <w:t>If stock remains uncollected from the Midland Saleyard for more than 2 weeks — </w:t>
      </w:r>
    </w:p>
    <w:p>
      <w:pPr>
        <w:pStyle w:val="Indenta"/>
        <w:rPr>
          <w:snapToGrid w:val="0"/>
        </w:rPr>
      </w:pPr>
      <w:r>
        <w:rPr>
          <w:snapToGrid w:val="0"/>
        </w:rPr>
        <w:tab/>
        <w:t>(a)</w:t>
      </w:r>
      <w:r>
        <w:rPr>
          <w:snapToGrid w:val="0"/>
        </w:rPr>
        <w:tab/>
        <w:t>if it was yarded for sale, after it was offered for sale; or</w:t>
      </w:r>
    </w:p>
    <w:p>
      <w:pPr>
        <w:pStyle w:val="Indenta"/>
        <w:rPr>
          <w:snapToGrid w:val="0"/>
        </w:rPr>
      </w:pPr>
      <w:r>
        <w:rPr>
          <w:snapToGrid w:val="0"/>
        </w:rPr>
        <w:tab/>
        <w:t>(b)</w:t>
      </w:r>
      <w:r>
        <w:rPr>
          <w:snapToGrid w:val="0"/>
        </w:rPr>
        <w:tab/>
        <w:t>if it was yarded for transhipment, after it was delivered to the Saleyard,</w:t>
      </w:r>
    </w:p>
    <w:p>
      <w:pPr>
        <w:pStyle w:val="Subsection"/>
        <w:spacing w:before="120"/>
        <w:rPr>
          <w:snapToGrid w:val="0"/>
        </w:rPr>
      </w:pPr>
      <w:r>
        <w:rPr>
          <w:snapToGrid w:val="0"/>
        </w:rPr>
        <w:tab/>
      </w:r>
      <w:r>
        <w:rPr>
          <w:snapToGrid w:val="0"/>
        </w:rPr>
        <w:tab/>
        <w:t>and the Authority, after making reasonable efforts, is unable to identify the owner of the stock, the Authority may arrange for the sale of the stock by auction and retain the proceeds of that sale.</w:t>
      </w:r>
    </w:p>
    <w:p>
      <w:pPr>
        <w:pStyle w:val="Subsection"/>
        <w:spacing w:before="120"/>
        <w:rPr>
          <w:snapToGrid w:val="0"/>
        </w:rPr>
      </w:pPr>
      <w:r>
        <w:rPr>
          <w:snapToGrid w:val="0"/>
        </w:rPr>
        <w:tab/>
        <w:t>(2)</w:t>
      </w:r>
      <w:r>
        <w:rPr>
          <w:snapToGrid w:val="0"/>
        </w:rPr>
        <w:tab/>
        <w:t>If, within 3 months of the sale of the stock under subregulation (1), a person satisfies the Authority that he or she was the owner of the stock immediately prior to the sale, the Authority is to pay to that person an amount equal to the proceeds of the sale less — </w:t>
      </w:r>
    </w:p>
    <w:p>
      <w:pPr>
        <w:pStyle w:val="Indenta"/>
        <w:rPr>
          <w:snapToGrid w:val="0"/>
        </w:rPr>
      </w:pPr>
      <w:r>
        <w:rPr>
          <w:snapToGrid w:val="0"/>
        </w:rPr>
        <w:tab/>
        <w:t>(a)</w:t>
      </w:r>
      <w:r>
        <w:rPr>
          <w:snapToGrid w:val="0"/>
        </w:rPr>
        <w:tab/>
        <w:t xml:space="preserve">the cost of caring for the stock prior to sale; </w:t>
      </w:r>
    </w:p>
    <w:p>
      <w:pPr>
        <w:pStyle w:val="Indenta"/>
        <w:rPr>
          <w:snapToGrid w:val="0"/>
        </w:rPr>
      </w:pPr>
      <w:r>
        <w:rPr>
          <w:snapToGrid w:val="0"/>
        </w:rPr>
        <w:tab/>
        <w:t>(b)</w:t>
      </w:r>
      <w:r>
        <w:rPr>
          <w:snapToGrid w:val="0"/>
        </w:rPr>
        <w:tab/>
        <w:t>the cost of selling the stock; and</w:t>
      </w:r>
    </w:p>
    <w:p>
      <w:pPr>
        <w:pStyle w:val="Indenta"/>
        <w:rPr>
          <w:snapToGrid w:val="0"/>
        </w:rPr>
      </w:pPr>
      <w:r>
        <w:rPr>
          <w:snapToGrid w:val="0"/>
        </w:rPr>
        <w:tab/>
        <w:t>(c)</w:t>
      </w:r>
      <w:r>
        <w:rPr>
          <w:snapToGrid w:val="0"/>
        </w:rPr>
        <w:tab/>
        <w:t>any fees payable under regulation 29(2)(b).</w:t>
      </w:r>
    </w:p>
    <w:p>
      <w:pPr>
        <w:pStyle w:val="Footnotesection"/>
      </w:pPr>
      <w:r>
        <w:tab/>
        <w:t xml:space="preserve">[Regulation 30A inserted in Gazette 2 Sep 1997 p. 4963.] </w:t>
      </w:r>
    </w:p>
    <w:p>
      <w:pPr>
        <w:pStyle w:val="Heading5"/>
        <w:rPr>
          <w:snapToGrid w:val="0"/>
        </w:rPr>
      </w:pPr>
      <w:bookmarkStart w:id="155" w:name="_Toc435352724"/>
      <w:bookmarkStart w:id="156" w:name="_Toc54070794"/>
      <w:bookmarkStart w:id="157" w:name="_Toc129687065"/>
      <w:r>
        <w:rPr>
          <w:rStyle w:val="CharSectno"/>
        </w:rPr>
        <w:t>31</w:t>
      </w:r>
      <w:r>
        <w:rPr>
          <w:snapToGrid w:val="0"/>
        </w:rPr>
        <w:t>.</w:t>
      </w:r>
      <w:r>
        <w:rPr>
          <w:snapToGrid w:val="0"/>
        </w:rPr>
        <w:tab/>
        <w:t>Purchaser’s order</w:t>
      </w:r>
      <w:bookmarkEnd w:id="155"/>
      <w:bookmarkEnd w:id="156"/>
      <w:bookmarkEnd w:id="157"/>
      <w:r>
        <w:rPr>
          <w:snapToGrid w:val="0"/>
        </w:rPr>
        <w:t xml:space="preserve"> </w:t>
      </w:r>
    </w:p>
    <w:p>
      <w:pPr>
        <w:pStyle w:val="Subsection"/>
        <w:rPr>
          <w:snapToGrid w:val="0"/>
        </w:rPr>
      </w:pPr>
      <w:r>
        <w:rPr>
          <w:snapToGrid w:val="0"/>
        </w:rPr>
        <w:tab/>
      </w:r>
      <w:r>
        <w:rPr>
          <w:snapToGrid w:val="0"/>
        </w:rPr>
        <w:tab/>
        <w:t>As soon as practicable after selling any stock at Midland Saleyard, a stock agent shall give the purchaser a written order, signed by or on behalf of the stock agent, authorising the purchaser to take possession of the stock.</w:t>
      </w:r>
    </w:p>
    <w:p>
      <w:pPr>
        <w:pStyle w:val="Footnotesection"/>
      </w:pPr>
      <w:r>
        <w:tab/>
        <w:t xml:space="preserve">[Regulation 31 inserted in Gazette 2 Feb 1996 p. 391.] </w:t>
      </w:r>
    </w:p>
    <w:p>
      <w:pPr>
        <w:pStyle w:val="Heading5"/>
        <w:rPr>
          <w:snapToGrid w:val="0"/>
        </w:rPr>
      </w:pPr>
      <w:bookmarkStart w:id="158" w:name="_Toc435352725"/>
      <w:bookmarkStart w:id="159" w:name="_Toc54070795"/>
      <w:bookmarkStart w:id="160" w:name="_Toc129687066"/>
      <w:r>
        <w:rPr>
          <w:rStyle w:val="CharSectno"/>
        </w:rPr>
        <w:t>32</w:t>
      </w:r>
      <w:r>
        <w:rPr>
          <w:snapToGrid w:val="0"/>
        </w:rPr>
        <w:t>.</w:t>
      </w:r>
      <w:r>
        <w:rPr>
          <w:snapToGrid w:val="0"/>
        </w:rPr>
        <w:tab/>
        <w:t>Vehicle washing facilities</w:t>
      </w:r>
      <w:bookmarkEnd w:id="158"/>
      <w:bookmarkEnd w:id="159"/>
      <w:bookmarkEnd w:id="160"/>
      <w:r>
        <w:rPr>
          <w:snapToGrid w:val="0"/>
        </w:rPr>
        <w:t xml:space="preserve"> </w:t>
      </w:r>
    </w:p>
    <w:p>
      <w:pPr>
        <w:pStyle w:val="Subsection"/>
        <w:rPr>
          <w:snapToGrid w:val="0"/>
        </w:rPr>
      </w:pPr>
      <w:r>
        <w:rPr>
          <w:snapToGrid w:val="0"/>
        </w:rPr>
        <w:tab/>
        <w:t>(1)</w:t>
      </w:r>
      <w:r>
        <w:rPr>
          <w:snapToGrid w:val="0"/>
        </w:rPr>
        <w:tab/>
        <w:t>The Authority shall provide, at or near Midland Saleyard, facilities for washing vehicles which are used for transporting stock to or from the saleyard.</w:t>
      </w:r>
    </w:p>
    <w:p>
      <w:pPr>
        <w:pStyle w:val="Subsection"/>
        <w:rPr>
          <w:snapToGrid w:val="0"/>
        </w:rPr>
      </w:pPr>
      <w:r>
        <w:rPr>
          <w:snapToGrid w:val="0"/>
        </w:rPr>
        <w:tab/>
        <w:t>(2)</w:t>
      </w:r>
      <w:r>
        <w:rPr>
          <w:snapToGrid w:val="0"/>
        </w:rPr>
        <w:tab/>
        <w:t>Those facilities may be used with the permission of the Authority on payment of a fee determined by the Authority.</w:t>
      </w:r>
    </w:p>
    <w:p>
      <w:pPr>
        <w:pStyle w:val="Footnotesection"/>
      </w:pPr>
      <w:r>
        <w:tab/>
        <w:t xml:space="preserve">[Regulation 32 inserted in Gazette 2 Feb 1996 p. 391.] </w:t>
      </w:r>
    </w:p>
    <w:p>
      <w:pPr>
        <w:pStyle w:val="Heading2"/>
      </w:pPr>
      <w:bookmarkStart w:id="161" w:name="_Toc74987983"/>
      <w:bookmarkStart w:id="162" w:name="_Toc92686661"/>
      <w:bookmarkStart w:id="163" w:name="_Toc92875800"/>
      <w:bookmarkStart w:id="164" w:name="_Toc112492553"/>
      <w:bookmarkStart w:id="165" w:name="_Toc121819138"/>
      <w:bookmarkStart w:id="166" w:name="_Toc122409103"/>
      <w:bookmarkStart w:id="167" w:name="_Toc122494407"/>
      <w:bookmarkStart w:id="168" w:name="_Toc122494514"/>
      <w:bookmarkStart w:id="169" w:name="_Toc127261513"/>
      <w:bookmarkStart w:id="170" w:name="_Toc129687067"/>
      <w:r>
        <w:rPr>
          <w:rStyle w:val="CharPartNo"/>
        </w:rPr>
        <w:t>Part VII</w:t>
      </w:r>
      <w:r>
        <w:rPr>
          <w:rStyle w:val="CharDivNo"/>
        </w:rPr>
        <w:t> </w:t>
      </w:r>
      <w:r>
        <w:t>—</w:t>
      </w:r>
      <w:r>
        <w:rPr>
          <w:rStyle w:val="CharDivText"/>
        </w:rPr>
        <w:t> </w:t>
      </w:r>
      <w:r>
        <w:rPr>
          <w:rStyle w:val="CharPartText"/>
        </w:rPr>
        <w:t>Fees and returns</w:t>
      </w:r>
      <w:bookmarkEnd w:id="161"/>
      <w:bookmarkEnd w:id="162"/>
      <w:bookmarkEnd w:id="163"/>
      <w:bookmarkEnd w:id="164"/>
      <w:bookmarkEnd w:id="165"/>
      <w:bookmarkEnd w:id="166"/>
      <w:bookmarkEnd w:id="167"/>
      <w:bookmarkEnd w:id="168"/>
      <w:bookmarkEnd w:id="169"/>
      <w:bookmarkEnd w:id="170"/>
    </w:p>
    <w:p>
      <w:pPr>
        <w:pStyle w:val="Footnoteheading"/>
        <w:rPr>
          <w:snapToGrid w:val="0"/>
        </w:rPr>
      </w:pPr>
      <w:r>
        <w:rPr>
          <w:snapToGrid w:val="0"/>
        </w:rPr>
        <w:tab/>
        <w:t xml:space="preserve">[Heading inserted in Gazette 2 Feb 1996 p. 391] </w:t>
      </w:r>
    </w:p>
    <w:p>
      <w:pPr>
        <w:pStyle w:val="Heading5"/>
        <w:rPr>
          <w:snapToGrid w:val="0"/>
        </w:rPr>
      </w:pPr>
      <w:bookmarkStart w:id="171" w:name="_Toc435352726"/>
      <w:bookmarkStart w:id="172" w:name="_Toc54070796"/>
      <w:bookmarkStart w:id="173" w:name="_Toc129687068"/>
      <w:r>
        <w:rPr>
          <w:rStyle w:val="CharSectno"/>
        </w:rPr>
        <w:t>33</w:t>
      </w:r>
      <w:r>
        <w:rPr>
          <w:snapToGrid w:val="0"/>
        </w:rPr>
        <w:t>.</w:t>
      </w:r>
      <w:r>
        <w:rPr>
          <w:snapToGrid w:val="0"/>
        </w:rPr>
        <w:tab/>
        <w:t>Abattoir fees</w:t>
      </w:r>
      <w:bookmarkEnd w:id="171"/>
      <w:bookmarkEnd w:id="172"/>
      <w:bookmarkEnd w:id="173"/>
      <w:r>
        <w:rPr>
          <w:snapToGrid w:val="0"/>
        </w:rPr>
        <w:t xml:space="preserve"> </w:t>
      </w:r>
    </w:p>
    <w:p>
      <w:pPr>
        <w:pStyle w:val="Subsection"/>
        <w:rPr>
          <w:snapToGrid w:val="0"/>
        </w:rPr>
      </w:pPr>
      <w:r>
        <w:rPr>
          <w:snapToGrid w:val="0"/>
        </w:rPr>
        <w:tab/>
        <w:t>(1)</w:t>
      </w:r>
      <w:r>
        <w:rPr>
          <w:snapToGrid w:val="0"/>
        </w:rPr>
        <w:tab/>
        <w:t>The fees set out in Part 1 of Schedule 6 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 xml:space="preserve">[Regulation 33 inserted in Gazette 2 Feb 1996 p. 391.] </w:t>
      </w:r>
    </w:p>
    <w:p>
      <w:pPr>
        <w:pStyle w:val="Heading5"/>
      </w:pPr>
      <w:bookmarkStart w:id="174" w:name="_Toc54070797"/>
      <w:bookmarkStart w:id="175" w:name="_Toc129687069"/>
      <w:bookmarkStart w:id="176" w:name="_Toc435352728"/>
      <w:r>
        <w:rPr>
          <w:rStyle w:val="CharSectno"/>
        </w:rPr>
        <w:t>34</w:t>
      </w:r>
      <w:r>
        <w:t>.</w:t>
      </w:r>
      <w:r>
        <w:tab/>
        <w:t>Midland Saleyard fees</w:t>
      </w:r>
      <w:bookmarkEnd w:id="174"/>
      <w:bookmarkEnd w:id="175"/>
    </w:p>
    <w:p>
      <w:pPr>
        <w:pStyle w:val="Subsection"/>
      </w:pPr>
      <w:r>
        <w:tab/>
        <w:t>(1)</w:t>
      </w:r>
      <w:r>
        <w:tab/>
        <w:t>The fees set out in Part 2 of Schedule 6 are to be paid for stock yarded in Midland Saleyard for sale.</w:t>
      </w:r>
    </w:p>
    <w:p>
      <w:pPr>
        <w:pStyle w:val="Subsection"/>
      </w:pPr>
      <w:r>
        <w:tab/>
        <w:t>(2)</w:t>
      </w:r>
      <w:r>
        <w:tab/>
        <w:t>The fees set out in Part 3 of Schedule 6 are to be paid for each 24 hours (or part thereo</w:t>
      </w:r>
      <w:r>
        <w:rPr>
          <w:spacing w:val="40"/>
        </w:rPr>
        <w:t>f</w:t>
      </w:r>
      <w:r>
        <w:t>) for which stock is yarded in Midland Saleyard for transhipment unless the sum of those fees for a period of 24 hours (or part thereo</w:t>
      </w:r>
      <w:r>
        <w:rPr>
          <w:spacing w:val="40"/>
        </w:rPr>
        <w:t>f</w:t>
      </w:r>
      <w:r>
        <w:t>) is less than $5.00, in which case the fee to be paid for yarding stock in Midland Saleyard for transhipment for that period is $5.00.</w:t>
      </w:r>
    </w:p>
    <w:p>
      <w:pPr>
        <w:pStyle w:val="Subsection"/>
      </w:pPr>
      <w:r>
        <w:tab/>
        <w:t>(3)</w:t>
      </w:r>
      <w:r>
        <w:tab/>
        <w:t>A fee payable under subregulation (1) or (2) shall be paid to the Authority by the stock agent on behalf of the owner within 28 days of the stock being yarded.</w:t>
      </w:r>
    </w:p>
    <w:p>
      <w:pPr>
        <w:pStyle w:val="Subsection"/>
      </w:pPr>
      <w:r>
        <w:tab/>
        <w:t>(4)</w:t>
      </w:r>
      <w:r>
        <w:tab/>
        <w:t>If stock which is not sold when first submitted for sale is resubmitted for sale on the same day and by the same stock agent, no fee is payable under subregulation (1) in respect of the second and each subsequent time the stock is so offered for sale.</w:t>
      </w:r>
    </w:p>
    <w:p>
      <w:pPr>
        <w:pStyle w:val="Footnotesection"/>
      </w:pPr>
      <w:r>
        <w:tab/>
        <w:t>[Regulation 34 inserted in Gazette 4 Apr 2003 p. 1024.]</w:t>
      </w:r>
    </w:p>
    <w:p>
      <w:pPr>
        <w:pStyle w:val="Heading5"/>
        <w:rPr>
          <w:snapToGrid w:val="0"/>
        </w:rPr>
      </w:pPr>
      <w:bookmarkStart w:id="177" w:name="_Toc54070798"/>
      <w:bookmarkStart w:id="178" w:name="_Toc129687070"/>
      <w:r>
        <w:rPr>
          <w:rStyle w:val="CharSectno"/>
        </w:rPr>
        <w:t>35</w:t>
      </w:r>
      <w:r>
        <w:rPr>
          <w:snapToGrid w:val="0"/>
        </w:rPr>
        <w:t>.</w:t>
      </w:r>
      <w:r>
        <w:rPr>
          <w:snapToGrid w:val="0"/>
        </w:rPr>
        <w:tab/>
        <w:t>Returns for yarded stock</w:t>
      </w:r>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Within 7 days of any stock being yarded in Midland Saleyard the stock agent (or if there is no stock agent, the owner) shall lodge with the Authority a written statement setting out the numbers and type of stock yarded for sale or for transhipment. </w:t>
      </w:r>
    </w:p>
    <w:p>
      <w:pPr>
        <w:pStyle w:val="Subsection"/>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pPr>
      <w:r>
        <w:tab/>
        <w:t xml:space="preserve">[Regulation 35 inserted in Gazette 2 Feb 1996 p. 392.] </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79" w:name="_Toc121819142"/>
      <w:bookmarkStart w:id="180" w:name="_Toc122409107"/>
      <w:bookmarkStart w:id="181" w:name="_Toc122494411"/>
      <w:bookmarkStart w:id="182" w:name="_Toc122494518"/>
      <w:bookmarkStart w:id="183" w:name="_Toc127261517"/>
      <w:bookmarkStart w:id="184" w:name="_Toc129687071"/>
      <w:r>
        <w:rPr>
          <w:rStyle w:val="CharSchNo"/>
        </w:rPr>
        <w:t>Schedule 1</w:t>
      </w:r>
      <w:bookmarkEnd w:id="179"/>
      <w:bookmarkEnd w:id="180"/>
      <w:bookmarkEnd w:id="181"/>
      <w:bookmarkEnd w:id="182"/>
      <w:bookmarkEnd w:id="183"/>
      <w:bookmarkEnd w:id="184"/>
      <w:r>
        <w:rPr>
          <w:rStyle w:val="CharSchNo"/>
        </w:rPr>
        <w:t xml:space="preserve"> </w:t>
      </w:r>
    </w:p>
    <w:p>
      <w:pPr>
        <w:pStyle w:val="yShoulderClause"/>
        <w:rPr>
          <w:snapToGrid w:val="0"/>
        </w:rPr>
      </w:pPr>
      <w:r>
        <w:rPr>
          <w:snapToGrid w:val="0"/>
        </w:rPr>
        <w:t>[regulation</w:t>
      </w:r>
      <w:r>
        <w:rPr>
          <w:rStyle w:val="CharSDivNo"/>
          <w:sz w:val="22"/>
        </w:rPr>
        <w:t> </w:t>
      </w:r>
      <w:r>
        <w:rPr>
          <w:snapToGrid w:val="0"/>
        </w:rPr>
        <w:t>11]</w:t>
      </w:r>
    </w:p>
    <w:p>
      <w:pPr>
        <w:pStyle w:val="yHeading2"/>
        <w:spacing w:after="240"/>
      </w:pPr>
      <w:bookmarkStart w:id="185" w:name="_Toc121819143"/>
      <w:bookmarkStart w:id="186" w:name="_Toc122409108"/>
      <w:bookmarkStart w:id="187" w:name="_Toc122494412"/>
      <w:bookmarkStart w:id="188" w:name="_Toc122494519"/>
      <w:bookmarkStart w:id="189" w:name="_Toc127261518"/>
      <w:bookmarkStart w:id="190" w:name="_Toc129687072"/>
      <w:r>
        <w:t>Part</w:t>
      </w:r>
      <w:r>
        <w:rPr>
          <w:rStyle w:val="CharSDivText"/>
        </w:rPr>
        <w:t xml:space="preserve"> </w:t>
      </w:r>
      <w:r>
        <w:t>A</w:t>
      </w:r>
      <w:bookmarkEnd w:id="185"/>
      <w:bookmarkEnd w:id="186"/>
      <w:bookmarkEnd w:id="187"/>
      <w:bookmarkEnd w:id="188"/>
      <w:bookmarkEnd w:id="189"/>
      <w:bookmarkEnd w:id="190"/>
    </w:p>
    <w:p>
      <w:pPr>
        <w:jc w:val="center"/>
        <w:rPr>
          <w:snapToGrid w:val="0"/>
        </w:rPr>
      </w:pPr>
      <w:r>
        <w:rPr>
          <w:noProof/>
          <w:lang w:eastAsia="en-AU"/>
        </w:rPr>
        <w:drawing>
          <wp:inline distT="0" distB="0" distL="0" distR="0">
            <wp:extent cx="1323975" cy="3838575"/>
            <wp:effectExtent l="0" t="0" r="9525" b="9525"/>
            <wp:docPr id="2" name="Picture 2" descr="\\Pcosrv\public$\Scanning\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Lamb.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191" w:name="_Toc121819144"/>
      <w:bookmarkStart w:id="192" w:name="_Toc122409109"/>
      <w:bookmarkStart w:id="193" w:name="_Toc122494413"/>
      <w:bookmarkStart w:id="194" w:name="_Toc122494520"/>
      <w:bookmarkStart w:id="195" w:name="_Toc127261519"/>
      <w:bookmarkStart w:id="196" w:name="_Toc129687073"/>
      <w:r>
        <w:t>Part B</w:t>
      </w:r>
      <w:bookmarkEnd w:id="191"/>
      <w:bookmarkEnd w:id="192"/>
      <w:bookmarkEnd w:id="193"/>
      <w:bookmarkEnd w:id="194"/>
      <w:bookmarkEnd w:id="195"/>
      <w:bookmarkEnd w:id="196"/>
    </w:p>
    <w:p>
      <w:pPr>
        <w:jc w:val="center"/>
        <w:rPr>
          <w:snapToGrid w:val="0"/>
        </w:rPr>
      </w:pPr>
      <w:r>
        <w:rPr>
          <w:noProof/>
          <w:lang w:eastAsia="en-AU"/>
        </w:rPr>
        <w:drawing>
          <wp:inline distT="0" distB="0" distL="0" distR="0">
            <wp:extent cx="1295400" cy="2886075"/>
            <wp:effectExtent l="0" t="0" r="0" b="9525"/>
            <wp:docPr id="3" name="Picture 3" descr="\\Pcosrv\public$\Scanning\Lam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osrv\public$\Scanning\Lamb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2"/>
        <w:pageBreakBefore/>
        <w:spacing w:after="240"/>
      </w:pPr>
      <w:bookmarkStart w:id="197" w:name="_Toc121819145"/>
      <w:bookmarkStart w:id="198" w:name="_Toc122409110"/>
      <w:bookmarkStart w:id="199" w:name="_Toc122494414"/>
      <w:bookmarkStart w:id="200" w:name="_Toc122494521"/>
      <w:bookmarkStart w:id="201" w:name="_Toc127261520"/>
      <w:bookmarkStart w:id="202" w:name="_Toc129687074"/>
      <w:r>
        <w:t>Part C</w:t>
      </w:r>
      <w:bookmarkEnd w:id="197"/>
      <w:bookmarkEnd w:id="198"/>
      <w:bookmarkEnd w:id="199"/>
      <w:bookmarkEnd w:id="200"/>
      <w:bookmarkEnd w:id="201"/>
      <w:bookmarkEnd w:id="202"/>
    </w:p>
    <w:bookmarkStart w:id="203" w:name="_MON_1000110856"/>
    <w:bookmarkStart w:id="204" w:name="_MON_1000114832"/>
    <w:bookmarkStart w:id="205" w:name="_MON_1000120301"/>
    <w:bookmarkStart w:id="206" w:name="_MON_1024120322"/>
    <w:bookmarkEnd w:id="203"/>
    <w:bookmarkEnd w:id="204"/>
    <w:bookmarkEnd w:id="205"/>
    <w:bookmarkEnd w:id="206"/>
    <w:bookmarkStart w:id="207" w:name="_MON_1000110745"/>
    <w:bookmarkEnd w:id="207"/>
    <w:p>
      <w:pPr>
        <w:jc w:val="center"/>
      </w:pPr>
      <w:r>
        <w:object w:dxaOrig="1831" w:dyaOrig="5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256.5pt" o:ole="" fillcolor="window">
            <v:imagedata r:id="rId30" o:title=""/>
          </v:shape>
          <o:OLEObject Type="Embed" ProgID="Word.Picture.8" ShapeID="_x0000_i1025" DrawAspect="Content" ObjectID="_1644497421" r:id="rId31"/>
        </w:object>
      </w:r>
    </w:p>
    <w:p>
      <w:pPr>
        <w:pStyle w:val="yScheduleHeading"/>
      </w:pPr>
      <w:bookmarkStart w:id="208" w:name="_Toc121819146"/>
      <w:bookmarkStart w:id="209" w:name="_Toc122409111"/>
      <w:bookmarkStart w:id="210" w:name="_Toc122494415"/>
      <w:bookmarkStart w:id="211" w:name="_Toc122494522"/>
      <w:bookmarkStart w:id="212" w:name="_Toc127261521"/>
      <w:bookmarkStart w:id="213" w:name="_Toc129687075"/>
      <w:r>
        <w:rPr>
          <w:rStyle w:val="CharSchNo"/>
        </w:rPr>
        <w:t>Schedule 2</w:t>
      </w:r>
      <w:bookmarkEnd w:id="208"/>
      <w:bookmarkEnd w:id="209"/>
      <w:bookmarkEnd w:id="210"/>
      <w:bookmarkEnd w:id="211"/>
      <w:bookmarkEnd w:id="212"/>
      <w:bookmarkEnd w:id="213"/>
      <w:r>
        <w:rPr>
          <w:rStyle w:val="CharSchNo"/>
        </w:rPr>
        <w:t xml:space="preserve"> </w:t>
      </w:r>
    </w:p>
    <w:p>
      <w:pPr>
        <w:pStyle w:val="yShoulderClause"/>
        <w:rPr>
          <w:snapToGrid w:val="0"/>
        </w:rPr>
      </w:pPr>
      <w:r>
        <w:rPr>
          <w:snapToGrid w:val="0"/>
        </w:rPr>
        <w:t>[regulation 13]</w:t>
      </w:r>
    </w:p>
    <w:p>
      <w:pPr>
        <w:pStyle w:val="yHeading2"/>
        <w:spacing w:after="240"/>
      </w:pPr>
      <w:bookmarkStart w:id="214" w:name="_Toc121819147"/>
      <w:bookmarkStart w:id="215" w:name="_Toc122409112"/>
      <w:bookmarkStart w:id="216" w:name="_Toc122494416"/>
      <w:bookmarkStart w:id="217" w:name="_Toc122494523"/>
      <w:bookmarkStart w:id="218" w:name="_Toc127261522"/>
      <w:bookmarkStart w:id="219" w:name="_Toc129687076"/>
      <w:r>
        <w:t>Part A</w:t>
      </w:r>
      <w:bookmarkEnd w:id="214"/>
      <w:bookmarkEnd w:id="215"/>
      <w:bookmarkEnd w:id="216"/>
      <w:bookmarkEnd w:id="217"/>
      <w:bookmarkEnd w:id="218"/>
      <w:bookmarkEnd w:id="219"/>
    </w:p>
    <w:p>
      <w:pPr>
        <w:jc w:val="center"/>
        <w:rPr>
          <w:snapToGrid w:val="0"/>
        </w:rPr>
      </w:pPr>
      <w:r>
        <w:rPr>
          <w:noProof/>
          <w:lang w:eastAsia="en-AU"/>
        </w:rPr>
        <w:drawing>
          <wp:inline distT="0" distB="0" distL="0" distR="0">
            <wp:extent cx="1438275" cy="3543300"/>
            <wp:effectExtent l="0" t="0" r="9525" b="0"/>
            <wp:docPr id="5" name="Picture 5" descr="\\Pcosrv\public$\Scanning\Hogg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Hogge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2"/>
        <w:pageBreakBefore/>
        <w:spacing w:after="240"/>
      </w:pPr>
      <w:bookmarkStart w:id="220" w:name="_Toc121819148"/>
      <w:bookmarkStart w:id="221" w:name="_Toc122409113"/>
      <w:bookmarkStart w:id="222" w:name="_Toc122494417"/>
      <w:bookmarkStart w:id="223" w:name="_Toc122494524"/>
      <w:bookmarkStart w:id="224" w:name="_Toc127261523"/>
      <w:bookmarkStart w:id="225" w:name="_Toc129687077"/>
      <w:r>
        <w:t>Part B</w:t>
      </w:r>
      <w:bookmarkEnd w:id="220"/>
      <w:bookmarkEnd w:id="221"/>
      <w:bookmarkEnd w:id="222"/>
      <w:bookmarkEnd w:id="223"/>
      <w:bookmarkEnd w:id="224"/>
      <w:bookmarkEnd w:id="225"/>
    </w:p>
    <w:p>
      <w:pPr>
        <w:jc w:val="center"/>
        <w:rPr>
          <w:snapToGrid w:val="0"/>
        </w:rPr>
      </w:pPr>
      <w:r>
        <w:rPr>
          <w:noProof/>
          <w:lang w:eastAsia="en-AU"/>
        </w:rPr>
        <w:drawing>
          <wp:inline distT="0" distB="0" distL="0" distR="0">
            <wp:extent cx="1400175" cy="3648075"/>
            <wp:effectExtent l="0" t="0" r="9525" b="9525"/>
            <wp:docPr id="6" name="Picture 6" descr="\\Pcosrv\public$\Scanning\Hogge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cosrv\public$\Scanning\Hogget2.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226" w:name="_Toc121819149"/>
      <w:bookmarkStart w:id="227" w:name="_Toc122409114"/>
      <w:bookmarkStart w:id="228" w:name="_Toc122494418"/>
      <w:bookmarkStart w:id="229" w:name="_Toc122494525"/>
      <w:bookmarkStart w:id="230" w:name="_Toc127261524"/>
      <w:bookmarkStart w:id="231" w:name="_Toc129687078"/>
      <w:r>
        <w:rPr>
          <w:rStyle w:val="CharSchNo"/>
        </w:rPr>
        <w:t>Schedule 3</w:t>
      </w:r>
      <w:bookmarkEnd w:id="226"/>
      <w:bookmarkEnd w:id="227"/>
      <w:bookmarkEnd w:id="228"/>
      <w:bookmarkEnd w:id="229"/>
      <w:bookmarkEnd w:id="230"/>
      <w:bookmarkEnd w:id="231"/>
      <w:r>
        <w:rPr>
          <w:rStyle w:val="CharSchNo"/>
        </w:rPr>
        <w:t xml:space="preserve"> </w:t>
      </w:r>
    </w:p>
    <w:p>
      <w:pPr>
        <w:pStyle w:val="yShoulderClause"/>
        <w:rPr>
          <w:snapToGrid w:val="0"/>
        </w:rPr>
      </w:pPr>
      <w:r>
        <w:rPr>
          <w:snapToGrid w:val="0"/>
        </w:rPr>
        <w:t>[regulation 14]</w:t>
      </w:r>
    </w:p>
    <w:p>
      <w:pPr>
        <w:pStyle w:val="yHeading2"/>
        <w:spacing w:after="240"/>
      </w:pPr>
      <w:bookmarkStart w:id="232" w:name="_Toc121819150"/>
      <w:bookmarkStart w:id="233" w:name="_Toc122409115"/>
      <w:bookmarkStart w:id="234" w:name="_Toc122494419"/>
      <w:bookmarkStart w:id="235" w:name="_Toc122494526"/>
      <w:bookmarkStart w:id="236" w:name="_Toc127261525"/>
      <w:bookmarkStart w:id="237" w:name="_Toc129687079"/>
      <w:r>
        <w:t>Part A</w:t>
      </w:r>
      <w:bookmarkEnd w:id="232"/>
      <w:bookmarkEnd w:id="233"/>
      <w:bookmarkEnd w:id="234"/>
      <w:bookmarkEnd w:id="235"/>
      <w:bookmarkEnd w:id="236"/>
      <w:bookmarkEnd w:id="237"/>
    </w:p>
    <w:p>
      <w:pPr>
        <w:jc w:val="center"/>
        <w:rPr>
          <w:snapToGrid w:val="0"/>
        </w:rPr>
      </w:pPr>
      <w:r>
        <w:rPr>
          <w:noProof/>
          <w:lang w:eastAsia="en-AU"/>
        </w:rPr>
        <w:drawing>
          <wp:inline distT="0" distB="0" distL="0" distR="0">
            <wp:extent cx="1323975" cy="3829050"/>
            <wp:effectExtent l="0" t="0" r="9525" b="0"/>
            <wp:docPr id="7" name="Picture 7" descr="\\Pcosrv\public$\Scanning\Hogge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osrv\public$\Scanning\Hogget3.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2"/>
        <w:pageBreakBefore/>
        <w:spacing w:after="240"/>
      </w:pPr>
      <w:bookmarkStart w:id="238" w:name="_Toc121819151"/>
      <w:bookmarkStart w:id="239" w:name="_Toc122409116"/>
      <w:bookmarkStart w:id="240" w:name="_Toc122494420"/>
      <w:bookmarkStart w:id="241" w:name="_Toc122494527"/>
      <w:bookmarkStart w:id="242" w:name="_Toc127261526"/>
      <w:bookmarkStart w:id="243" w:name="_Toc129687080"/>
      <w:r>
        <w:t>Part B</w:t>
      </w:r>
      <w:bookmarkEnd w:id="238"/>
      <w:bookmarkEnd w:id="239"/>
      <w:bookmarkEnd w:id="240"/>
      <w:bookmarkEnd w:id="241"/>
      <w:bookmarkEnd w:id="242"/>
      <w:bookmarkEnd w:id="243"/>
    </w:p>
    <w:p>
      <w:pPr>
        <w:jc w:val="center"/>
        <w:rPr>
          <w:snapToGrid w:val="0"/>
        </w:rPr>
      </w:pPr>
      <w:r>
        <w:rPr>
          <w:noProof/>
          <w:lang w:eastAsia="en-AU"/>
        </w:rPr>
        <w:drawing>
          <wp:inline distT="0" distB="0" distL="0" distR="0">
            <wp:extent cx="1085850" cy="2390775"/>
            <wp:effectExtent l="0" t="0" r="0" b="9525"/>
            <wp:docPr id="8" name="Picture 8" descr="\\Pcosrv\public$\Scanning\Be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cosrv\public$\Scanning\Beef.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2"/>
        <w:pageBreakBefore/>
        <w:spacing w:after="240"/>
      </w:pPr>
      <w:bookmarkStart w:id="244" w:name="_Toc121819152"/>
      <w:bookmarkStart w:id="245" w:name="_Toc122409117"/>
      <w:bookmarkStart w:id="246" w:name="_Toc122494421"/>
      <w:bookmarkStart w:id="247" w:name="_Toc122494528"/>
      <w:bookmarkStart w:id="248" w:name="_Toc127261527"/>
      <w:bookmarkStart w:id="249" w:name="_Toc129687081"/>
      <w:r>
        <w:t>Part C</w:t>
      </w:r>
      <w:bookmarkEnd w:id="244"/>
      <w:bookmarkEnd w:id="245"/>
      <w:bookmarkEnd w:id="246"/>
      <w:bookmarkEnd w:id="247"/>
      <w:bookmarkEnd w:id="248"/>
      <w:bookmarkEnd w:id="249"/>
    </w:p>
    <w:p>
      <w:pPr>
        <w:jc w:val="center"/>
        <w:rPr>
          <w:snapToGrid w:val="0"/>
        </w:rPr>
      </w:pPr>
      <w:r>
        <w:rPr>
          <w:noProof/>
          <w:lang w:eastAsia="en-AU"/>
        </w:rPr>
        <w:drawing>
          <wp:inline distT="0" distB="0" distL="0" distR="0">
            <wp:extent cx="2657475" cy="3171825"/>
            <wp:effectExtent l="0" t="0" r="9525" b="9525"/>
            <wp:docPr id="9" name="Picture 9" descr="\\Pcosrv\public$\Scanning\Bee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cosrv\public$\Scanning\Beef2.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2"/>
        <w:pageBreakBefore/>
        <w:spacing w:after="240"/>
      </w:pPr>
      <w:bookmarkStart w:id="250" w:name="_Toc121819153"/>
      <w:bookmarkStart w:id="251" w:name="_Toc122409118"/>
      <w:bookmarkStart w:id="252" w:name="_Toc122494422"/>
      <w:bookmarkStart w:id="253" w:name="_Toc122494529"/>
      <w:bookmarkStart w:id="254" w:name="_Toc127261528"/>
      <w:bookmarkStart w:id="255" w:name="_Toc129687082"/>
      <w:r>
        <w:t>Part D</w:t>
      </w:r>
      <w:bookmarkEnd w:id="250"/>
      <w:bookmarkEnd w:id="251"/>
      <w:bookmarkEnd w:id="252"/>
      <w:bookmarkEnd w:id="253"/>
      <w:bookmarkEnd w:id="254"/>
      <w:bookmarkEnd w:id="255"/>
    </w:p>
    <w:p>
      <w:pPr>
        <w:jc w:val="center"/>
        <w:rPr>
          <w:snapToGrid w:val="0"/>
        </w:rPr>
      </w:pPr>
      <w:r>
        <w:rPr>
          <w:noProof/>
          <w:lang w:eastAsia="en-AU"/>
        </w:rPr>
        <w:drawing>
          <wp:inline distT="0" distB="0" distL="0" distR="0">
            <wp:extent cx="981075" cy="2647950"/>
            <wp:effectExtent l="0" t="0" r="9525" b="0"/>
            <wp:docPr id="10" name="Picture 10" descr="\\Pcosrv\public$\Scanning\Beef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Beef3.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 xml:space="preserve">[Schedule 3 amended in Gazette 23 May 1986 p. 1741; 27 May 1988 p. 1795.] </w:t>
      </w:r>
    </w:p>
    <w:p>
      <w:pPr>
        <w:pStyle w:val="yScheduleHeading"/>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bookmarkStart w:id="256" w:name="_Toc121819154"/>
      <w:bookmarkStart w:id="257" w:name="_Toc122409119"/>
      <w:bookmarkStart w:id="258" w:name="_Toc122494423"/>
      <w:bookmarkStart w:id="259" w:name="_Toc122494530"/>
    </w:p>
    <w:p>
      <w:pPr>
        <w:pStyle w:val="yScheduleHeading"/>
      </w:pPr>
      <w:bookmarkStart w:id="260" w:name="_Toc127261529"/>
      <w:bookmarkStart w:id="261" w:name="_Toc129687083"/>
      <w:r>
        <w:rPr>
          <w:rStyle w:val="CharSchNo"/>
        </w:rPr>
        <w:t>Schedule 4</w:t>
      </w:r>
      <w:bookmarkEnd w:id="256"/>
      <w:bookmarkEnd w:id="257"/>
      <w:bookmarkEnd w:id="258"/>
      <w:bookmarkEnd w:id="259"/>
      <w:bookmarkEnd w:id="260"/>
      <w:bookmarkEnd w:id="261"/>
      <w:r>
        <w:rPr>
          <w:rStyle w:val="CharSchNo"/>
        </w:rPr>
        <w:t xml:space="preserve"> </w:t>
      </w:r>
    </w:p>
    <w:p>
      <w:pPr>
        <w:pStyle w:val="yShoulderClause"/>
        <w:rPr>
          <w:snapToGrid w:val="0"/>
        </w:rPr>
      </w:pPr>
      <w:r>
        <w:rPr>
          <w:snapToGrid w:val="0"/>
        </w:rPr>
        <w:t>[regulation 17]</w:t>
      </w:r>
    </w:p>
    <w:p>
      <w:pPr>
        <w:pStyle w:val="yScheduleHeading2"/>
      </w:pPr>
      <w:r>
        <w:rPr>
          <w:rStyle w:val="CharSchText"/>
        </w:rPr>
        <w:t>Standard carcases</w:t>
      </w:r>
    </w:p>
    <w:p>
      <w:pPr>
        <w:pStyle w:val="yHeading5"/>
        <w:outlineLvl w:val="9"/>
        <w:rPr>
          <w:snapToGrid w:val="0"/>
        </w:rPr>
      </w:pPr>
      <w:bookmarkStart w:id="262" w:name="_Toc129687084"/>
      <w:r>
        <w:rPr>
          <w:rStyle w:val="CharSClsNo"/>
        </w:rPr>
        <w:t>1</w:t>
      </w:r>
      <w:r>
        <w:rPr>
          <w:snapToGrid w:val="0"/>
        </w:rPr>
        <w:t>.</w:t>
      </w:r>
      <w:r>
        <w:rPr>
          <w:snapToGrid w:val="0"/>
        </w:rPr>
        <w:tab/>
        <w:t>Pigs</w:t>
      </w:r>
      <w:bookmarkEnd w:id="262"/>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a meat inspector under the </w:t>
      </w:r>
      <w:r>
        <w:rPr>
          <w:i/>
          <w:snapToGrid w:val="0"/>
        </w:rPr>
        <w:t>Health Act 1911</w:t>
      </w:r>
      <w:r>
        <w:rPr>
          <w:snapToGrid w:val="0"/>
        </w:rPr>
        <w:t>, 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Heading5"/>
        <w:rPr>
          <w:snapToGrid w:val="0"/>
        </w:rPr>
      </w:pPr>
      <w:bookmarkStart w:id="263" w:name="_Toc129687085"/>
      <w:r>
        <w:rPr>
          <w:rStyle w:val="CharSClsNo"/>
        </w:rPr>
        <w:t>2</w:t>
      </w:r>
      <w:r>
        <w:rPr>
          <w:snapToGrid w:val="0"/>
        </w:rPr>
        <w:t>.</w:t>
      </w:r>
      <w:r>
        <w:rPr>
          <w:snapToGrid w:val="0"/>
        </w:rPr>
        <w:tab/>
        <w:t>Cattle</w:t>
      </w:r>
      <w:bookmarkEnd w:id="263"/>
    </w:p>
    <w:p>
      <w:pPr>
        <w:pStyle w:val="ySubsection"/>
        <w:rPr>
          <w:snapToGrid w:val="0"/>
        </w:rPr>
      </w:pPr>
      <w:r>
        <w:rPr>
          <w:snapToGrid w:val="0"/>
        </w:rPr>
        <w:tab/>
      </w:r>
      <w:r>
        <w:rPr>
          <w:snapToGrid w:val="0"/>
        </w:rPr>
        <w:tab/>
        <w:t>A standard beef or veal carcase is the body of a slaughtered bovine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tarsus and metatarsus (hock joint);</w:t>
      </w:r>
    </w:p>
    <w:p>
      <w:pPr>
        <w:pStyle w:val="yIndenta"/>
        <w:rPr>
          <w:snapToGrid w:val="0"/>
        </w:rPr>
      </w:pPr>
      <w:r>
        <w:rPr>
          <w:snapToGrid w:val="0"/>
        </w:rPr>
        <w:tab/>
        <w:t>(g)</w:t>
      </w:r>
      <w:r>
        <w:rPr>
          <w:snapToGrid w:val="0"/>
        </w:rPr>
        <w:tab/>
        <w:t>the tail at the junction between the sacral and coccygeal vertebrae;</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w:t>
      </w:r>
    </w:p>
    <w:p>
      <w:pPr>
        <w:pStyle w:val="yIndenta"/>
        <w:rPr>
          <w:snapToGrid w:val="0"/>
        </w:rPr>
      </w:pPr>
      <w:r>
        <w:rPr>
          <w:snapToGrid w:val="0"/>
        </w:rPr>
        <w:tab/>
        <w:t>(j)</w:t>
      </w:r>
      <w:r>
        <w:rPr>
          <w:snapToGrid w:val="0"/>
        </w:rPr>
        <w:tab/>
        <w:t>the udder, testes, penis and external fat on the ventral abdomen including precrural (flank) fat;</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w:t>
      </w:r>
    </w:p>
    <w:p>
      <w:pPr>
        <w:pStyle w:val="yIndenta"/>
        <w:rPr>
          <w:snapToGrid w:val="0"/>
        </w:rPr>
      </w:pPr>
      <w:r>
        <w:rPr>
          <w:snapToGrid w:val="0"/>
        </w:rPr>
        <w:tab/>
        <w:t>(l)</w:t>
      </w:r>
      <w:r>
        <w:rPr>
          <w:snapToGrid w:val="0"/>
        </w:rPr>
        <w:tab/>
        <w:t>excess fat on the topside rim to within 1 cm but no closer than 1 cm of the underlying muscle;</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in Gazette 27 May 1988 p. 1796.]</w:t>
      </w:r>
    </w:p>
    <w:p>
      <w:pPr>
        <w:pStyle w:val="yHeading5"/>
        <w:rPr>
          <w:snapToGrid w:val="0"/>
        </w:rPr>
      </w:pPr>
      <w:bookmarkStart w:id="264" w:name="_Toc129687086"/>
      <w:r>
        <w:rPr>
          <w:rStyle w:val="CharSClsNo"/>
        </w:rPr>
        <w:t>3</w:t>
      </w:r>
      <w:r>
        <w:rPr>
          <w:snapToGrid w:val="0"/>
        </w:rPr>
        <w:t>.</w:t>
      </w:r>
      <w:r>
        <w:rPr>
          <w:snapToGrid w:val="0"/>
        </w:rPr>
        <w:tab/>
        <w:t>Sheep</w:t>
      </w:r>
      <w:bookmarkEnd w:id="264"/>
    </w:p>
    <w:p>
      <w:pPr>
        <w:pStyle w:val="ySubsection"/>
        <w:rPr>
          <w:snapToGrid w:val="0"/>
        </w:rPr>
      </w:pPr>
      <w:r>
        <w:rPr>
          <w:snapToGrid w:val="0"/>
        </w:rPr>
        <w:tab/>
      </w:r>
      <w:r>
        <w:rPr>
          <w:snapToGrid w:val="0"/>
        </w:rPr>
        <w:tab/>
        <w:t>A sheepmeat carcase is the body of a slaughtered ovine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tarsus and metatarsus (hock joint);</w:t>
      </w:r>
    </w:p>
    <w:p>
      <w:pPr>
        <w:pStyle w:val="yIndenta"/>
        <w:rPr>
          <w:snapToGrid w:val="0"/>
        </w:rPr>
      </w:pPr>
      <w:r>
        <w:rPr>
          <w:snapToGrid w:val="0"/>
        </w:rPr>
        <w:tab/>
        <w:t>(g)</w:t>
      </w:r>
      <w:r>
        <w:rPr>
          <w:snapToGrid w:val="0"/>
        </w:rPr>
        <w:tab/>
        <w:t>the tail, so that it is no longer than 5 coccygeal vertebrae;</w:t>
      </w:r>
    </w:p>
    <w:p>
      <w:pPr>
        <w:pStyle w:val="yIndenta"/>
        <w:rPr>
          <w:snapToGrid w:val="0"/>
        </w:rPr>
      </w:pPr>
      <w:r>
        <w:rPr>
          <w:snapToGrid w:val="0"/>
        </w:rPr>
        <w:tab/>
        <w:t>(h)</w:t>
      </w:r>
      <w:r>
        <w:rPr>
          <w:snapToGrid w:val="0"/>
        </w:rPr>
        <w:tab/>
        <w:t>the thick skirt by separating the connective tissues as close as possible from the bodies of the lumbar vertebrae;</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in Gazette 27 May 1988 p. 1796.]</w:t>
      </w:r>
    </w:p>
    <w:p>
      <w:pPr>
        <w:pStyle w:val="yHeading5"/>
        <w:rPr>
          <w:snapToGrid w:val="0"/>
        </w:rPr>
      </w:pPr>
      <w:bookmarkStart w:id="265" w:name="_Toc129687087"/>
      <w:r>
        <w:rPr>
          <w:rStyle w:val="CharSClsNo"/>
        </w:rPr>
        <w:t>4</w:t>
      </w:r>
      <w:r>
        <w:rPr>
          <w:snapToGrid w:val="0"/>
        </w:rPr>
        <w:t>.</w:t>
      </w:r>
      <w:r>
        <w:rPr>
          <w:snapToGrid w:val="0"/>
        </w:rPr>
        <w:tab/>
        <w:t>Goats</w:t>
      </w:r>
      <w:bookmarkEnd w:id="265"/>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 </w:t>
      </w:r>
    </w:p>
    <w:p>
      <w:pPr>
        <w:pStyle w:val="yIndenta"/>
        <w:rPr>
          <w:snapToGrid w:val="0"/>
        </w:rPr>
      </w:pPr>
      <w:r>
        <w:rPr>
          <w:snapToGrid w:val="0"/>
        </w:rPr>
        <w:tab/>
        <w:t>(a)</w:t>
      </w:r>
      <w:r>
        <w:rPr>
          <w:snapToGrid w:val="0"/>
        </w:rPr>
        <w:tab/>
        <w:t>bleeding;</w:t>
      </w:r>
    </w:p>
    <w:p>
      <w:pPr>
        <w:pStyle w:val="yIndenta"/>
        <w:rPr>
          <w:snapToGrid w:val="0"/>
        </w:rPr>
      </w:pPr>
      <w:r>
        <w:rPr>
          <w:snapToGrid w:val="0"/>
        </w:rPr>
        <w:tab/>
        <w:t>(b)</w:t>
      </w:r>
      <w:r>
        <w:rPr>
          <w:snapToGrid w:val="0"/>
        </w:rPr>
        <w:tab/>
        <w:t>skinning;</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 </w:t>
      </w:r>
    </w:p>
    <w:p>
      <w:pPr>
        <w:pStyle w:val="yIndenta"/>
        <w:rPr>
          <w:snapToGrid w:val="0"/>
        </w:rPr>
      </w:pPr>
      <w:r>
        <w:rPr>
          <w:snapToGrid w:val="0"/>
        </w:rPr>
        <w:tab/>
        <w:t>(e)</w:t>
      </w:r>
      <w:r>
        <w:rPr>
          <w:snapToGrid w:val="0"/>
        </w:rPr>
        <w:tab/>
        <w:t>the head between the occipital bone (skull) and the first cervical vertebra;</w:t>
      </w:r>
    </w:p>
    <w:p>
      <w:pPr>
        <w:pStyle w:val="yIndenta"/>
        <w:rPr>
          <w:snapToGrid w:val="0"/>
        </w:rPr>
      </w:pPr>
      <w:r>
        <w:rPr>
          <w:snapToGrid w:val="0"/>
        </w:rPr>
        <w:tab/>
        <w:t>(f)</w:t>
      </w:r>
      <w:r>
        <w:rPr>
          <w:snapToGrid w:val="0"/>
        </w:rPr>
        <w:tab/>
        <w:t>the feet between the carpus and metacarpus (knee joint) and the tartus and metatarsus (hock joint);</w:t>
      </w:r>
    </w:p>
    <w:p>
      <w:pPr>
        <w:pStyle w:val="yIndenta"/>
        <w:rPr>
          <w:snapToGrid w:val="0"/>
        </w:rPr>
      </w:pPr>
      <w:r>
        <w:rPr>
          <w:snapToGrid w:val="0"/>
        </w:rPr>
        <w:tab/>
        <w:t>(g)</w:t>
      </w:r>
      <w:r>
        <w:rPr>
          <w:snapToGrid w:val="0"/>
        </w:rPr>
        <w:tab/>
        <w:t>the tail, so that it is no longer than 5 coccygeal vertebrae;</w:t>
      </w:r>
    </w:p>
    <w:p>
      <w:pPr>
        <w:pStyle w:val="yIndenta"/>
        <w:rPr>
          <w:snapToGrid w:val="0"/>
        </w:rPr>
      </w:pPr>
      <w:r>
        <w:rPr>
          <w:snapToGrid w:val="0"/>
        </w:rPr>
        <w:tab/>
        <w:t>(h)</w:t>
      </w:r>
      <w:r>
        <w:rPr>
          <w:snapToGrid w:val="0"/>
        </w:rPr>
        <w:tab/>
        <w:t>the thick skirt by separating the connective tissues as close as possible from the bodies of the lumbar vertebrae;</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in Gazette 27 May 1988 p. 1796.]</w:t>
      </w:r>
    </w:p>
    <w:p>
      <w:pPr>
        <w:pStyle w:val="yScheduleHeading"/>
        <w:rPr>
          <w:rStyle w:val="CharSchNo"/>
        </w:rPr>
        <w:sectPr>
          <w:headerReference w:type="even" r:id="rId41"/>
          <w:headerReference w:type="default" r:id="rId42"/>
          <w:pgSz w:w="11906" w:h="16838" w:code="9"/>
          <w:pgMar w:top="2376" w:right="2405" w:bottom="3542" w:left="2405" w:header="706" w:footer="3380" w:gutter="0"/>
          <w:cols w:space="720"/>
          <w:noEndnote/>
          <w:docGrid w:linePitch="326"/>
        </w:sectPr>
      </w:pPr>
      <w:bookmarkStart w:id="266" w:name="_Toc121819155"/>
      <w:bookmarkStart w:id="267" w:name="_Toc122409120"/>
      <w:bookmarkStart w:id="268" w:name="_Toc122494424"/>
      <w:bookmarkStart w:id="269" w:name="_Toc122494531"/>
    </w:p>
    <w:p>
      <w:pPr>
        <w:pStyle w:val="yScheduleHeading"/>
      </w:pPr>
      <w:bookmarkStart w:id="270" w:name="_Toc127261534"/>
      <w:bookmarkStart w:id="271" w:name="_Toc129687088"/>
      <w:r>
        <w:rPr>
          <w:rStyle w:val="CharSchNo"/>
        </w:rPr>
        <w:t>Schedule 5</w:t>
      </w:r>
      <w:bookmarkEnd w:id="266"/>
      <w:bookmarkEnd w:id="267"/>
      <w:bookmarkEnd w:id="268"/>
      <w:bookmarkEnd w:id="269"/>
      <w:bookmarkEnd w:id="270"/>
      <w:bookmarkEnd w:id="271"/>
      <w:r>
        <w:rPr>
          <w:rStyle w:val="CharSchNo"/>
        </w:rPr>
        <w:t xml:space="preserve"> </w:t>
      </w:r>
    </w:p>
    <w:p>
      <w:pPr>
        <w:pStyle w:val="yScheduleHeading2"/>
      </w:pPr>
      <w:r>
        <w:rPr>
          <w:rStyle w:val="CharSchText"/>
        </w:rPr>
        <w:t>Forms</w:t>
      </w:r>
    </w:p>
    <w:p>
      <w:pPr>
        <w:pStyle w:val="yFootnoteheading"/>
        <w:rPr>
          <w:b/>
          <w:snapToGrid w:val="0"/>
          <w:sz w:val="28"/>
        </w:rPr>
      </w:pPr>
      <w:r>
        <w:tab/>
        <w:t>[Heading inserted in Gazette 26 Oct 1990 p. 5362.]</w:t>
      </w:r>
    </w:p>
    <w:p>
      <w:pPr>
        <w:pStyle w:val="MiscellaneousHeading"/>
        <w:rPr>
          <w:b/>
          <w:snapToGrid w:val="0"/>
        </w:rPr>
      </w:pPr>
      <w:r>
        <w:rPr>
          <w:b/>
          <w:snapToGrid w:val="0"/>
        </w:rPr>
        <w:t>Form 1</w:t>
      </w:r>
    </w:p>
    <w:p>
      <w:pPr>
        <w:pStyle w:val="yShoulderClause"/>
        <w:rPr>
          <w:snapToGrid w:val="0"/>
        </w:rPr>
      </w:pPr>
      <w:r>
        <w:rPr>
          <w:snapToGrid w:val="0"/>
        </w:rPr>
        <w:t>[regulation 19]</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Application to operate an abattoir</w:t>
      </w:r>
    </w:p>
    <w:p>
      <w:pPr>
        <w:pStyle w:val="yTable"/>
        <w:rPr>
          <w:snapToGrid w:val="0"/>
        </w:rPr>
      </w:pPr>
      <w:r>
        <w:rPr>
          <w:snapToGrid w:val="0"/>
        </w:rPr>
        <w:t>I (We), ....................................................................................................................</w:t>
      </w:r>
    </w:p>
    <w:p>
      <w:pPr>
        <w:pStyle w:val="yTable"/>
        <w:rPr>
          <w:snapToGrid w:val="0"/>
        </w:rPr>
      </w:pPr>
      <w:r>
        <w:rPr>
          <w:snapToGrid w:val="0"/>
        </w:rPr>
        <w:t xml:space="preserve">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Table"/>
        <w:rPr>
          <w:snapToGrid w:val="0"/>
        </w:rPr>
      </w:pPr>
      <w:r>
        <w:rPr>
          <w:snapToGrid w:val="0"/>
        </w:rPr>
        <w:t>The following particulars are given in support of this application — </w:t>
      </w:r>
    </w:p>
    <w:p>
      <w:pPr>
        <w:pStyle w:val="yTable"/>
        <w:tabs>
          <w:tab w:val="left" w:pos="1134"/>
        </w:tabs>
        <w:ind w:left="1134" w:hanging="850"/>
        <w:rPr>
          <w:snapToGrid w:val="0"/>
        </w:rPr>
      </w:pPr>
      <w:r>
        <w:rPr>
          <w:snapToGrid w:val="0"/>
        </w:rPr>
        <w:t>(a)</w:t>
      </w:r>
      <w:r>
        <w:rPr>
          <w:snapToGrid w:val="0"/>
        </w:rPr>
        <w:tab/>
        <w:t>Applicants Full Name(s): ..................................................................</w:t>
      </w:r>
    </w:p>
    <w:p>
      <w:pPr>
        <w:pStyle w:val="yTable"/>
        <w:tabs>
          <w:tab w:val="left" w:pos="1134"/>
        </w:tabs>
        <w:ind w:left="1134" w:hanging="850"/>
        <w:rPr>
          <w:snapToGrid w:val="0"/>
        </w:rPr>
      </w:pPr>
      <w:r>
        <w:rPr>
          <w:snapToGrid w:val="0"/>
        </w:rPr>
        <w:t>(b)</w:t>
      </w:r>
      <w:r>
        <w:rPr>
          <w:snapToGrid w:val="0"/>
        </w:rPr>
        <w:tab/>
        <w:t>Registered Business Name: ...............................................................</w:t>
      </w:r>
    </w:p>
    <w:p>
      <w:pPr>
        <w:pStyle w:val="yTable"/>
        <w:tabs>
          <w:tab w:val="left" w:pos="1134"/>
        </w:tabs>
        <w:ind w:left="1134" w:hanging="850"/>
        <w:rPr>
          <w:snapToGrid w:val="0"/>
        </w:rPr>
      </w:pPr>
      <w:r>
        <w:rPr>
          <w:snapToGrid w:val="0"/>
        </w:rPr>
        <w:t>(c)</w:t>
      </w:r>
      <w:r>
        <w:rPr>
          <w:snapToGrid w:val="0"/>
        </w:rPr>
        <w:tab/>
        <w:t>Postal Address: ..................................................................................</w:t>
      </w:r>
    </w:p>
    <w:p>
      <w:pPr>
        <w:pStyle w:val="yTable"/>
        <w:tabs>
          <w:tab w:val="left" w:pos="1134"/>
        </w:tabs>
        <w:ind w:left="1134" w:hanging="850"/>
        <w:rPr>
          <w:snapToGrid w:val="0"/>
        </w:rPr>
      </w:pPr>
      <w:r>
        <w:rPr>
          <w:snapToGrid w:val="0"/>
        </w:rPr>
        <w:tab/>
        <w:t>.................................................................. Post Code: ......................</w:t>
      </w:r>
    </w:p>
    <w:p>
      <w:pPr>
        <w:pStyle w:val="yTable"/>
        <w:tabs>
          <w:tab w:val="left" w:pos="1134"/>
        </w:tabs>
        <w:ind w:left="1134" w:hanging="850"/>
        <w:rPr>
          <w:snapToGrid w:val="0"/>
        </w:rPr>
      </w:pPr>
      <w:r>
        <w:rPr>
          <w:snapToGrid w:val="0"/>
        </w:rPr>
        <w:t>(d)</w:t>
      </w:r>
      <w:r>
        <w:rPr>
          <w:snapToGrid w:val="0"/>
        </w:rPr>
        <w:tab/>
        <w:t>Telephone Number: ...........................................................................</w:t>
      </w:r>
    </w:p>
    <w:p>
      <w:pPr>
        <w:pStyle w:val="yTable"/>
        <w:tabs>
          <w:tab w:val="left" w:pos="1134"/>
        </w:tabs>
        <w:ind w:left="1134" w:hanging="850"/>
        <w:rPr>
          <w:snapToGrid w:val="0"/>
        </w:rPr>
      </w:pPr>
      <w:r>
        <w:rPr>
          <w:snapToGrid w:val="0"/>
        </w:rPr>
        <w:t>(e)</w:t>
      </w:r>
      <w:r>
        <w:rPr>
          <w:snapToGrid w:val="0"/>
        </w:rPr>
        <w:tab/>
        <w:t>Facsimile Number: ............................................................................</w:t>
      </w:r>
    </w:p>
    <w:p>
      <w:pPr>
        <w:pStyle w:val="yTable"/>
        <w:tabs>
          <w:tab w:val="left" w:pos="1134"/>
        </w:tabs>
        <w:ind w:left="1134" w:hanging="850"/>
        <w:rPr>
          <w:snapToGrid w:val="0"/>
        </w:rPr>
      </w:pPr>
      <w:r>
        <w:rPr>
          <w:snapToGrid w:val="0"/>
        </w:rPr>
        <w:t>(f)</w:t>
      </w:r>
      <w:r>
        <w:rPr>
          <w:snapToGrid w:val="0"/>
        </w:rPr>
        <w:tab/>
        <w:t>Full Abattoir Location: ......................................................................</w:t>
      </w:r>
    </w:p>
    <w:p>
      <w:pPr>
        <w:pStyle w:val="yTable"/>
        <w:tabs>
          <w:tab w:val="left" w:pos="1134"/>
        </w:tabs>
        <w:ind w:left="1134" w:hanging="850"/>
        <w:rPr>
          <w:snapToGrid w:val="0"/>
        </w:rPr>
      </w:pPr>
      <w:r>
        <w:rPr>
          <w:snapToGrid w:val="0"/>
        </w:rPr>
        <w:tab/>
        <w:t>............................................................................................................</w:t>
      </w:r>
    </w:p>
    <w:p>
      <w:pPr>
        <w:pStyle w:val="yTable"/>
        <w:keepNext/>
        <w:rPr>
          <w:snapToGrid w:val="0"/>
        </w:rPr>
      </w:pPr>
      <w:r>
        <w:rPr>
          <w:snapToGrid w:val="0"/>
        </w:rPr>
        <w:t>I (We) certify that the above particulars are correct.</w:t>
      </w:r>
    </w:p>
    <w:p>
      <w:pPr>
        <w:pStyle w:val="yTable"/>
        <w:keepNext/>
        <w:rPr>
          <w:snapToGrid w:val="0"/>
        </w:rPr>
      </w:pPr>
      <w:r>
        <w:rPr>
          <w:snapToGrid w:val="0"/>
        </w:rPr>
        <w:t>Signature(s) of Applicant(s) ...................................................................................</w:t>
      </w:r>
    </w:p>
    <w:p>
      <w:pPr>
        <w:pStyle w:val="yTable"/>
        <w:keepNext/>
        <w:tabs>
          <w:tab w:val="left" w:pos="1985"/>
        </w:tabs>
        <w:rPr>
          <w:snapToGrid w:val="0"/>
        </w:rPr>
      </w:pPr>
      <w:r>
        <w:rPr>
          <w:snapToGrid w:val="0"/>
        </w:rPr>
        <w:tab/>
        <w:t>Date  ...................................................................................</w:t>
      </w:r>
    </w:p>
    <w:p>
      <w:pPr>
        <w:pStyle w:val="yTable"/>
        <w:tabs>
          <w:tab w:val="left" w:pos="1134"/>
        </w:tabs>
        <w:ind w:left="1134" w:hanging="1134"/>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keepLines w:val="0"/>
        <w:rPr>
          <w:b/>
        </w:rPr>
      </w:pPr>
      <w:r>
        <w:tab/>
        <w:t>[Form 1 inserted in Gazette 26 Oct 1990 p. 5362-3.]</w:t>
      </w:r>
    </w:p>
    <w:p>
      <w:pPr>
        <w:pStyle w:val="MiscellaneousHeading"/>
        <w:pageBreakBefore/>
        <w:rPr>
          <w:b/>
          <w:snapToGrid w:val="0"/>
        </w:rPr>
      </w:pPr>
      <w:r>
        <w:rPr>
          <w:b/>
          <w:snapToGrid w:val="0"/>
        </w:rPr>
        <w:t>Form 2</w:t>
      </w:r>
    </w:p>
    <w:p>
      <w:pPr>
        <w:pStyle w:val="yShoulderClause"/>
        <w:rPr>
          <w:snapToGrid w:val="0"/>
        </w:rPr>
      </w:pPr>
      <w:r>
        <w:rPr>
          <w:snapToGrid w:val="0"/>
        </w:rPr>
        <w:t>[regulation 20]</w:t>
      </w:r>
    </w:p>
    <w:p>
      <w:pPr>
        <w:pStyle w:val="MiscellaneousHeading"/>
        <w:rPr>
          <w:i/>
          <w:snapToGrid w:val="0"/>
        </w:rPr>
      </w:pPr>
      <w:r>
        <w:rPr>
          <w:i/>
          <w:snapToGrid w:val="0"/>
        </w:rPr>
        <w:t xml:space="preserve">Western Australian Meat Industry Authority Act 1976 </w:t>
      </w:r>
    </w:p>
    <w:p>
      <w:pPr>
        <w:pStyle w:val="MiscellaneousHeading"/>
        <w:rPr>
          <w:i/>
          <w:snapToGrid w:val="0"/>
        </w:rPr>
      </w:pPr>
      <w:r>
        <w:rPr>
          <w:i/>
          <w:snapToGrid w:val="0"/>
        </w:rPr>
        <w:t xml:space="preserve">Western Australian Meat Industry Authority Regulations 1985 </w:t>
      </w:r>
    </w:p>
    <w:p>
      <w:pPr>
        <w:pStyle w:val="MiscellaneousHeading"/>
        <w:spacing w:after="240"/>
        <w:rPr>
          <w:snapToGrid w:val="0"/>
        </w:rPr>
      </w:pPr>
      <w:r>
        <w:rPr>
          <w:snapToGrid w:val="0"/>
        </w:rPr>
        <w:t>Approval to operate an abattoir</w:t>
      </w:r>
    </w:p>
    <w:p>
      <w:pPr>
        <w:pStyle w:val="yTable"/>
        <w:rPr>
          <w:snapToGrid w:val="0"/>
        </w:rPr>
      </w:pPr>
      <w:r>
        <w:rPr>
          <w:snapToGrid w:val="0"/>
        </w:rPr>
        <w:t>This is to certify that ..............................................................................................</w:t>
      </w:r>
    </w:p>
    <w:p>
      <w:pPr>
        <w:pStyle w:val="yTable"/>
        <w:rPr>
          <w:snapToGrid w:val="0"/>
        </w:rPr>
      </w:pPr>
      <w:r>
        <w:rPr>
          <w:snapToGrid w:val="0"/>
        </w:rPr>
        <w:t xml:space="preserve">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134"/>
        </w:tabs>
        <w:ind w:left="1134" w:hanging="1134"/>
        <w:rPr>
          <w:snapToGrid w:val="0"/>
        </w:rPr>
      </w:pPr>
      <w:r>
        <w:rPr>
          <w:snapToGrid w:val="0"/>
        </w:rPr>
        <w:t>*Owner:</w:t>
      </w:r>
      <w:r>
        <w:rPr>
          <w:snapToGrid w:val="0"/>
        </w:rPr>
        <w:tab/>
        <w:t>Includes the manager of the abattoir or the employer of persons employed there.</w:t>
      </w:r>
    </w:p>
    <w:p>
      <w:pPr>
        <w:pStyle w:val="yTable"/>
        <w:tabs>
          <w:tab w:val="left" w:pos="3402"/>
        </w:tabs>
        <w:rPr>
          <w:snapToGrid w:val="0"/>
        </w:rPr>
      </w:pPr>
      <w:r>
        <w:rPr>
          <w:snapToGrid w:val="0"/>
        </w:rPr>
        <w:t>Dated: ............................................</w:t>
      </w:r>
      <w:r>
        <w:rPr>
          <w:snapToGrid w:val="0"/>
        </w:rPr>
        <w:tab/>
        <w:t>Chairman ..................................................</w:t>
      </w:r>
    </w:p>
    <w:p>
      <w:pPr>
        <w:pStyle w:val="yFootnotesection"/>
        <w:keepLines w:val="0"/>
      </w:pPr>
      <w:r>
        <w:tab/>
        <w:t>[Form 2 inserted in Gazette 26 Oct 1990 p. 5363.]</w:t>
      </w:r>
    </w:p>
    <w:p>
      <w:pPr>
        <w:pStyle w:val="MiscellaneousHeading"/>
        <w:pageBreakBefore/>
        <w:rPr>
          <w:b/>
          <w:snapToGrid w:val="0"/>
        </w:rPr>
      </w:pPr>
      <w:r>
        <w:rPr>
          <w:b/>
          <w:snapToGrid w:val="0"/>
        </w:rPr>
        <w:t>Form 3</w:t>
      </w:r>
    </w:p>
    <w:p>
      <w:pPr>
        <w:pStyle w:val="yShoulderClause"/>
        <w:rPr>
          <w:snapToGrid w:val="0"/>
        </w:rPr>
      </w:pPr>
      <w:r>
        <w:rPr>
          <w:snapToGrid w:val="0"/>
        </w:rPr>
        <w:t>[regulation 19]</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Applications to construct an abattoir</w:t>
      </w:r>
    </w:p>
    <w:p>
      <w:pPr>
        <w:pStyle w:val="yTable"/>
        <w:rPr>
          <w:snapToGrid w:val="0"/>
        </w:rPr>
      </w:pPr>
      <w:r>
        <w:rPr>
          <w:snapToGrid w:val="0"/>
        </w:rPr>
        <w:t>I (We), .................................................................................................................... hereby apply for approval to construct an abattoir on the premises as set out hereunder. The following particulars are given in support of this application — </w:t>
      </w:r>
    </w:p>
    <w:p>
      <w:pPr>
        <w:pStyle w:val="yTable"/>
        <w:tabs>
          <w:tab w:val="left" w:pos="567"/>
          <w:tab w:val="left" w:pos="1134"/>
        </w:tabs>
        <w:ind w:left="1134" w:hanging="1134"/>
        <w:rPr>
          <w:snapToGrid w:val="0"/>
        </w:rPr>
      </w:pPr>
      <w:r>
        <w:rPr>
          <w:snapToGrid w:val="0"/>
        </w:rPr>
        <w:tab/>
        <w:t>(a)</w:t>
      </w:r>
      <w:r>
        <w:rPr>
          <w:snapToGrid w:val="0"/>
        </w:rPr>
        <w:tab/>
        <w:t>Applicants Full Name(s): ..................................................................</w:t>
      </w:r>
    </w:p>
    <w:p>
      <w:pPr>
        <w:pStyle w:val="yTable"/>
        <w:tabs>
          <w:tab w:val="left" w:pos="567"/>
          <w:tab w:val="left" w:pos="1134"/>
        </w:tabs>
        <w:ind w:left="1134" w:hanging="1134"/>
        <w:rPr>
          <w:snapToGrid w:val="0"/>
        </w:rPr>
      </w:pPr>
      <w:r>
        <w:rPr>
          <w:snapToGrid w:val="0"/>
        </w:rPr>
        <w:tab/>
        <w:t>(b)</w:t>
      </w:r>
      <w:r>
        <w:rPr>
          <w:snapToGrid w:val="0"/>
        </w:rPr>
        <w:tab/>
        <w:t>Registered Business Name: ...............................................................</w:t>
      </w:r>
    </w:p>
    <w:p>
      <w:pPr>
        <w:pStyle w:val="yTable"/>
        <w:tabs>
          <w:tab w:val="left" w:pos="567"/>
          <w:tab w:val="left" w:pos="1134"/>
        </w:tabs>
        <w:ind w:left="1134" w:hanging="1134"/>
        <w:rPr>
          <w:snapToGrid w:val="0"/>
        </w:rPr>
      </w:pPr>
      <w:r>
        <w:rPr>
          <w:snapToGrid w:val="0"/>
        </w:rPr>
        <w:tab/>
        <w:t>(c)</w:t>
      </w:r>
      <w:r>
        <w:rPr>
          <w:snapToGrid w:val="0"/>
        </w:rPr>
        <w:tab/>
        <w:t>Postal Address: ..................................................................................</w:t>
      </w:r>
    </w:p>
    <w:p>
      <w:pPr>
        <w:pStyle w:val="yTable"/>
        <w:tabs>
          <w:tab w:val="left" w:pos="567"/>
          <w:tab w:val="left" w:pos="1134"/>
        </w:tabs>
        <w:ind w:left="1134" w:hanging="1134"/>
        <w:rPr>
          <w:snapToGrid w:val="0"/>
        </w:rPr>
      </w:pPr>
      <w:r>
        <w:rPr>
          <w:snapToGrid w:val="0"/>
        </w:rPr>
        <w:tab/>
      </w:r>
      <w:r>
        <w:rPr>
          <w:snapToGrid w:val="0"/>
        </w:rPr>
        <w:tab/>
        <w:t>................................................. Post Code ........................................</w:t>
      </w:r>
    </w:p>
    <w:p>
      <w:pPr>
        <w:pStyle w:val="yTable"/>
        <w:tabs>
          <w:tab w:val="left" w:pos="567"/>
          <w:tab w:val="left" w:pos="1134"/>
        </w:tabs>
        <w:ind w:left="1134" w:hanging="1134"/>
        <w:rPr>
          <w:snapToGrid w:val="0"/>
        </w:rPr>
      </w:pPr>
      <w:r>
        <w:rPr>
          <w:snapToGrid w:val="0"/>
        </w:rPr>
        <w:tab/>
        <w:t>(d)</w:t>
      </w:r>
      <w:r>
        <w:rPr>
          <w:snapToGrid w:val="0"/>
        </w:rPr>
        <w:tab/>
        <w:t>Telephone Number: ...........................................................................</w:t>
      </w:r>
    </w:p>
    <w:p>
      <w:pPr>
        <w:pStyle w:val="yTable"/>
        <w:tabs>
          <w:tab w:val="left" w:pos="567"/>
          <w:tab w:val="left" w:pos="1134"/>
        </w:tabs>
        <w:ind w:left="1134" w:hanging="1134"/>
        <w:rPr>
          <w:snapToGrid w:val="0"/>
        </w:rPr>
      </w:pPr>
      <w:r>
        <w:rPr>
          <w:snapToGrid w:val="0"/>
        </w:rPr>
        <w:tab/>
        <w:t>(e)</w:t>
      </w:r>
      <w:r>
        <w:rPr>
          <w:snapToGrid w:val="0"/>
        </w:rPr>
        <w:tab/>
        <w:t>Facsimile Number: ............................................................................</w:t>
      </w:r>
    </w:p>
    <w:p>
      <w:pPr>
        <w:pStyle w:val="yTable"/>
        <w:rPr>
          <w:snapToGrid w:val="0"/>
        </w:rPr>
      </w:pPr>
      <w:r>
        <w:rPr>
          <w:snapToGrid w:val="0"/>
        </w:rPr>
        <w:t>Abattoir Details</w:t>
      </w:r>
    </w:p>
    <w:p>
      <w:pPr>
        <w:pStyle w:val="yTable"/>
        <w:tabs>
          <w:tab w:val="left" w:pos="1418"/>
        </w:tabs>
        <w:rPr>
          <w:snapToGrid w:val="0"/>
        </w:rPr>
      </w:pPr>
      <w:r>
        <w:rPr>
          <w:snapToGrid w:val="0"/>
        </w:rPr>
        <w:t>Full Location:</w:t>
      </w:r>
      <w:r>
        <w:rPr>
          <w:snapToGrid w:val="0"/>
        </w:rPr>
        <w:tab/>
        <w:t>.......................................................................................................</w:t>
      </w:r>
    </w:p>
    <w:p>
      <w:pPr>
        <w:pStyle w:val="yTable"/>
        <w:tabs>
          <w:tab w:val="left" w:pos="1418"/>
        </w:tabs>
        <w:rPr>
          <w:snapToGrid w:val="0"/>
        </w:rPr>
      </w:pPr>
      <w:r>
        <w:rPr>
          <w:snapToGrid w:val="0"/>
        </w:rPr>
        <w:tab/>
        <w:t>.......................................................................................................</w:t>
      </w:r>
    </w:p>
    <w:p>
      <w:pPr>
        <w:pStyle w:val="yTable"/>
        <w:tabs>
          <w:tab w:val="left" w:pos="2268"/>
        </w:tabs>
        <w:rPr>
          <w:snapToGrid w:val="0"/>
        </w:rPr>
      </w:pPr>
      <w:r>
        <w:rPr>
          <w:snapToGrid w:val="0"/>
        </w:rPr>
        <w:t xml:space="preserve">Construction Standard: </w:t>
      </w:r>
      <w:r>
        <w:rPr>
          <w:snapToGrid w:val="0"/>
        </w:rPr>
        <w:tab/>
        <w:t>Export ...........................................................................</w:t>
      </w:r>
    </w:p>
    <w:p>
      <w:pPr>
        <w:pStyle w:val="yTable"/>
        <w:tabs>
          <w:tab w:val="left" w:pos="2268"/>
        </w:tabs>
        <w:rPr>
          <w:snapToGrid w:val="0"/>
        </w:rPr>
      </w:pPr>
      <w:r>
        <w:rPr>
          <w:snapToGrid w:val="0"/>
        </w:rPr>
        <w:tab/>
        <w:t>Code* ............................................................................</w:t>
      </w:r>
    </w:p>
    <w:p>
      <w:pPr>
        <w:pStyle w:val="yTable"/>
        <w:tabs>
          <w:tab w:val="left" w:pos="2268"/>
        </w:tabs>
        <w:rPr>
          <w:snapToGrid w:val="0"/>
        </w:rPr>
      </w:pPr>
      <w:r>
        <w:rPr>
          <w:snapToGrid w:val="0"/>
        </w:rPr>
        <w:tab/>
        <w:t>Other .............................................................................</w:t>
      </w:r>
    </w:p>
    <w:tbl>
      <w:tblPr>
        <w:tblW w:w="0" w:type="auto"/>
        <w:tblLayout w:type="fixed"/>
        <w:tblLook w:val="0000" w:firstRow="0" w:lastRow="0" w:firstColumn="0" w:lastColumn="0" w:noHBand="0" w:noVBand="0"/>
      </w:tblPr>
      <w:tblGrid>
        <w:gridCol w:w="2518"/>
        <w:gridCol w:w="1276"/>
        <w:gridCol w:w="1276"/>
        <w:gridCol w:w="1134"/>
        <w:gridCol w:w="1096"/>
      </w:tblGrid>
      <w:tr>
        <w:tc>
          <w:tcPr>
            <w:tcW w:w="2518" w:type="dxa"/>
          </w:tcPr>
          <w:p>
            <w:pPr>
              <w:pStyle w:val="yTable"/>
              <w:rPr>
                <w:snapToGrid w:val="0"/>
              </w:rPr>
            </w:pPr>
            <w:r>
              <w:rPr>
                <w:snapToGrid w:val="0"/>
              </w:rPr>
              <w:t>Planned Capacity</w:t>
            </w:r>
          </w:p>
        </w:tc>
        <w:tc>
          <w:tcPr>
            <w:tcW w:w="1276" w:type="dxa"/>
          </w:tcPr>
          <w:p>
            <w:pPr>
              <w:pStyle w:val="yTable"/>
              <w:rPr>
                <w:snapToGrid w:val="0"/>
              </w:rPr>
            </w:pPr>
            <w:r>
              <w:rPr>
                <w:snapToGrid w:val="0"/>
              </w:rPr>
              <w:t>Beef</w:t>
            </w:r>
          </w:p>
        </w:tc>
        <w:tc>
          <w:tcPr>
            <w:tcW w:w="1276" w:type="dxa"/>
          </w:tcPr>
          <w:p>
            <w:pPr>
              <w:pStyle w:val="yTable"/>
              <w:rPr>
                <w:snapToGrid w:val="0"/>
              </w:rPr>
            </w:pPr>
            <w:r>
              <w:rPr>
                <w:snapToGrid w:val="0"/>
              </w:rPr>
              <w:t>Sheep**</w:t>
            </w:r>
          </w:p>
        </w:tc>
        <w:tc>
          <w:tcPr>
            <w:tcW w:w="1134" w:type="dxa"/>
          </w:tcPr>
          <w:p>
            <w:pPr>
              <w:pStyle w:val="yTable"/>
              <w:rPr>
                <w:snapToGrid w:val="0"/>
              </w:rPr>
            </w:pPr>
            <w:r>
              <w:rPr>
                <w:snapToGrid w:val="0"/>
              </w:rPr>
              <w:t>Pigs</w:t>
            </w:r>
          </w:p>
        </w:tc>
        <w:tc>
          <w:tcPr>
            <w:tcW w:w="1096" w:type="dxa"/>
          </w:tcPr>
          <w:p>
            <w:pPr>
              <w:pStyle w:val="yTable"/>
              <w:rPr>
                <w:snapToGrid w:val="0"/>
              </w:rPr>
            </w:pPr>
            <w:r>
              <w:rPr>
                <w:snapToGrid w:val="0"/>
              </w:rPr>
              <w:t>Other</w:t>
            </w:r>
          </w:p>
        </w:tc>
      </w:tr>
      <w:tr>
        <w:tc>
          <w:tcPr>
            <w:tcW w:w="2518" w:type="dxa"/>
          </w:tcPr>
          <w:p>
            <w:pPr>
              <w:pStyle w:val="yTable"/>
              <w:rPr>
                <w:snapToGrid w:val="0"/>
              </w:rPr>
            </w:pPr>
            <w:r>
              <w:rPr>
                <w:snapToGrid w:val="0"/>
              </w:rPr>
              <w:t>Carcases Per Hour</w:t>
            </w:r>
          </w:p>
        </w:tc>
        <w:tc>
          <w:tcPr>
            <w:tcW w:w="1276" w:type="dxa"/>
            <w:tcBorders>
              <w:bottom w:val="dashed" w:sz="4" w:space="0" w:color="auto"/>
            </w:tcBorders>
          </w:tcPr>
          <w:p>
            <w:pPr>
              <w:pStyle w:val="yTable"/>
              <w:rPr>
                <w:snapToGrid w:val="0"/>
              </w:rPr>
            </w:pPr>
          </w:p>
        </w:tc>
        <w:tc>
          <w:tcPr>
            <w:tcW w:w="1276" w:type="dxa"/>
            <w:tcBorders>
              <w:bottom w:val="dashed" w:sz="4" w:space="0" w:color="auto"/>
            </w:tcBorders>
          </w:tcPr>
          <w:p>
            <w:pPr>
              <w:pStyle w:val="yTable"/>
              <w:rPr>
                <w:snapToGrid w:val="0"/>
              </w:rPr>
            </w:pPr>
          </w:p>
        </w:tc>
        <w:tc>
          <w:tcPr>
            <w:tcW w:w="1134" w:type="dxa"/>
            <w:tcBorders>
              <w:bottom w:val="dashed" w:sz="4" w:space="0" w:color="auto"/>
            </w:tcBorders>
          </w:tcPr>
          <w:p>
            <w:pPr>
              <w:pStyle w:val="yTable"/>
              <w:rPr>
                <w:snapToGrid w:val="0"/>
              </w:rPr>
            </w:pPr>
          </w:p>
        </w:tc>
        <w:tc>
          <w:tcPr>
            <w:tcW w:w="1096" w:type="dxa"/>
            <w:tcBorders>
              <w:bottom w:val="dashed" w:sz="4" w:space="0" w:color="auto"/>
            </w:tcBorders>
          </w:tcPr>
          <w:p>
            <w:pPr>
              <w:pStyle w:val="yTable"/>
              <w:rPr>
                <w:snapToGrid w:val="0"/>
              </w:rPr>
            </w:pPr>
          </w:p>
        </w:tc>
      </w:tr>
      <w:tr>
        <w:tc>
          <w:tcPr>
            <w:tcW w:w="2518" w:type="dxa"/>
          </w:tcPr>
          <w:p>
            <w:pPr>
              <w:pStyle w:val="yTable"/>
              <w:rPr>
                <w:snapToGrid w:val="0"/>
              </w:rPr>
            </w:pPr>
            <w:r>
              <w:rPr>
                <w:snapToGrid w:val="0"/>
              </w:rPr>
              <w:t>Chiller Capacity</w:t>
            </w:r>
          </w:p>
        </w:tc>
        <w:tc>
          <w:tcPr>
            <w:tcW w:w="1276" w:type="dxa"/>
            <w:tcBorders>
              <w:top w:val="dashed" w:sz="4" w:space="0" w:color="auto"/>
              <w:bottom w:val="dashed" w:sz="4" w:space="0" w:color="auto"/>
            </w:tcBorders>
          </w:tcPr>
          <w:p>
            <w:pPr>
              <w:pStyle w:val="yTable"/>
              <w:rPr>
                <w:snapToGrid w:val="0"/>
              </w:rPr>
            </w:pPr>
          </w:p>
        </w:tc>
        <w:tc>
          <w:tcPr>
            <w:tcW w:w="1276" w:type="dxa"/>
            <w:tcBorders>
              <w:top w:val="dashed" w:sz="4" w:space="0" w:color="auto"/>
              <w:bottom w:val="dashed" w:sz="4" w:space="0" w:color="auto"/>
            </w:tcBorders>
          </w:tcPr>
          <w:p>
            <w:pPr>
              <w:pStyle w:val="yTable"/>
              <w:rPr>
                <w:snapToGrid w:val="0"/>
              </w:rPr>
            </w:pPr>
          </w:p>
        </w:tc>
        <w:tc>
          <w:tcPr>
            <w:tcW w:w="1134" w:type="dxa"/>
            <w:tcBorders>
              <w:top w:val="dashed" w:sz="4" w:space="0" w:color="auto"/>
              <w:bottom w:val="dashed" w:sz="4" w:space="0" w:color="auto"/>
            </w:tcBorders>
          </w:tcPr>
          <w:p>
            <w:pPr>
              <w:pStyle w:val="yTable"/>
              <w:rPr>
                <w:snapToGrid w:val="0"/>
              </w:rPr>
            </w:pPr>
          </w:p>
        </w:tc>
        <w:tc>
          <w:tcPr>
            <w:tcW w:w="1096" w:type="dxa"/>
            <w:tcBorders>
              <w:top w:val="dashed" w:sz="4" w:space="0" w:color="auto"/>
              <w:bottom w:val="dashed" w:sz="4" w:space="0" w:color="auto"/>
            </w:tcBorders>
          </w:tcPr>
          <w:p>
            <w:pPr>
              <w:pStyle w:val="yTable"/>
              <w:rPr>
                <w:snapToGrid w:val="0"/>
              </w:rPr>
            </w:pPr>
          </w:p>
        </w:tc>
      </w:tr>
    </w:tbl>
    <w:p>
      <w:pPr>
        <w:pStyle w:val="yTable"/>
        <w:rPr>
          <w:snapToGrid w:val="0"/>
        </w:rPr>
      </w:pPr>
      <w:r>
        <w:rPr>
          <w:snapToGrid w:val="0"/>
        </w:rPr>
        <w:t>(Number of carcases to be held)</w:t>
      </w:r>
    </w:p>
    <w:p>
      <w:pPr>
        <w:pStyle w:val="yTable"/>
        <w:tabs>
          <w:tab w:val="left" w:pos="2835"/>
        </w:tabs>
        <w:rPr>
          <w:snapToGrid w:val="0"/>
        </w:rPr>
      </w:pPr>
      <w:r>
        <w:rPr>
          <w:snapToGrid w:val="0"/>
        </w:rPr>
        <w:t>Signature(s) of Applicant(s)</w:t>
      </w:r>
      <w:r>
        <w:rPr>
          <w:snapToGrid w:val="0"/>
        </w:rPr>
        <w:tab/>
        <w:t>............................................................................</w:t>
      </w:r>
    </w:p>
    <w:p>
      <w:pPr>
        <w:pStyle w:val="yTable"/>
        <w:tabs>
          <w:tab w:val="left" w:pos="1985"/>
          <w:tab w:val="left" w:pos="2835"/>
        </w:tabs>
        <w:rPr>
          <w:snapToGrid w:val="0"/>
        </w:rPr>
      </w:pPr>
      <w:r>
        <w:rPr>
          <w:snapToGrid w:val="0"/>
        </w:rPr>
        <w:tab/>
        <w:t>Date</w:t>
      </w:r>
      <w:r>
        <w:rPr>
          <w:snapToGrid w:val="0"/>
        </w:rPr>
        <w:tab/>
        <w:t>............................................................................</w:t>
      </w:r>
    </w:p>
    <w:p>
      <w:pPr>
        <w:pStyle w:val="yTable"/>
        <w:tabs>
          <w:tab w:val="left" w:pos="426"/>
        </w:tabs>
        <w:rPr>
          <w:snapToGrid w:val="0"/>
        </w:rPr>
      </w:pPr>
      <w:r>
        <w:rPr>
          <w:snapToGrid w:val="0"/>
        </w:rPr>
        <w:t>*</w:t>
      </w:r>
      <w:r>
        <w:rPr>
          <w:snapToGrid w:val="0"/>
        </w:rPr>
        <w:tab/>
        <w:t xml:space="preserve">Australian Code of Practice for Construction and Equipment of Abattoirs. </w:t>
      </w:r>
    </w:p>
    <w:p>
      <w:pPr>
        <w:pStyle w:val="yTable"/>
        <w:tabs>
          <w:tab w:val="left" w:pos="426"/>
        </w:tabs>
        <w:rPr>
          <w:snapToGrid w:val="0"/>
        </w:rPr>
      </w:pPr>
      <w:r>
        <w:rPr>
          <w:snapToGrid w:val="0"/>
        </w:rPr>
        <w:t>**</w:t>
      </w:r>
      <w:r>
        <w:rPr>
          <w:snapToGrid w:val="0"/>
        </w:rPr>
        <w:tab/>
        <w:t>Includes sheep, lambs and goats.</w:t>
      </w:r>
    </w:p>
    <w:p>
      <w:pPr>
        <w:pStyle w:val="yFootnotesection"/>
        <w:keepLines w:val="0"/>
      </w:pPr>
      <w:r>
        <w:tab/>
        <w:t>[Form 3 inserted in Gazette 26 Oct 1990 p. 5363.]</w:t>
      </w:r>
    </w:p>
    <w:p>
      <w:pPr>
        <w:pStyle w:val="MiscellaneousHeading"/>
        <w:pageBreakBefore/>
        <w:rPr>
          <w:b/>
          <w:snapToGrid w:val="0"/>
        </w:rPr>
      </w:pPr>
      <w:r>
        <w:rPr>
          <w:b/>
          <w:snapToGrid w:val="0"/>
        </w:rPr>
        <w:t>Form 4</w:t>
      </w:r>
    </w:p>
    <w:p>
      <w:pPr>
        <w:jc w:val="right"/>
        <w:rPr>
          <w:snapToGrid w:val="0"/>
        </w:rPr>
      </w:pPr>
      <w:r>
        <w:rPr>
          <w:snapToGrid w:val="0"/>
        </w:rPr>
        <w:t>[regulation 20]</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Table"/>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134"/>
        </w:tabs>
        <w:ind w:left="1134" w:hanging="1134"/>
        <w:rPr>
          <w:snapToGrid w:val="0"/>
        </w:rPr>
      </w:pPr>
      <w:r>
        <w:rPr>
          <w:snapToGrid w:val="0"/>
        </w:rPr>
        <w:t>*OWNER:</w:t>
      </w:r>
      <w:r>
        <w:rPr>
          <w:snapToGrid w:val="0"/>
        </w:rPr>
        <w:tab/>
        <w:t>Includes a person who is to be the manager of the proposed abattoir or the employer of persons who will work at the proposed abattoir.</w:t>
      </w:r>
    </w:p>
    <w:p>
      <w:pPr>
        <w:pStyle w:val="yTable"/>
        <w:tabs>
          <w:tab w:val="left" w:pos="3402"/>
        </w:tabs>
        <w:rPr>
          <w:snapToGrid w:val="0"/>
        </w:rPr>
      </w:pPr>
      <w:r>
        <w:rPr>
          <w:snapToGrid w:val="0"/>
        </w:rPr>
        <w:t>Dated: ............................................</w:t>
      </w:r>
      <w:r>
        <w:rPr>
          <w:snapToGrid w:val="0"/>
        </w:rPr>
        <w:tab/>
        <w:t>Chairman ..................................................</w:t>
      </w:r>
    </w:p>
    <w:p>
      <w:pPr>
        <w:pStyle w:val="yFootnotesection"/>
        <w:keepLines w:val="0"/>
      </w:pPr>
      <w:r>
        <w:tab/>
        <w:t>[Form 4 inserted in Gazette 26 Oct 1990 p. 5364.]</w:t>
      </w:r>
    </w:p>
    <w:p>
      <w:pPr>
        <w:pStyle w:val="MiscellaneousHeading"/>
        <w:pageBreakBefore/>
        <w:rPr>
          <w:b/>
          <w:snapToGrid w:val="0"/>
        </w:rPr>
      </w:pPr>
      <w:r>
        <w:rPr>
          <w:b/>
          <w:snapToGrid w:val="0"/>
        </w:rPr>
        <w:t>Form 5</w:t>
      </w:r>
    </w:p>
    <w:p>
      <w:pPr>
        <w:pStyle w:val="yShoulderClause"/>
        <w:spacing w:before="60"/>
        <w:rPr>
          <w:snapToGrid w:val="0"/>
        </w:rPr>
      </w:pPr>
      <w:r>
        <w:rPr>
          <w:snapToGrid w:val="0"/>
        </w:rPr>
        <w:t>[regulation 19]</w:t>
      </w:r>
    </w:p>
    <w:p>
      <w:pPr>
        <w:pStyle w:val="MiscellaneousHeading"/>
        <w:spacing w:before="120"/>
        <w:rPr>
          <w:i/>
          <w:snapToGrid w:val="0"/>
        </w:rPr>
      </w:pPr>
      <w:r>
        <w:rPr>
          <w:i/>
          <w:snapToGrid w:val="0"/>
        </w:rPr>
        <w:t>Western Australian Meat Industry Authority Act 1976</w:t>
      </w:r>
    </w:p>
    <w:p>
      <w:pPr>
        <w:pStyle w:val="MiscellaneousHeading"/>
        <w:spacing w:before="120"/>
        <w:rPr>
          <w:i/>
          <w:snapToGrid w:val="0"/>
        </w:rPr>
      </w:pPr>
      <w:r>
        <w:rPr>
          <w:i/>
          <w:snapToGrid w:val="0"/>
        </w:rPr>
        <w:t>Western Australian Meat Industry Authority Regulations 1985</w:t>
      </w:r>
    </w:p>
    <w:p>
      <w:pPr>
        <w:pStyle w:val="MiscellaneousHeading"/>
        <w:spacing w:after="240"/>
        <w:rPr>
          <w:snapToGrid w:val="0"/>
        </w:rPr>
      </w:pPr>
      <w:r>
        <w:rPr>
          <w:snapToGrid w:val="0"/>
        </w:rPr>
        <w:t>Applications to carry out structural alterations or additions to an abattoir</w:t>
      </w:r>
    </w:p>
    <w:p>
      <w:pPr>
        <w:pStyle w:val="yTable"/>
        <w:rPr>
          <w:snapToGrid w:val="0"/>
          <w:sz w:val="20"/>
        </w:rPr>
      </w:pPr>
      <w:r>
        <w:rPr>
          <w:snapToGrid w:val="0"/>
          <w:sz w:val="20"/>
        </w:rPr>
        <w:t>I (We), ................................................................................................................................. of ................................................................................, being the owner*(s) of an abattoir situated at ............................................................................. hereby apply for approval to carry out structural alterations/additions** affecting the throughput or capacity of the abattoir.</w:t>
      </w:r>
    </w:p>
    <w:p>
      <w:pPr>
        <w:pStyle w:val="yTable"/>
        <w:rPr>
          <w:snapToGrid w:val="0"/>
          <w:sz w:val="20"/>
        </w:rPr>
      </w:pPr>
      <w:r>
        <w:rPr>
          <w:snapToGrid w:val="0"/>
          <w:sz w:val="20"/>
        </w:rPr>
        <w:t>The following particulars are given in support of this application — </w:t>
      </w:r>
    </w:p>
    <w:p>
      <w:pPr>
        <w:pStyle w:val="yTable"/>
        <w:tabs>
          <w:tab w:val="left" w:pos="567"/>
          <w:tab w:val="left" w:pos="1134"/>
        </w:tabs>
        <w:ind w:left="1134" w:hanging="1134"/>
        <w:rPr>
          <w:snapToGrid w:val="0"/>
          <w:sz w:val="20"/>
        </w:rPr>
      </w:pPr>
      <w:r>
        <w:rPr>
          <w:snapToGrid w:val="0"/>
          <w:sz w:val="20"/>
        </w:rPr>
        <w:tab/>
        <w:t>(a)</w:t>
      </w:r>
      <w:r>
        <w:rPr>
          <w:snapToGrid w:val="0"/>
          <w:sz w:val="20"/>
        </w:rPr>
        <w:tab/>
        <w:t>Nature of work: ............................................................................................</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(b)</w:t>
      </w:r>
      <w:r>
        <w:rPr>
          <w:snapToGrid w:val="0"/>
          <w:sz w:val="20"/>
        </w:rPr>
        <w:tab/>
        <w:t>Work to be carried out by: ...........................................................................</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r>
      <w:r>
        <w:rPr>
          <w:snapToGrid w:val="0"/>
          <w:sz w:val="20"/>
        </w:rPr>
        <w:tab/>
        <w:t>......................................................................................................................</w:t>
      </w:r>
    </w:p>
    <w:p>
      <w:pPr>
        <w:pStyle w:val="yTable"/>
        <w:tabs>
          <w:tab w:val="left" w:pos="567"/>
          <w:tab w:val="left" w:pos="1134"/>
        </w:tabs>
        <w:ind w:left="1134" w:hanging="1134"/>
        <w:rPr>
          <w:snapToGrid w:val="0"/>
          <w:sz w:val="20"/>
        </w:rPr>
      </w:pPr>
      <w:r>
        <w:rPr>
          <w:snapToGrid w:val="0"/>
          <w:sz w:val="20"/>
        </w:rPr>
        <w:tab/>
        <w:t>(c)</w:t>
      </w:r>
      <w:r>
        <w:rPr>
          <w:snapToGrid w:val="0"/>
          <w:sz w:val="2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
              <w:rPr>
                <w:snapToGrid w:val="0"/>
                <w:sz w:val="20"/>
              </w:rPr>
            </w:pPr>
          </w:p>
        </w:tc>
        <w:tc>
          <w:tcPr>
            <w:tcW w:w="1276" w:type="dxa"/>
          </w:tcPr>
          <w:p>
            <w:pPr>
              <w:pStyle w:val="yTable"/>
              <w:jc w:val="center"/>
              <w:rPr>
                <w:snapToGrid w:val="0"/>
                <w:sz w:val="20"/>
              </w:rPr>
            </w:pPr>
            <w:r>
              <w:rPr>
                <w:snapToGrid w:val="0"/>
                <w:sz w:val="20"/>
              </w:rPr>
              <w:t>Beef</w:t>
            </w:r>
          </w:p>
        </w:tc>
        <w:tc>
          <w:tcPr>
            <w:tcW w:w="1276" w:type="dxa"/>
          </w:tcPr>
          <w:p>
            <w:pPr>
              <w:pStyle w:val="yTable"/>
              <w:jc w:val="center"/>
              <w:rPr>
                <w:snapToGrid w:val="0"/>
                <w:sz w:val="20"/>
              </w:rPr>
            </w:pPr>
            <w:r>
              <w:rPr>
                <w:snapToGrid w:val="0"/>
                <w:sz w:val="20"/>
              </w:rPr>
              <w:t>Sheep***</w:t>
            </w:r>
          </w:p>
        </w:tc>
        <w:tc>
          <w:tcPr>
            <w:tcW w:w="1134" w:type="dxa"/>
          </w:tcPr>
          <w:p>
            <w:pPr>
              <w:pStyle w:val="yTable"/>
              <w:jc w:val="center"/>
              <w:rPr>
                <w:snapToGrid w:val="0"/>
                <w:sz w:val="20"/>
              </w:rPr>
            </w:pPr>
            <w:r>
              <w:rPr>
                <w:snapToGrid w:val="0"/>
                <w:sz w:val="20"/>
              </w:rPr>
              <w:t>Pigs</w:t>
            </w:r>
          </w:p>
        </w:tc>
        <w:tc>
          <w:tcPr>
            <w:tcW w:w="992" w:type="dxa"/>
          </w:tcPr>
          <w:p>
            <w:pPr>
              <w:pStyle w:val="yTable"/>
              <w:jc w:val="center"/>
              <w:rPr>
                <w:snapToGrid w:val="0"/>
                <w:sz w:val="20"/>
              </w:rPr>
            </w:pPr>
            <w:r>
              <w:rPr>
                <w:snapToGrid w:val="0"/>
                <w:sz w:val="20"/>
              </w:rPr>
              <w:t>Other</w:t>
            </w:r>
          </w:p>
        </w:tc>
      </w:tr>
      <w:tr>
        <w:tc>
          <w:tcPr>
            <w:tcW w:w="1276" w:type="dxa"/>
          </w:tcPr>
          <w:p>
            <w:pPr>
              <w:pStyle w:val="yTable"/>
              <w:rPr>
                <w:snapToGrid w:val="0"/>
                <w:sz w:val="20"/>
              </w:rPr>
            </w:pPr>
            <w:r>
              <w:rPr>
                <w:snapToGrid w:val="0"/>
                <w:sz w:val="20"/>
              </w:rPr>
              <w:t>Carcases Per Hour</w:t>
            </w:r>
          </w:p>
        </w:tc>
        <w:tc>
          <w:tcPr>
            <w:tcW w:w="1276" w:type="dxa"/>
          </w:tcPr>
          <w:p>
            <w:pPr>
              <w:pStyle w:val="yTable"/>
              <w:rPr>
                <w:snapToGrid w:val="0"/>
                <w:sz w:val="20"/>
              </w:rPr>
            </w:pPr>
          </w:p>
        </w:tc>
        <w:tc>
          <w:tcPr>
            <w:tcW w:w="1276" w:type="dxa"/>
          </w:tcPr>
          <w:p>
            <w:pPr>
              <w:pStyle w:val="yTable"/>
              <w:rPr>
                <w:snapToGrid w:val="0"/>
                <w:sz w:val="20"/>
              </w:rPr>
            </w:pPr>
          </w:p>
        </w:tc>
        <w:tc>
          <w:tcPr>
            <w:tcW w:w="1134" w:type="dxa"/>
          </w:tcPr>
          <w:p>
            <w:pPr>
              <w:pStyle w:val="yTable"/>
              <w:rPr>
                <w:snapToGrid w:val="0"/>
                <w:sz w:val="20"/>
              </w:rPr>
            </w:pPr>
          </w:p>
        </w:tc>
        <w:tc>
          <w:tcPr>
            <w:tcW w:w="992" w:type="dxa"/>
          </w:tcPr>
          <w:p>
            <w:pPr>
              <w:pStyle w:val="yTable"/>
              <w:rPr>
                <w:snapToGrid w:val="0"/>
                <w:sz w:val="20"/>
              </w:rPr>
            </w:pPr>
          </w:p>
        </w:tc>
      </w:tr>
      <w:tr>
        <w:tc>
          <w:tcPr>
            <w:tcW w:w="1276" w:type="dxa"/>
          </w:tcPr>
          <w:p>
            <w:pPr>
              <w:pStyle w:val="yTable"/>
              <w:rPr>
                <w:snapToGrid w:val="0"/>
                <w:sz w:val="20"/>
              </w:rPr>
            </w:pPr>
            <w:r>
              <w:rPr>
                <w:snapToGrid w:val="0"/>
                <w:sz w:val="20"/>
              </w:rPr>
              <w:t xml:space="preserve">Chillers </w:t>
            </w:r>
          </w:p>
        </w:tc>
        <w:tc>
          <w:tcPr>
            <w:tcW w:w="1276" w:type="dxa"/>
            <w:tcBorders>
              <w:top w:val="dashed" w:sz="4" w:space="0" w:color="auto"/>
              <w:bottom w:val="dashed" w:sz="4" w:space="0" w:color="auto"/>
            </w:tcBorders>
          </w:tcPr>
          <w:p>
            <w:pPr>
              <w:pStyle w:val="yTable"/>
              <w:rPr>
                <w:snapToGrid w:val="0"/>
                <w:sz w:val="20"/>
              </w:rPr>
            </w:pPr>
          </w:p>
        </w:tc>
        <w:tc>
          <w:tcPr>
            <w:tcW w:w="1276" w:type="dxa"/>
            <w:tcBorders>
              <w:top w:val="dashed" w:sz="4" w:space="0" w:color="auto"/>
              <w:bottom w:val="dashed" w:sz="4" w:space="0" w:color="auto"/>
            </w:tcBorders>
          </w:tcPr>
          <w:p>
            <w:pPr>
              <w:pStyle w:val="yTable"/>
              <w:rPr>
                <w:snapToGrid w:val="0"/>
                <w:sz w:val="20"/>
              </w:rPr>
            </w:pPr>
          </w:p>
        </w:tc>
        <w:tc>
          <w:tcPr>
            <w:tcW w:w="1134" w:type="dxa"/>
            <w:tcBorders>
              <w:top w:val="dashed" w:sz="4" w:space="0" w:color="auto"/>
              <w:bottom w:val="dashed" w:sz="4" w:space="0" w:color="auto"/>
            </w:tcBorders>
          </w:tcPr>
          <w:p>
            <w:pPr>
              <w:pStyle w:val="yTable"/>
              <w:rPr>
                <w:snapToGrid w:val="0"/>
                <w:sz w:val="20"/>
              </w:rPr>
            </w:pPr>
          </w:p>
        </w:tc>
        <w:tc>
          <w:tcPr>
            <w:tcW w:w="992" w:type="dxa"/>
            <w:tcBorders>
              <w:top w:val="dashed" w:sz="4" w:space="0" w:color="auto"/>
              <w:bottom w:val="dashed" w:sz="4" w:space="0" w:color="auto"/>
            </w:tcBorders>
          </w:tcPr>
          <w:p>
            <w:pPr>
              <w:pStyle w:val="yTable"/>
              <w:rPr>
                <w:snapToGrid w:val="0"/>
                <w:sz w:val="20"/>
              </w:rPr>
            </w:pPr>
          </w:p>
        </w:tc>
      </w:tr>
    </w:tbl>
    <w:p>
      <w:pPr>
        <w:pStyle w:val="yTable"/>
        <w:tabs>
          <w:tab w:val="left" w:pos="567"/>
          <w:tab w:val="left" w:pos="1134"/>
        </w:tabs>
        <w:ind w:left="1134" w:hanging="1134"/>
        <w:rPr>
          <w:snapToGrid w:val="0"/>
          <w:sz w:val="20"/>
        </w:rPr>
      </w:pPr>
      <w:r>
        <w:rPr>
          <w:snapToGrid w:val="0"/>
          <w:sz w:val="20"/>
        </w:rPr>
        <w:tab/>
        <w:t>(d)</w:t>
      </w:r>
      <w:r>
        <w:rPr>
          <w:snapToGrid w:val="0"/>
          <w:sz w:val="20"/>
        </w:rPr>
        <w:tab/>
        <w:t>The alterations/additions** will comply with Export Regulations/ Australian Code of Practice for Construction and Equipment of Abattoirs/other ..............................................................................................</w:t>
      </w:r>
    </w:p>
    <w:p>
      <w:pPr>
        <w:pStyle w:val="yTable"/>
        <w:tabs>
          <w:tab w:val="left" w:pos="567"/>
          <w:tab w:val="left" w:pos="1134"/>
        </w:tabs>
        <w:ind w:left="1134" w:hanging="1134"/>
        <w:rPr>
          <w:snapToGrid w:val="0"/>
          <w:sz w:val="20"/>
        </w:rPr>
      </w:pPr>
      <w:r>
        <w:rPr>
          <w:snapToGrid w:val="0"/>
          <w:sz w:val="20"/>
        </w:rPr>
        <w:tab/>
        <w:t>(e)</w:t>
      </w:r>
      <w:r>
        <w:rPr>
          <w:snapToGrid w:val="0"/>
          <w:sz w:val="20"/>
        </w:rPr>
        <w:tab/>
        <w:t>Plans — Have plans been approved by Health Department/DPIE?</w:t>
      </w:r>
      <w:r>
        <w:rPr>
          <w:snapToGrid w:val="0"/>
          <w:sz w:val="20"/>
          <w:vertAlign w:val="superscript"/>
        </w:rPr>
        <w:t> 3</w:t>
      </w:r>
      <w:r>
        <w:rPr>
          <w:snapToGrid w:val="0"/>
          <w:sz w:val="20"/>
        </w:rPr>
        <w:t xml:space="preserve">  .........</w:t>
      </w:r>
    </w:p>
    <w:p>
      <w:pPr>
        <w:pStyle w:val="yTable"/>
        <w:tabs>
          <w:tab w:val="left" w:pos="2835"/>
        </w:tabs>
        <w:rPr>
          <w:snapToGrid w:val="0"/>
          <w:sz w:val="20"/>
        </w:rPr>
      </w:pPr>
      <w:r>
        <w:rPr>
          <w:snapToGrid w:val="0"/>
          <w:sz w:val="20"/>
        </w:rPr>
        <w:t>Signature(s) of Applicant(s)</w:t>
      </w:r>
      <w:r>
        <w:rPr>
          <w:snapToGrid w:val="0"/>
          <w:sz w:val="20"/>
        </w:rPr>
        <w:tab/>
        <w:t>.....................................................................................</w:t>
      </w:r>
    </w:p>
    <w:p>
      <w:pPr>
        <w:pStyle w:val="yTable"/>
        <w:tabs>
          <w:tab w:val="left" w:pos="1985"/>
          <w:tab w:val="left" w:pos="2835"/>
        </w:tabs>
        <w:rPr>
          <w:snapToGrid w:val="0"/>
          <w:sz w:val="20"/>
        </w:rPr>
      </w:pPr>
      <w:r>
        <w:rPr>
          <w:snapToGrid w:val="0"/>
          <w:sz w:val="20"/>
        </w:rPr>
        <w:tab/>
        <w:t xml:space="preserve">Date </w:t>
      </w:r>
      <w:r>
        <w:rPr>
          <w:snapToGrid w:val="0"/>
          <w:sz w:val="20"/>
        </w:rPr>
        <w:tab/>
        <w:t>.....................................................................................</w:t>
      </w:r>
    </w:p>
    <w:p>
      <w:pPr>
        <w:pStyle w:val="yTable"/>
        <w:tabs>
          <w:tab w:val="left" w:pos="567"/>
        </w:tabs>
        <w:ind w:left="567" w:hanging="567"/>
        <w:rPr>
          <w:snapToGrid w:val="0"/>
          <w:sz w:val="20"/>
        </w:rPr>
      </w:pPr>
      <w:r>
        <w:rPr>
          <w:snapToGrid w:val="0"/>
          <w:sz w:val="20"/>
        </w:rPr>
        <w:t>*</w:t>
      </w:r>
      <w:r>
        <w:rPr>
          <w:snapToGrid w:val="0"/>
          <w:sz w:val="20"/>
        </w:rPr>
        <w:tab/>
        <w:t>OWNER: Includes the manager of the abattoir or the employer of persons employed there.</w:t>
      </w:r>
    </w:p>
    <w:p>
      <w:pPr>
        <w:pStyle w:val="yTable"/>
        <w:tabs>
          <w:tab w:val="left" w:pos="567"/>
        </w:tabs>
        <w:ind w:left="567" w:hanging="567"/>
        <w:rPr>
          <w:snapToGrid w:val="0"/>
          <w:sz w:val="20"/>
        </w:rPr>
      </w:pPr>
      <w:r>
        <w:rPr>
          <w:snapToGrid w:val="0"/>
          <w:sz w:val="20"/>
        </w:rPr>
        <w:t>**</w:t>
      </w:r>
      <w:r>
        <w:rPr>
          <w:snapToGrid w:val="0"/>
          <w:sz w:val="20"/>
        </w:rPr>
        <w:tab/>
        <w:t>Strike out which is inapplicable.</w:t>
      </w:r>
    </w:p>
    <w:p>
      <w:pPr>
        <w:pStyle w:val="yTable"/>
        <w:tabs>
          <w:tab w:val="left" w:pos="567"/>
        </w:tabs>
        <w:ind w:left="567" w:hanging="567"/>
        <w:rPr>
          <w:snapToGrid w:val="0"/>
          <w:sz w:val="20"/>
        </w:rPr>
      </w:pPr>
      <w:r>
        <w:rPr>
          <w:snapToGrid w:val="0"/>
          <w:sz w:val="20"/>
        </w:rPr>
        <w:t>***</w:t>
      </w:r>
      <w:r>
        <w:rPr>
          <w:snapToGrid w:val="0"/>
          <w:sz w:val="20"/>
        </w:rPr>
        <w:tab/>
        <w:t>Includes sheep, lambs and goats.</w:t>
      </w:r>
    </w:p>
    <w:p>
      <w:pPr>
        <w:pStyle w:val="yFootnotesection"/>
        <w:keepLines w:val="0"/>
        <w:rPr>
          <w:sz w:val="20"/>
        </w:rPr>
      </w:pPr>
      <w:r>
        <w:tab/>
        <w:t>[Form 5 inserted in Gazette 26 Oct 1990 p. 5364.]</w:t>
      </w:r>
    </w:p>
    <w:p>
      <w:pPr>
        <w:pStyle w:val="MiscellaneousHeading"/>
        <w:pageBreakBefore/>
        <w:rPr>
          <w:b/>
          <w:snapToGrid w:val="0"/>
        </w:rPr>
      </w:pPr>
      <w:r>
        <w:rPr>
          <w:b/>
          <w:snapToGrid w:val="0"/>
        </w:rPr>
        <w:t>Form 6</w:t>
      </w:r>
    </w:p>
    <w:p>
      <w:pPr>
        <w:pStyle w:val="yShoulderClause"/>
        <w:rPr>
          <w:snapToGrid w:val="0"/>
        </w:rPr>
      </w:pPr>
      <w:r>
        <w:rPr>
          <w:snapToGrid w:val="0"/>
        </w:rPr>
        <w:t>[regulation 20]</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Table"/>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Table"/>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Table"/>
        <w:jc w:val="center"/>
        <w:rPr>
          <w:snapToGrid w:val="0"/>
        </w:rPr>
      </w:pPr>
      <w:r>
        <w:rPr>
          <w:snapToGrid w:val="0"/>
        </w:rPr>
        <w:t>Conditions and Restrictions</w:t>
      </w:r>
    </w:p>
    <w:p>
      <w:pPr>
        <w:pStyle w:val="yTable"/>
        <w:jc w:val="center"/>
        <w:rPr>
          <w:snapToGrid w:val="0"/>
        </w:rPr>
      </w:pPr>
    </w:p>
    <w:p>
      <w:pPr>
        <w:pStyle w:val="yTable"/>
        <w:jc w:val="center"/>
        <w:rPr>
          <w:snapToGrid w:val="0"/>
        </w:rPr>
      </w:pPr>
    </w:p>
    <w:p>
      <w:pPr>
        <w:pStyle w:val="yTable"/>
        <w:jc w:val="center"/>
        <w:rPr>
          <w:snapToGrid w:val="0"/>
        </w:rPr>
      </w:pPr>
    </w:p>
    <w:p>
      <w:pPr>
        <w:pStyle w:val="yTable"/>
        <w:rPr>
          <w:snapToGrid w:val="0"/>
        </w:rPr>
      </w:pPr>
      <w:r>
        <w:rPr>
          <w:snapToGrid w:val="0"/>
        </w:rPr>
        <w:t>This approval is valid and remains in force unless revoked in accordance with the Act.</w:t>
      </w:r>
    </w:p>
    <w:p>
      <w:pPr>
        <w:pStyle w:val="yTable"/>
        <w:tabs>
          <w:tab w:val="left" w:pos="1276"/>
        </w:tabs>
        <w:ind w:left="1276" w:hanging="1276"/>
        <w:rPr>
          <w:snapToGrid w:val="0"/>
        </w:rPr>
      </w:pPr>
      <w:r>
        <w:rPr>
          <w:snapToGrid w:val="0"/>
        </w:rPr>
        <w:t xml:space="preserve">*OWNER: </w:t>
      </w:r>
      <w:r>
        <w:rPr>
          <w:snapToGrid w:val="0"/>
        </w:rPr>
        <w:tab/>
        <w:t>Includes the manager of the abattoir or the employer of persons working there.</w:t>
      </w:r>
    </w:p>
    <w:p>
      <w:pPr>
        <w:pStyle w:val="yTable"/>
        <w:tabs>
          <w:tab w:val="left" w:pos="3402"/>
        </w:tabs>
        <w:rPr>
          <w:snapToGrid w:val="0"/>
        </w:rPr>
      </w:pPr>
      <w:r>
        <w:rPr>
          <w:snapToGrid w:val="0"/>
        </w:rPr>
        <w:t>Date ..........................................</w:t>
      </w:r>
      <w:r>
        <w:rPr>
          <w:snapToGrid w:val="0"/>
        </w:rPr>
        <w:tab/>
        <w:t>Chairman ..................................................</w:t>
      </w:r>
    </w:p>
    <w:p>
      <w:pPr>
        <w:pStyle w:val="yFootnotesection"/>
        <w:keepLines w:val="0"/>
      </w:pPr>
      <w:r>
        <w:tab/>
        <w:t>[Form 6 inserted in Gazette 26 Oct 1990 p. 5365.]</w:t>
      </w:r>
    </w:p>
    <w:p>
      <w:pPr>
        <w:pStyle w:val="MiscellaneousHeading"/>
        <w:pageBreakBefore/>
        <w:rPr>
          <w:b/>
          <w:snapToGrid w:val="0"/>
        </w:rPr>
      </w:pPr>
      <w:r>
        <w:rPr>
          <w:b/>
          <w:snapToGrid w:val="0"/>
        </w:rPr>
        <w:t>Form 7</w:t>
      </w:r>
    </w:p>
    <w:p>
      <w:pPr>
        <w:pStyle w:val="yShoulderClause"/>
        <w:rPr>
          <w:snapToGrid w:val="0"/>
        </w:rPr>
      </w:pPr>
      <w:r>
        <w:rPr>
          <w:snapToGrid w:val="0"/>
        </w:rPr>
        <w:t>[regulation 24]</w:t>
      </w:r>
    </w:p>
    <w:p>
      <w:pPr>
        <w:pStyle w:val="MiscellaneousHeading"/>
        <w:rPr>
          <w:i/>
          <w:snapToGrid w:val="0"/>
        </w:rPr>
      </w:pPr>
      <w:r>
        <w:rPr>
          <w:i/>
          <w:snapToGrid w:val="0"/>
        </w:rPr>
        <w:t>Western Australian Meat Industry Authority Act 1976</w:t>
      </w:r>
    </w:p>
    <w:p>
      <w:pPr>
        <w:pStyle w:val="MiscellaneousHeading"/>
        <w:rPr>
          <w:i/>
          <w:snapToGrid w:val="0"/>
        </w:rPr>
      </w:pPr>
      <w:r>
        <w:rPr>
          <w:i/>
          <w:snapToGrid w:val="0"/>
        </w:rPr>
        <w:t>Western Australian Meat Industry Authority Regulations 1985</w:t>
      </w:r>
    </w:p>
    <w:p>
      <w:pPr>
        <w:pStyle w:val="MiscellaneousHeading"/>
        <w:spacing w:after="240"/>
        <w:rPr>
          <w:snapToGrid w:val="0"/>
        </w:rPr>
      </w:pPr>
      <w:r>
        <w:rPr>
          <w:snapToGrid w:val="0"/>
        </w:rPr>
        <w:t>Livestock slaughter return</w:t>
      </w:r>
    </w:p>
    <w:p>
      <w:pPr>
        <w:rPr>
          <w:snapToGrid w:val="0"/>
          <w:sz w:val="22"/>
        </w:rPr>
      </w:pPr>
      <w:r>
        <w:rPr>
          <w:snapToGrid w:val="0"/>
          <w:sz w:val="22"/>
        </w:rPr>
        <w:t>Livestock slaughter by ....................................................................................</w:t>
      </w:r>
    </w:p>
    <w:p>
      <w:pPr>
        <w:rPr>
          <w:snapToGrid w:val="0"/>
          <w:sz w:val="22"/>
        </w:rPr>
      </w:pPr>
      <w:r>
        <w:rPr>
          <w:snapToGrid w:val="0"/>
          <w:sz w:val="22"/>
        </w:rPr>
        <w:t>at abattoir located at ........................................................................................</w:t>
      </w:r>
    </w:p>
    <w:p>
      <w:pPr>
        <w:tabs>
          <w:tab w:val="left" w:pos="284"/>
        </w:tabs>
        <w:spacing w:before="40"/>
        <w:ind w:left="284" w:hanging="284"/>
        <w:rPr>
          <w:snapToGrid w:val="0"/>
          <w:sz w:val="22"/>
        </w:rPr>
      </w:pPr>
      <w:r>
        <w:rPr>
          <w:snapToGrid w:val="0"/>
          <w:sz w:val="22"/>
        </w:rPr>
        <w:tab/>
        <w:t>During the month of .......................................... 20 ...............................</w:t>
      </w:r>
    </w:p>
    <w:p>
      <w:pPr>
        <w:tabs>
          <w:tab w:val="left" w:pos="284"/>
        </w:tabs>
        <w:spacing w:before="40"/>
        <w:ind w:left="284" w:hanging="284"/>
        <w:rPr>
          <w:snapToGrid w:val="0"/>
          <w:sz w:val="22"/>
        </w:rPr>
      </w:pPr>
      <w:r>
        <w:rPr>
          <w:snapToGrid w:val="0"/>
          <w:sz w:val="22"/>
        </w:rPr>
        <w:tab/>
        <w:t>Total slaughtered for the month*</w:t>
      </w:r>
    </w:p>
    <w:p>
      <w:pPr>
        <w:tabs>
          <w:tab w:val="left" w:pos="284"/>
        </w:tabs>
        <w:ind w:left="284" w:hanging="284"/>
        <w:rPr>
          <w:snapToGrid w:val="0"/>
          <w:sz w:val="22"/>
        </w:rPr>
      </w:pPr>
      <w:r>
        <w:rPr>
          <w:snapToGrid w:val="0"/>
          <w:sz w:val="22"/>
        </w:rPr>
        <w:tab/>
        <w:t>Cattle ........................................................</w:t>
      </w:r>
    </w:p>
    <w:p>
      <w:pPr>
        <w:tabs>
          <w:tab w:val="left" w:pos="284"/>
        </w:tabs>
        <w:ind w:left="284" w:hanging="284"/>
        <w:rPr>
          <w:snapToGrid w:val="0"/>
          <w:sz w:val="22"/>
        </w:rPr>
      </w:pPr>
      <w:r>
        <w:rPr>
          <w:snapToGrid w:val="0"/>
          <w:sz w:val="22"/>
        </w:rPr>
        <w:tab/>
        <w:t>Calves** ..................................................</w:t>
      </w:r>
    </w:p>
    <w:p>
      <w:pPr>
        <w:tabs>
          <w:tab w:val="left" w:pos="284"/>
        </w:tabs>
        <w:ind w:left="284" w:hanging="284"/>
        <w:rPr>
          <w:snapToGrid w:val="0"/>
          <w:sz w:val="22"/>
        </w:rPr>
      </w:pPr>
      <w:r>
        <w:rPr>
          <w:snapToGrid w:val="0"/>
          <w:sz w:val="22"/>
        </w:rPr>
        <w:tab/>
        <w:t>Sheep .......................................................</w:t>
      </w:r>
    </w:p>
    <w:p>
      <w:pPr>
        <w:tabs>
          <w:tab w:val="left" w:pos="284"/>
        </w:tabs>
        <w:ind w:left="284" w:hanging="284"/>
        <w:rPr>
          <w:snapToGrid w:val="0"/>
          <w:sz w:val="22"/>
        </w:rPr>
      </w:pPr>
      <w:r>
        <w:rPr>
          <w:snapToGrid w:val="0"/>
          <w:sz w:val="22"/>
        </w:rPr>
        <w:tab/>
        <w:t>Lambs ......................................................</w:t>
      </w:r>
    </w:p>
    <w:p>
      <w:pPr>
        <w:tabs>
          <w:tab w:val="left" w:pos="284"/>
        </w:tabs>
        <w:ind w:left="284" w:hanging="284"/>
        <w:rPr>
          <w:snapToGrid w:val="0"/>
          <w:sz w:val="22"/>
        </w:rPr>
      </w:pPr>
      <w:r>
        <w:rPr>
          <w:snapToGrid w:val="0"/>
          <w:sz w:val="22"/>
        </w:rPr>
        <w:tab/>
        <w:t>Goats ........................................................</w:t>
      </w:r>
    </w:p>
    <w:p>
      <w:pPr>
        <w:tabs>
          <w:tab w:val="left" w:pos="284"/>
        </w:tabs>
        <w:ind w:left="284" w:hanging="284"/>
        <w:rPr>
          <w:snapToGrid w:val="0"/>
          <w:sz w:val="22"/>
        </w:rPr>
      </w:pPr>
      <w:r>
        <w:rPr>
          <w:snapToGrid w:val="0"/>
          <w:sz w:val="22"/>
        </w:rPr>
        <w:tab/>
        <w:t>Pigs ..........................................................</w:t>
      </w:r>
    </w:p>
    <w:p>
      <w:pPr>
        <w:tabs>
          <w:tab w:val="left" w:pos="284"/>
        </w:tabs>
        <w:ind w:left="284" w:hanging="284"/>
        <w:rPr>
          <w:snapToGrid w:val="0"/>
          <w:sz w:val="22"/>
        </w:rPr>
      </w:pPr>
      <w:r>
        <w:rPr>
          <w:snapToGrid w:val="0"/>
          <w:sz w:val="22"/>
        </w:rPr>
        <w:tab/>
        <w:t>Deer .........................................................</w:t>
      </w:r>
    </w:p>
    <w:p>
      <w:pPr>
        <w:tabs>
          <w:tab w:val="left" w:pos="284"/>
        </w:tabs>
        <w:ind w:left="284" w:hanging="284"/>
        <w:rPr>
          <w:snapToGrid w:val="0"/>
          <w:sz w:val="22"/>
        </w:rPr>
      </w:pPr>
      <w:r>
        <w:rPr>
          <w:snapToGrid w:val="0"/>
          <w:sz w:val="22"/>
        </w:rPr>
        <w:tab/>
        <w:t>Rabbits .....................................................</w:t>
      </w:r>
    </w:p>
    <w:p>
      <w:pPr>
        <w:tabs>
          <w:tab w:val="left" w:pos="284"/>
        </w:tabs>
        <w:ind w:left="284" w:hanging="284"/>
        <w:rPr>
          <w:snapToGrid w:val="0"/>
          <w:sz w:val="22"/>
        </w:rPr>
      </w:pPr>
      <w:r>
        <w:rPr>
          <w:snapToGrid w:val="0"/>
          <w:sz w:val="22"/>
        </w:rPr>
        <w:tab/>
        <w:t>Emus ........................................................</w:t>
      </w:r>
    </w:p>
    <w:p>
      <w:pPr>
        <w:tabs>
          <w:tab w:val="left" w:pos="284"/>
        </w:tabs>
        <w:ind w:left="284" w:hanging="284"/>
        <w:rPr>
          <w:snapToGrid w:val="0"/>
          <w:sz w:val="22"/>
        </w:rPr>
      </w:pPr>
      <w:r>
        <w:rPr>
          <w:snapToGrid w:val="0"/>
          <w:sz w:val="22"/>
        </w:rPr>
        <w:tab/>
        <w:t>Others .......................................................</w:t>
      </w:r>
    </w:p>
    <w:p>
      <w:pPr>
        <w:tabs>
          <w:tab w:val="left" w:pos="284"/>
          <w:tab w:val="left" w:pos="2835"/>
        </w:tabs>
        <w:spacing w:before="40"/>
        <w:ind w:left="284" w:hanging="284"/>
        <w:jc w:val="center"/>
        <w:rPr>
          <w:snapToGrid w:val="0"/>
          <w:sz w:val="22"/>
        </w:rPr>
      </w:pPr>
      <w:r>
        <w:rPr>
          <w:snapToGrid w:val="0"/>
          <w:sz w:val="22"/>
        </w:rPr>
        <w:t>Total ................</w:t>
      </w:r>
    </w:p>
    <w:p>
      <w:pPr>
        <w:tabs>
          <w:tab w:val="left" w:pos="567"/>
        </w:tabs>
        <w:spacing w:before="40"/>
        <w:rPr>
          <w:snapToGrid w:val="0"/>
          <w:sz w:val="22"/>
        </w:rPr>
      </w:pPr>
      <w:r>
        <w:rPr>
          <w:snapToGrid w:val="0"/>
          <w:sz w:val="22"/>
        </w:rPr>
        <w:t>*</w:t>
      </w:r>
      <w:r>
        <w:rPr>
          <w:snapToGrid w:val="0"/>
          <w:sz w:val="22"/>
        </w:rPr>
        <w:tab/>
        <w:t>All species of stock slaughtered must be declared.</w:t>
      </w:r>
    </w:p>
    <w:p>
      <w:pPr>
        <w:tabs>
          <w:tab w:val="left" w:pos="567"/>
        </w:tabs>
        <w:spacing w:before="40"/>
        <w:ind w:left="567" w:hanging="567"/>
        <w:rPr>
          <w:snapToGrid w:val="0"/>
          <w:sz w:val="22"/>
        </w:rPr>
      </w:pPr>
      <w:r>
        <w:rPr>
          <w:snapToGrid w:val="0"/>
          <w:sz w:val="22"/>
        </w:rPr>
        <w:t>**</w:t>
      </w:r>
      <w:r>
        <w:rPr>
          <w:snapToGrid w:val="0"/>
          <w:sz w:val="22"/>
        </w:rPr>
        <w:tab/>
        <w:t xml:space="preserve">CALVES includes vealers up to and including 90 kg dressed weight. </w:t>
      </w:r>
    </w:p>
    <w:p>
      <w:pPr>
        <w:spacing w:before="40"/>
        <w:rPr>
          <w:snapToGrid w:val="0"/>
          <w:sz w:val="22"/>
        </w:rPr>
      </w:pPr>
      <w:r>
        <w:rPr>
          <w:snapToGrid w:val="0"/>
          <w:sz w:val="22"/>
        </w:rPr>
        <w:t>I certify that the particulars contained in this return are correct.</w:t>
      </w:r>
    </w:p>
    <w:p>
      <w:pPr>
        <w:tabs>
          <w:tab w:val="left" w:pos="3402"/>
        </w:tabs>
        <w:spacing w:before="120"/>
        <w:rPr>
          <w:snapToGrid w:val="0"/>
          <w:sz w:val="22"/>
        </w:rPr>
      </w:pPr>
      <w:r>
        <w:rPr>
          <w:snapToGrid w:val="0"/>
          <w:sz w:val="22"/>
        </w:rPr>
        <w:tab/>
        <w:t>Signature ...............................................</w:t>
      </w:r>
    </w:p>
    <w:p>
      <w:pPr>
        <w:tabs>
          <w:tab w:val="left" w:pos="3402"/>
        </w:tabs>
        <w:spacing w:before="120"/>
        <w:rPr>
          <w:snapToGrid w:val="0"/>
          <w:sz w:val="22"/>
        </w:rPr>
      </w:pPr>
      <w:r>
        <w:rPr>
          <w:snapToGrid w:val="0"/>
          <w:sz w:val="22"/>
        </w:rPr>
        <w:tab/>
        <w:t>Date .......................................................</w:t>
      </w:r>
    </w:p>
    <w:p>
      <w:pPr>
        <w:tabs>
          <w:tab w:val="left" w:pos="1134"/>
        </w:tabs>
        <w:ind w:left="1134" w:hanging="1134"/>
        <w:rPr>
          <w:snapToGrid w:val="0"/>
          <w:sz w:val="22"/>
        </w:rPr>
      </w:pPr>
      <w:r>
        <w:rPr>
          <w:snapToGrid w:val="0"/>
          <w:sz w:val="22"/>
        </w:rPr>
        <w:t>NOTE:</w:t>
      </w:r>
      <w:r>
        <w:rPr>
          <w:snapToGrid w:val="0"/>
          <w:sz w:val="22"/>
        </w:rPr>
        <w:tab/>
        <w:t>Failure to complete this form and send it to the Authority within seven (7) days after the above month is an offence under the Act.</w:t>
      </w:r>
    </w:p>
    <w:p>
      <w:pPr>
        <w:pStyle w:val="yFootnotesection"/>
      </w:pPr>
      <w:r>
        <w:t>[Form 7 inserted in Gazette 26 Oct 1990 p. 5365</w:t>
      </w:r>
      <w:r>
        <w:noBreakHyphen/>
        <w:t>6.]</w:t>
      </w:r>
    </w:p>
    <w:p>
      <w:pPr>
        <w:pStyle w:val="yScheduleHeading"/>
      </w:pPr>
      <w:bookmarkStart w:id="272" w:name="_Toc121819156"/>
      <w:bookmarkStart w:id="273" w:name="_Toc122409121"/>
      <w:bookmarkStart w:id="274" w:name="_Toc122494425"/>
      <w:bookmarkStart w:id="275" w:name="_Toc122494532"/>
      <w:bookmarkStart w:id="276" w:name="_Toc127261535"/>
      <w:bookmarkStart w:id="277" w:name="_Toc129687089"/>
      <w:r>
        <w:rPr>
          <w:rStyle w:val="CharSchNo"/>
        </w:rPr>
        <w:t>Schedule 6</w:t>
      </w:r>
      <w:bookmarkEnd w:id="272"/>
      <w:bookmarkEnd w:id="273"/>
      <w:bookmarkEnd w:id="274"/>
      <w:bookmarkEnd w:id="275"/>
      <w:bookmarkEnd w:id="276"/>
      <w:bookmarkEnd w:id="277"/>
      <w:r>
        <w:rPr>
          <w:rStyle w:val="CharSchNo"/>
        </w:rPr>
        <w:t xml:space="preserve"> </w:t>
      </w:r>
    </w:p>
    <w:p>
      <w:pPr>
        <w:pStyle w:val="yShoulderClause"/>
        <w:spacing w:before="0"/>
        <w:rPr>
          <w:snapToGrid w:val="0"/>
        </w:rPr>
      </w:pPr>
      <w:r>
        <w:rPr>
          <w:snapToGrid w:val="0"/>
        </w:rPr>
        <w:t>[regulations 33 and 34]</w:t>
      </w:r>
    </w:p>
    <w:p>
      <w:pPr>
        <w:pStyle w:val="yScheduleHeading2"/>
      </w:pPr>
      <w:r>
        <w:rPr>
          <w:rStyle w:val="CharSchText"/>
        </w:rPr>
        <w:t>Fees</w:t>
      </w:r>
    </w:p>
    <w:p>
      <w:pPr>
        <w:pStyle w:val="yFootnoteheading"/>
        <w:rPr>
          <w:b/>
          <w:snapToGrid w:val="0"/>
          <w:sz w:val="28"/>
        </w:rPr>
      </w:pPr>
      <w:r>
        <w:tab/>
        <w:t>[Heading inserted in Gazette 2 Feb 1996 p. 392.]</w:t>
      </w:r>
    </w:p>
    <w:p>
      <w:pPr>
        <w:pStyle w:val="yHeading2"/>
      </w:pPr>
      <w:bookmarkStart w:id="278" w:name="_Toc122494533"/>
      <w:bookmarkStart w:id="279" w:name="_Toc127261536"/>
      <w:bookmarkStart w:id="280" w:name="_Toc129687090"/>
      <w:r>
        <w:rPr>
          <w:rStyle w:val="CharSDivNo"/>
          <w:sz w:val="28"/>
        </w:rPr>
        <w:t>Part 1</w:t>
      </w:r>
      <w:r>
        <w:t> — </w:t>
      </w:r>
      <w:r>
        <w:rPr>
          <w:rStyle w:val="CharSDivText"/>
          <w:sz w:val="28"/>
        </w:rPr>
        <w:t>Abattoir fees</w:t>
      </w:r>
      <w:bookmarkEnd w:id="278"/>
      <w:bookmarkEnd w:id="279"/>
      <w:bookmarkEnd w:id="280"/>
    </w:p>
    <w:p>
      <w:pPr>
        <w:pStyle w:val="yFootnoteheading"/>
        <w:spacing w:after="40"/>
      </w:pPr>
      <w:r>
        <w:tab/>
        <w:t>[Heading inserted in Gazette 2 Feb 1996 p. 392.]</w:t>
      </w:r>
    </w:p>
    <w:tbl>
      <w:tblPr>
        <w:tblW w:w="0" w:type="auto"/>
        <w:tblLayout w:type="fixed"/>
        <w:tblLook w:val="0000" w:firstRow="0" w:lastRow="0" w:firstColumn="0" w:lastColumn="0" w:noHBand="0" w:noVBand="0"/>
      </w:tblPr>
      <w:tblGrid>
        <w:gridCol w:w="5778"/>
        <w:gridCol w:w="1526"/>
      </w:tblGrid>
      <w:tr>
        <w:tc>
          <w:tcPr>
            <w:tcW w:w="5778" w:type="dxa"/>
          </w:tcPr>
          <w:p>
            <w:pPr>
              <w:pStyle w:val="yTable"/>
              <w:tabs>
                <w:tab w:val="left" w:pos="556"/>
                <w:tab w:val="left" w:pos="1134"/>
              </w:tabs>
              <w:ind w:left="1123" w:hanging="1123"/>
              <w:rPr>
                <w:snapToGrid w:val="0"/>
              </w:rPr>
            </w:pPr>
            <w:r>
              <w:rPr>
                <w:snapToGrid w:val="0"/>
              </w:rPr>
              <w:t>1.</w:t>
            </w:r>
            <w:r>
              <w:rPr>
                <w:snapToGrid w:val="0"/>
              </w:rPr>
              <w:tab/>
              <w:t xml:space="preserve">Application for approval to operate — </w:t>
            </w:r>
          </w:p>
        </w:tc>
        <w:tc>
          <w:tcPr>
            <w:tcW w:w="1526" w:type="dxa"/>
          </w:tcPr>
          <w:p>
            <w:pPr>
              <w:pStyle w:val="yTable"/>
              <w:rPr>
                <w:snapToGrid w:val="0"/>
              </w:rPr>
            </w:pPr>
          </w:p>
        </w:tc>
      </w:tr>
      <w:tr>
        <w:tc>
          <w:tcPr>
            <w:tcW w:w="5778" w:type="dxa"/>
          </w:tcPr>
          <w:p>
            <w:pPr>
              <w:pStyle w:val="yTable"/>
              <w:tabs>
                <w:tab w:val="left" w:pos="556"/>
                <w:tab w:val="left" w:pos="1134"/>
              </w:tabs>
              <w:ind w:left="1123" w:hanging="1123"/>
              <w:rPr>
                <w:snapToGrid w:val="0"/>
              </w:rPr>
            </w:pPr>
            <w:r>
              <w:rPr>
                <w:snapToGrid w:val="0"/>
              </w:rPr>
              <w:tab/>
              <w:t>(a)</w:t>
            </w:r>
            <w:r>
              <w:rPr>
                <w:snapToGrid w:val="0"/>
              </w:rPr>
              <w:tab/>
              <w:t>a Code or Export abattoir ....................................</w:t>
            </w:r>
          </w:p>
        </w:tc>
        <w:tc>
          <w:tcPr>
            <w:tcW w:w="1526" w:type="dxa"/>
          </w:tcPr>
          <w:p>
            <w:pPr>
              <w:pStyle w:val="yTable"/>
              <w:rPr>
                <w:snapToGrid w:val="0"/>
              </w:rPr>
            </w:pPr>
            <w:r>
              <w:rPr>
                <w:snapToGrid w:val="0"/>
              </w:rPr>
              <w:t>$ 500</w:t>
            </w:r>
          </w:p>
        </w:tc>
      </w:tr>
      <w:tr>
        <w:tc>
          <w:tcPr>
            <w:tcW w:w="5778" w:type="dxa"/>
          </w:tcPr>
          <w:p>
            <w:pPr>
              <w:pStyle w:val="yTable"/>
              <w:tabs>
                <w:tab w:val="left" w:pos="556"/>
                <w:tab w:val="left" w:pos="1134"/>
              </w:tabs>
              <w:ind w:left="1123" w:hanging="1123"/>
              <w:rPr>
                <w:snapToGrid w:val="0"/>
              </w:rPr>
            </w:pPr>
            <w:r>
              <w:rPr>
                <w:snapToGrid w:val="0"/>
              </w:rPr>
              <w:tab/>
              <w:t>(b)</w:t>
            </w:r>
            <w:r>
              <w:rPr>
                <w:snapToGrid w:val="0"/>
              </w:rPr>
              <w:tab/>
              <w:t>any other abattoir .................................................</w:t>
            </w:r>
          </w:p>
        </w:tc>
        <w:tc>
          <w:tcPr>
            <w:tcW w:w="1526" w:type="dxa"/>
          </w:tcPr>
          <w:p>
            <w:pPr>
              <w:pStyle w:val="yTable"/>
              <w:rPr>
                <w:snapToGrid w:val="0"/>
              </w:rPr>
            </w:pPr>
            <w:r>
              <w:rPr>
                <w:snapToGrid w:val="0"/>
              </w:rPr>
              <w:t>$ 250</w:t>
            </w:r>
          </w:p>
        </w:tc>
      </w:tr>
      <w:tr>
        <w:tc>
          <w:tcPr>
            <w:tcW w:w="5778" w:type="dxa"/>
          </w:tcPr>
          <w:p>
            <w:pPr>
              <w:pStyle w:val="yTable"/>
              <w:tabs>
                <w:tab w:val="left" w:pos="556"/>
                <w:tab w:val="left" w:pos="1134"/>
              </w:tabs>
              <w:ind w:left="1123" w:hanging="1123"/>
              <w:rPr>
                <w:snapToGrid w:val="0"/>
              </w:rPr>
            </w:pPr>
            <w:r>
              <w:rPr>
                <w:snapToGrid w:val="0"/>
              </w:rPr>
              <w:t>2.</w:t>
            </w:r>
            <w:r>
              <w:rPr>
                <w:snapToGrid w:val="0"/>
              </w:rPr>
              <w:tab/>
              <w:t xml:space="preserve">Annual fee for approval to operate — </w:t>
            </w:r>
          </w:p>
        </w:tc>
        <w:tc>
          <w:tcPr>
            <w:tcW w:w="1526" w:type="dxa"/>
          </w:tcPr>
          <w:p>
            <w:pPr>
              <w:pStyle w:val="yTable"/>
              <w:rPr>
                <w:snapToGrid w:val="0"/>
              </w:rPr>
            </w:pPr>
          </w:p>
        </w:tc>
      </w:tr>
      <w:tr>
        <w:tc>
          <w:tcPr>
            <w:tcW w:w="5778" w:type="dxa"/>
          </w:tcPr>
          <w:p>
            <w:pPr>
              <w:pStyle w:val="yTable"/>
              <w:tabs>
                <w:tab w:val="left" w:pos="556"/>
                <w:tab w:val="left" w:pos="1134"/>
              </w:tabs>
              <w:ind w:left="1123" w:hanging="1123"/>
              <w:rPr>
                <w:snapToGrid w:val="0"/>
              </w:rPr>
            </w:pPr>
            <w:r>
              <w:rPr>
                <w:snapToGrid w:val="0"/>
              </w:rPr>
              <w:tab/>
              <w:t>(a)</w:t>
            </w:r>
            <w:r>
              <w:rPr>
                <w:snapToGrid w:val="0"/>
              </w:rPr>
              <w:tab/>
              <w:t>a Code or Export abattoir ....................................</w:t>
            </w:r>
          </w:p>
        </w:tc>
        <w:tc>
          <w:tcPr>
            <w:tcW w:w="1526" w:type="dxa"/>
          </w:tcPr>
          <w:p>
            <w:pPr>
              <w:pStyle w:val="yTable"/>
              <w:rPr>
                <w:snapToGrid w:val="0"/>
              </w:rPr>
            </w:pPr>
            <w:r>
              <w:rPr>
                <w:snapToGrid w:val="0"/>
              </w:rPr>
              <w:t>$ 500 plus throughput fee</w:t>
            </w:r>
          </w:p>
        </w:tc>
      </w:tr>
      <w:tr>
        <w:tc>
          <w:tcPr>
            <w:tcW w:w="5778" w:type="dxa"/>
          </w:tcPr>
          <w:p>
            <w:pPr>
              <w:pStyle w:val="yTable"/>
              <w:tabs>
                <w:tab w:val="left" w:pos="556"/>
                <w:tab w:val="left" w:pos="1134"/>
              </w:tabs>
              <w:ind w:left="1123" w:hanging="1123"/>
              <w:rPr>
                <w:snapToGrid w:val="0"/>
              </w:rPr>
            </w:pPr>
            <w:r>
              <w:rPr>
                <w:snapToGrid w:val="0"/>
              </w:rPr>
              <w:tab/>
              <w:t>(b)</w:t>
            </w:r>
            <w:r>
              <w:rPr>
                <w:snapToGrid w:val="0"/>
              </w:rPr>
              <w:tab/>
              <w:t>any other abattoir .................................................</w:t>
            </w:r>
          </w:p>
        </w:tc>
        <w:tc>
          <w:tcPr>
            <w:tcW w:w="1526" w:type="dxa"/>
          </w:tcPr>
          <w:p>
            <w:pPr>
              <w:pStyle w:val="yTable"/>
              <w:rPr>
                <w:snapToGrid w:val="0"/>
              </w:rPr>
            </w:pPr>
            <w:r>
              <w:rPr>
                <w:snapToGrid w:val="0"/>
              </w:rPr>
              <w:t>$ 250 plus throughput fee</w:t>
            </w:r>
          </w:p>
        </w:tc>
      </w:tr>
      <w:tr>
        <w:tc>
          <w:tcPr>
            <w:tcW w:w="5778" w:type="dxa"/>
          </w:tcPr>
          <w:p>
            <w:pPr>
              <w:pStyle w:val="yTable"/>
              <w:tabs>
                <w:tab w:val="left" w:pos="556"/>
                <w:tab w:val="left" w:pos="1134"/>
              </w:tabs>
              <w:ind w:left="1123" w:hanging="1123"/>
              <w:rPr>
                <w:snapToGrid w:val="0"/>
              </w:rPr>
            </w:pPr>
            <w:r>
              <w:rPr>
                <w:snapToGrid w:val="0"/>
              </w:rPr>
              <w:t>3.</w:t>
            </w:r>
            <w:r>
              <w:rPr>
                <w:snapToGrid w:val="0"/>
              </w:rPr>
              <w:tab/>
              <w:t>Application to construct an abattoir ................................</w:t>
            </w:r>
          </w:p>
        </w:tc>
        <w:tc>
          <w:tcPr>
            <w:tcW w:w="1526" w:type="dxa"/>
          </w:tcPr>
          <w:p>
            <w:pPr>
              <w:pStyle w:val="yTable"/>
              <w:rPr>
                <w:snapToGrid w:val="0"/>
              </w:rPr>
            </w:pPr>
            <w:r>
              <w:rPr>
                <w:snapToGrid w:val="0"/>
              </w:rPr>
              <w:t>$ 250</w:t>
            </w:r>
          </w:p>
        </w:tc>
      </w:tr>
      <w:tr>
        <w:tc>
          <w:tcPr>
            <w:tcW w:w="5778" w:type="dxa"/>
          </w:tcPr>
          <w:p>
            <w:pPr>
              <w:pStyle w:val="yTable"/>
              <w:tabs>
                <w:tab w:val="left" w:pos="556"/>
                <w:tab w:val="left" w:pos="1134"/>
              </w:tabs>
              <w:ind w:left="1123" w:hanging="1123"/>
              <w:rPr>
                <w:snapToGrid w:val="0"/>
              </w:rPr>
            </w:pPr>
            <w:r>
              <w:rPr>
                <w:snapToGrid w:val="0"/>
              </w:rPr>
              <w:t>4.</w:t>
            </w:r>
            <w:r>
              <w:rPr>
                <w:snapToGrid w:val="0"/>
              </w:rPr>
              <w:tab/>
              <w:t>Notification of change of ownership ...............................</w:t>
            </w:r>
          </w:p>
        </w:tc>
        <w:tc>
          <w:tcPr>
            <w:tcW w:w="1526" w:type="dxa"/>
          </w:tcPr>
          <w:p>
            <w:pPr>
              <w:pStyle w:val="yTable"/>
              <w:rPr>
                <w:snapToGrid w:val="0"/>
              </w:rPr>
            </w:pPr>
            <w:r>
              <w:rPr>
                <w:snapToGrid w:val="0"/>
              </w:rPr>
              <w:t>$ 300</w:t>
            </w:r>
          </w:p>
        </w:tc>
      </w:tr>
      <w:tr>
        <w:tc>
          <w:tcPr>
            <w:tcW w:w="5778" w:type="dxa"/>
          </w:tcPr>
          <w:p>
            <w:pPr>
              <w:pStyle w:val="yTable"/>
              <w:tabs>
                <w:tab w:val="left" w:pos="556"/>
                <w:tab w:val="left" w:pos="1134"/>
              </w:tabs>
              <w:ind w:left="1123" w:hanging="1123"/>
              <w:rPr>
                <w:snapToGrid w:val="0"/>
              </w:rPr>
            </w:pPr>
            <w:r>
              <w:rPr>
                <w:snapToGrid w:val="0"/>
              </w:rPr>
              <w:t>5.</w:t>
            </w:r>
            <w:r>
              <w:rPr>
                <w:snapToGrid w:val="0"/>
              </w:rPr>
              <w:tab/>
              <w:t>Any other notification under regulation 23 .....................</w:t>
            </w:r>
          </w:p>
        </w:tc>
        <w:tc>
          <w:tcPr>
            <w:tcW w:w="1526" w:type="dxa"/>
          </w:tcPr>
          <w:p>
            <w:pPr>
              <w:pStyle w:val="yTable"/>
              <w:rPr>
                <w:snapToGrid w:val="0"/>
              </w:rPr>
            </w:pPr>
            <w:r>
              <w:rPr>
                <w:snapToGrid w:val="0"/>
              </w:rPr>
              <w:t>$ 50</w:t>
            </w:r>
          </w:p>
        </w:tc>
      </w:tr>
      <w:tr>
        <w:tc>
          <w:tcPr>
            <w:tcW w:w="5778" w:type="dxa"/>
          </w:tcPr>
          <w:p>
            <w:pPr>
              <w:pStyle w:val="yTable"/>
              <w:tabs>
                <w:tab w:val="left" w:pos="556"/>
                <w:tab w:val="left" w:pos="1134"/>
              </w:tabs>
              <w:ind w:left="1123" w:hanging="1123"/>
              <w:rPr>
                <w:snapToGrid w:val="0"/>
              </w:rPr>
            </w:pPr>
            <w:r>
              <w:rPr>
                <w:snapToGrid w:val="0"/>
              </w:rPr>
              <w:t>6.</w:t>
            </w:r>
            <w:r>
              <w:rPr>
                <w:snapToGrid w:val="0"/>
              </w:rPr>
              <w:tab/>
              <w:t>Application for variation of approval conditions ............</w:t>
            </w:r>
          </w:p>
        </w:tc>
        <w:tc>
          <w:tcPr>
            <w:tcW w:w="1526" w:type="dxa"/>
          </w:tcPr>
          <w:p>
            <w:pPr>
              <w:pStyle w:val="yTable"/>
              <w:rPr>
                <w:snapToGrid w:val="0"/>
              </w:rPr>
            </w:pPr>
            <w:r>
              <w:rPr>
                <w:snapToGrid w:val="0"/>
              </w:rPr>
              <w:t>$ 50</w:t>
            </w:r>
          </w:p>
        </w:tc>
      </w:tr>
    </w:tbl>
    <w:p>
      <w:pPr>
        <w:pStyle w:val="yFootnotesection"/>
        <w:keepLines w:val="0"/>
      </w:pPr>
      <w:bookmarkStart w:id="281" w:name="_Toc121819157"/>
      <w:bookmarkStart w:id="282" w:name="_Toc122409122"/>
      <w:bookmarkStart w:id="283" w:name="_Toc122494426"/>
      <w:bookmarkStart w:id="284" w:name="_Toc122494534"/>
      <w:r>
        <w:tab/>
        <w:t>[Part 1 inserted in Gazette 2 Feb 1996 p. 392.]</w:t>
      </w:r>
    </w:p>
    <w:p>
      <w:pPr>
        <w:pStyle w:val="yHeading2"/>
        <w:spacing w:after="120"/>
      </w:pPr>
      <w:bookmarkStart w:id="285" w:name="_Toc127261537"/>
      <w:bookmarkStart w:id="286" w:name="_Toc129687091"/>
      <w:r>
        <w:rPr>
          <w:rStyle w:val="CharSDivNo"/>
          <w:sz w:val="28"/>
        </w:rPr>
        <w:t>Part 2</w:t>
      </w:r>
      <w:r>
        <w:t> — </w:t>
      </w:r>
      <w:r>
        <w:rPr>
          <w:rStyle w:val="CharSDivText"/>
          <w:sz w:val="28"/>
        </w:rPr>
        <w:t>Midland Saleyard : sale fees</w:t>
      </w:r>
      <w:bookmarkEnd w:id="281"/>
      <w:bookmarkEnd w:id="282"/>
      <w:bookmarkEnd w:id="283"/>
      <w:bookmarkEnd w:id="284"/>
      <w:bookmarkEnd w:id="285"/>
      <w:bookmarkEnd w:id="286"/>
    </w:p>
    <w:p>
      <w:pPr>
        <w:pStyle w:val="yFootnotesection"/>
        <w:keepLines w:val="0"/>
        <w:spacing w:before="0" w:after="40"/>
      </w:pPr>
      <w:r>
        <w:tab/>
        <w:t>[Heading inserted in Gazette 23 Aug 2005 p. 3907.]</w:t>
      </w:r>
    </w:p>
    <w:tbl>
      <w:tblPr>
        <w:tblW w:w="0" w:type="auto"/>
        <w:tblInd w:w="1384" w:type="dxa"/>
        <w:tblLayout w:type="fixed"/>
        <w:tblLook w:val="0000" w:firstRow="0" w:lastRow="0" w:firstColumn="0" w:lastColumn="0" w:noHBand="0" w:noVBand="0"/>
      </w:tblPr>
      <w:tblGrid>
        <w:gridCol w:w="2835"/>
        <w:gridCol w:w="2268"/>
      </w:tblGrid>
      <w:tr>
        <w:trPr>
          <w:tblHeader/>
        </w:trPr>
        <w:tc>
          <w:tcPr>
            <w:tcW w:w="2835" w:type="dxa"/>
            <w:tcBorders>
              <w:top w:val="single" w:sz="4" w:space="0" w:color="auto"/>
              <w:bottom w:val="single" w:sz="4" w:space="0" w:color="auto"/>
            </w:tcBorders>
          </w:tcPr>
          <w:p>
            <w:pPr>
              <w:pStyle w:val="yTable"/>
            </w:pPr>
            <w:r>
              <w:rPr>
                <w:b/>
              </w:rPr>
              <w:t>Animal</w:t>
            </w:r>
          </w:p>
        </w:tc>
        <w:tc>
          <w:tcPr>
            <w:tcW w:w="2268" w:type="dxa"/>
            <w:tcBorders>
              <w:top w:val="single" w:sz="4" w:space="0" w:color="auto"/>
              <w:bottom w:val="single" w:sz="4" w:space="0" w:color="auto"/>
            </w:tcBorders>
          </w:tcPr>
          <w:p>
            <w:pPr>
              <w:pStyle w:val="yTable"/>
            </w:pPr>
            <w:r>
              <w:rPr>
                <w:b/>
              </w:rPr>
              <w:t>Fee per head</w:t>
            </w:r>
          </w:p>
        </w:tc>
      </w:tr>
      <w:tr>
        <w:tc>
          <w:tcPr>
            <w:tcW w:w="2835" w:type="dxa"/>
          </w:tcPr>
          <w:p>
            <w:pPr>
              <w:pStyle w:val="yTable"/>
            </w:pPr>
            <w:r>
              <w:t>Calves</w:t>
            </w:r>
          </w:p>
        </w:tc>
        <w:tc>
          <w:tcPr>
            <w:tcW w:w="2268" w:type="dxa"/>
          </w:tcPr>
          <w:p>
            <w:pPr>
              <w:pStyle w:val="yTable"/>
            </w:pPr>
            <w:r>
              <w:t>$2.50</w:t>
            </w:r>
          </w:p>
        </w:tc>
      </w:tr>
      <w:tr>
        <w:tc>
          <w:tcPr>
            <w:tcW w:w="2835" w:type="dxa"/>
          </w:tcPr>
          <w:p>
            <w:pPr>
              <w:pStyle w:val="yTable"/>
            </w:pPr>
            <w:r>
              <w:t>Cattle</w:t>
            </w:r>
          </w:p>
        </w:tc>
        <w:tc>
          <w:tcPr>
            <w:tcW w:w="2268" w:type="dxa"/>
          </w:tcPr>
          <w:p>
            <w:pPr>
              <w:pStyle w:val="yTable"/>
            </w:pPr>
            <w:r>
              <w:t>$3.80</w:t>
            </w:r>
          </w:p>
        </w:tc>
      </w:tr>
      <w:tr>
        <w:tc>
          <w:tcPr>
            <w:tcW w:w="2835" w:type="dxa"/>
          </w:tcPr>
          <w:p>
            <w:pPr>
              <w:pStyle w:val="yTable"/>
            </w:pPr>
            <w:r>
              <w:t>Goats</w:t>
            </w:r>
          </w:p>
        </w:tc>
        <w:tc>
          <w:tcPr>
            <w:tcW w:w="2268" w:type="dxa"/>
          </w:tcPr>
          <w:p>
            <w:pPr>
              <w:pStyle w:val="yTable"/>
            </w:pPr>
            <w:r>
              <w:t>$0.43</w:t>
            </w:r>
          </w:p>
        </w:tc>
      </w:tr>
      <w:tr>
        <w:tc>
          <w:tcPr>
            <w:tcW w:w="2835" w:type="dxa"/>
          </w:tcPr>
          <w:p>
            <w:pPr>
              <w:pStyle w:val="yTable"/>
            </w:pPr>
            <w:r>
              <w:t>Horses</w:t>
            </w:r>
          </w:p>
        </w:tc>
        <w:tc>
          <w:tcPr>
            <w:tcW w:w="2268" w:type="dxa"/>
          </w:tcPr>
          <w:p>
            <w:pPr>
              <w:pStyle w:val="yTable"/>
            </w:pPr>
            <w:r>
              <w:t>$3.80</w:t>
            </w:r>
          </w:p>
        </w:tc>
      </w:tr>
      <w:tr>
        <w:tc>
          <w:tcPr>
            <w:tcW w:w="2835" w:type="dxa"/>
          </w:tcPr>
          <w:p>
            <w:pPr>
              <w:pStyle w:val="yTable"/>
            </w:pPr>
            <w:r>
              <w:t>Lambs</w:t>
            </w:r>
          </w:p>
        </w:tc>
        <w:tc>
          <w:tcPr>
            <w:tcW w:w="2268" w:type="dxa"/>
          </w:tcPr>
          <w:p>
            <w:pPr>
              <w:pStyle w:val="yTable"/>
            </w:pPr>
            <w:r>
              <w:t>$0.43</w:t>
            </w:r>
          </w:p>
        </w:tc>
      </w:tr>
      <w:tr>
        <w:tc>
          <w:tcPr>
            <w:tcW w:w="2835" w:type="dxa"/>
          </w:tcPr>
          <w:p>
            <w:pPr>
              <w:pStyle w:val="yTable"/>
            </w:pPr>
            <w:r>
              <w:t>Pigs</w:t>
            </w:r>
          </w:p>
        </w:tc>
        <w:tc>
          <w:tcPr>
            <w:tcW w:w="2268" w:type="dxa"/>
          </w:tcPr>
          <w:p>
            <w:pPr>
              <w:pStyle w:val="yTable"/>
            </w:pPr>
            <w:r>
              <w:t>$1.35</w:t>
            </w:r>
          </w:p>
        </w:tc>
      </w:tr>
      <w:tr>
        <w:tc>
          <w:tcPr>
            <w:tcW w:w="2835" w:type="dxa"/>
            <w:tcBorders>
              <w:bottom w:val="single" w:sz="4" w:space="0" w:color="auto"/>
            </w:tcBorders>
          </w:tcPr>
          <w:p>
            <w:pPr>
              <w:pStyle w:val="yTable"/>
            </w:pPr>
            <w:r>
              <w:t>Sheep</w:t>
            </w:r>
          </w:p>
        </w:tc>
        <w:tc>
          <w:tcPr>
            <w:tcW w:w="2268" w:type="dxa"/>
            <w:tcBorders>
              <w:bottom w:val="single" w:sz="4" w:space="0" w:color="auto"/>
            </w:tcBorders>
          </w:tcPr>
          <w:p>
            <w:pPr>
              <w:pStyle w:val="yTable"/>
            </w:pPr>
            <w:r>
              <w:t>$0.43</w:t>
            </w:r>
          </w:p>
        </w:tc>
      </w:tr>
    </w:tbl>
    <w:p>
      <w:pPr>
        <w:pStyle w:val="yFootnotesection"/>
      </w:pPr>
      <w:r>
        <w:tab/>
        <w:t>[Part 2 inserted in Gazette 23 Aug 2005 p. 3907</w:t>
      </w:r>
      <w:r>
        <w:noBreakHyphen/>
        <w:t>8.]</w:t>
      </w:r>
    </w:p>
    <w:p>
      <w:pPr>
        <w:pStyle w:val="yHeading2"/>
        <w:spacing w:after="120"/>
      </w:pPr>
      <w:bookmarkStart w:id="287" w:name="_Toc121819158"/>
      <w:bookmarkStart w:id="288" w:name="_Toc122409123"/>
      <w:bookmarkStart w:id="289" w:name="_Toc122494427"/>
      <w:bookmarkStart w:id="290" w:name="_Toc122494535"/>
      <w:bookmarkStart w:id="291" w:name="_Toc127261538"/>
      <w:bookmarkStart w:id="292" w:name="_Toc129687092"/>
      <w:r>
        <w:rPr>
          <w:rStyle w:val="CharSDivNo"/>
          <w:sz w:val="28"/>
        </w:rPr>
        <w:t>Part 3</w:t>
      </w:r>
      <w:r>
        <w:t> — </w:t>
      </w:r>
      <w:r>
        <w:rPr>
          <w:rStyle w:val="CharSDivText"/>
          <w:sz w:val="28"/>
        </w:rPr>
        <w:t>Midland Saleyard : transhipment fees</w:t>
      </w:r>
      <w:bookmarkEnd w:id="287"/>
      <w:bookmarkEnd w:id="288"/>
      <w:bookmarkEnd w:id="289"/>
      <w:bookmarkEnd w:id="290"/>
      <w:bookmarkEnd w:id="291"/>
      <w:bookmarkEnd w:id="292"/>
    </w:p>
    <w:p>
      <w:pPr>
        <w:pStyle w:val="yFootnoteheading"/>
        <w:spacing w:before="0" w:after="80"/>
      </w:pPr>
      <w:r>
        <w:tab/>
        <w:t>[Heading inserted in Gazette13 Dec 2002 p. 5794.]</w:t>
      </w:r>
    </w:p>
    <w:tbl>
      <w:tblPr>
        <w:tblW w:w="0" w:type="auto"/>
        <w:tblInd w:w="1526" w:type="dxa"/>
        <w:tblLayout w:type="fixed"/>
        <w:tblLook w:val="0000" w:firstRow="0" w:lastRow="0" w:firstColumn="0" w:lastColumn="0" w:noHBand="0" w:noVBand="0"/>
      </w:tblPr>
      <w:tblGrid>
        <w:gridCol w:w="3118"/>
        <w:gridCol w:w="1843"/>
      </w:tblGrid>
      <w:tr>
        <w:trPr>
          <w:tblHeader/>
        </w:trPr>
        <w:tc>
          <w:tcPr>
            <w:tcW w:w="3118" w:type="dxa"/>
            <w:tcBorders>
              <w:top w:val="single" w:sz="4" w:space="0" w:color="auto"/>
              <w:bottom w:val="single" w:sz="4" w:space="0" w:color="auto"/>
            </w:tcBorders>
          </w:tcPr>
          <w:p>
            <w:pPr>
              <w:pStyle w:val="yTable"/>
              <w:rPr>
                <w:b/>
              </w:rPr>
            </w:pPr>
            <w:r>
              <w:rPr>
                <w:b/>
              </w:rPr>
              <w:t>Animal</w:t>
            </w:r>
          </w:p>
        </w:tc>
        <w:tc>
          <w:tcPr>
            <w:tcW w:w="1843" w:type="dxa"/>
            <w:tcBorders>
              <w:top w:val="single" w:sz="4" w:space="0" w:color="auto"/>
              <w:bottom w:val="single" w:sz="4" w:space="0" w:color="auto"/>
            </w:tcBorders>
          </w:tcPr>
          <w:p>
            <w:pPr>
              <w:pStyle w:val="yTable"/>
              <w:jc w:val="center"/>
              <w:rPr>
                <w:b/>
              </w:rPr>
            </w:pPr>
            <w:r>
              <w:rPr>
                <w:b/>
              </w:rPr>
              <w:t>Amount per head</w:t>
            </w:r>
          </w:p>
        </w:tc>
      </w:tr>
      <w:tr>
        <w:tc>
          <w:tcPr>
            <w:tcW w:w="3118" w:type="dxa"/>
          </w:tcPr>
          <w:p>
            <w:pPr>
              <w:pStyle w:val="yTable"/>
            </w:pPr>
            <w:r>
              <w:t>Calves</w:t>
            </w:r>
          </w:p>
        </w:tc>
        <w:tc>
          <w:tcPr>
            <w:tcW w:w="1843" w:type="dxa"/>
          </w:tcPr>
          <w:p>
            <w:pPr>
              <w:pStyle w:val="yTable"/>
              <w:jc w:val="center"/>
            </w:pPr>
            <w:r>
              <w:t>$0.80</w:t>
            </w:r>
          </w:p>
        </w:tc>
      </w:tr>
      <w:tr>
        <w:tc>
          <w:tcPr>
            <w:tcW w:w="3118" w:type="dxa"/>
          </w:tcPr>
          <w:p>
            <w:pPr>
              <w:pStyle w:val="yTable"/>
            </w:pPr>
            <w:r>
              <w:t>Cattle</w:t>
            </w:r>
          </w:p>
        </w:tc>
        <w:tc>
          <w:tcPr>
            <w:tcW w:w="1843" w:type="dxa"/>
          </w:tcPr>
          <w:p>
            <w:pPr>
              <w:pStyle w:val="yTable"/>
              <w:jc w:val="center"/>
            </w:pPr>
            <w:r>
              <w:t>$0.80</w:t>
            </w:r>
          </w:p>
        </w:tc>
      </w:tr>
      <w:tr>
        <w:tc>
          <w:tcPr>
            <w:tcW w:w="3118" w:type="dxa"/>
          </w:tcPr>
          <w:p>
            <w:pPr>
              <w:pStyle w:val="yTable"/>
            </w:pPr>
            <w:r>
              <w:t>Goats</w:t>
            </w:r>
          </w:p>
        </w:tc>
        <w:tc>
          <w:tcPr>
            <w:tcW w:w="1843" w:type="dxa"/>
          </w:tcPr>
          <w:p>
            <w:pPr>
              <w:pStyle w:val="yTable"/>
              <w:jc w:val="center"/>
            </w:pPr>
            <w:r>
              <w:t>$0.10</w:t>
            </w:r>
          </w:p>
        </w:tc>
      </w:tr>
      <w:tr>
        <w:tc>
          <w:tcPr>
            <w:tcW w:w="3118" w:type="dxa"/>
          </w:tcPr>
          <w:p>
            <w:pPr>
              <w:pStyle w:val="yTable"/>
            </w:pPr>
            <w:r>
              <w:t>Horses</w:t>
            </w:r>
          </w:p>
        </w:tc>
        <w:tc>
          <w:tcPr>
            <w:tcW w:w="1843" w:type="dxa"/>
          </w:tcPr>
          <w:p>
            <w:pPr>
              <w:pStyle w:val="yTable"/>
              <w:jc w:val="center"/>
            </w:pPr>
            <w:r>
              <w:t>$0.80</w:t>
            </w:r>
          </w:p>
        </w:tc>
      </w:tr>
      <w:tr>
        <w:tc>
          <w:tcPr>
            <w:tcW w:w="3118" w:type="dxa"/>
          </w:tcPr>
          <w:p>
            <w:pPr>
              <w:pStyle w:val="yTable"/>
            </w:pPr>
            <w:r>
              <w:t>Lambs</w:t>
            </w:r>
          </w:p>
        </w:tc>
        <w:tc>
          <w:tcPr>
            <w:tcW w:w="1843" w:type="dxa"/>
          </w:tcPr>
          <w:p>
            <w:pPr>
              <w:pStyle w:val="yTable"/>
              <w:jc w:val="center"/>
            </w:pPr>
            <w:r>
              <w:t>$0.10</w:t>
            </w:r>
          </w:p>
        </w:tc>
      </w:tr>
      <w:tr>
        <w:tc>
          <w:tcPr>
            <w:tcW w:w="3118" w:type="dxa"/>
          </w:tcPr>
          <w:p>
            <w:pPr>
              <w:pStyle w:val="yTable"/>
            </w:pPr>
            <w:r>
              <w:t>Pigs</w:t>
            </w:r>
          </w:p>
        </w:tc>
        <w:tc>
          <w:tcPr>
            <w:tcW w:w="1843" w:type="dxa"/>
          </w:tcPr>
          <w:p>
            <w:pPr>
              <w:pStyle w:val="yTable"/>
              <w:jc w:val="center"/>
            </w:pPr>
            <w:r>
              <w:t>$0.55</w:t>
            </w:r>
          </w:p>
        </w:tc>
      </w:tr>
      <w:tr>
        <w:tc>
          <w:tcPr>
            <w:tcW w:w="3118" w:type="dxa"/>
            <w:tcBorders>
              <w:bottom w:val="single" w:sz="4" w:space="0" w:color="auto"/>
            </w:tcBorders>
          </w:tcPr>
          <w:p>
            <w:pPr>
              <w:pStyle w:val="yTable"/>
            </w:pPr>
            <w:r>
              <w:t>Sheep</w:t>
            </w:r>
          </w:p>
        </w:tc>
        <w:tc>
          <w:tcPr>
            <w:tcW w:w="1843" w:type="dxa"/>
            <w:tcBorders>
              <w:bottom w:val="single" w:sz="4" w:space="0" w:color="auto"/>
            </w:tcBorders>
          </w:tcPr>
          <w:p>
            <w:pPr>
              <w:pStyle w:val="yTable"/>
              <w:jc w:val="center"/>
            </w:pPr>
            <w:r>
              <w:t>$0.10</w:t>
            </w:r>
          </w:p>
        </w:tc>
      </w:tr>
    </w:tbl>
    <w:p>
      <w:pPr>
        <w:pStyle w:val="yFootnotesection"/>
      </w:pPr>
      <w:bookmarkStart w:id="293" w:name="_Toc121819159"/>
      <w:bookmarkStart w:id="294" w:name="_Toc122409124"/>
      <w:bookmarkStart w:id="295" w:name="_Toc122494428"/>
      <w:bookmarkStart w:id="296" w:name="_Toc122494536"/>
      <w:r>
        <w:tab/>
        <w:t>[Part 3 inserted in Gazette13 Dec 2002 p. 5794</w:t>
      </w:r>
      <w:r>
        <w:noBreakHyphen/>
        <w:t>5.]</w:t>
      </w:r>
    </w:p>
    <w:p>
      <w:pPr>
        <w:pStyle w:val="yHeading2"/>
        <w:spacing w:after="120"/>
      </w:pPr>
      <w:bookmarkStart w:id="297" w:name="_Toc127261539"/>
      <w:bookmarkStart w:id="298" w:name="_Toc129687093"/>
      <w:r>
        <w:rPr>
          <w:rStyle w:val="CharSDivNo"/>
          <w:sz w:val="28"/>
        </w:rPr>
        <w:t>Part 4</w:t>
      </w:r>
      <w:r>
        <w:t> — </w:t>
      </w:r>
      <w:r>
        <w:rPr>
          <w:rStyle w:val="CharSDivText"/>
          <w:sz w:val="28"/>
        </w:rPr>
        <w:t>Interpretation</w:t>
      </w:r>
      <w:bookmarkEnd w:id="293"/>
      <w:bookmarkEnd w:id="294"/>
      <w:bookmarkEnd w:id="295"/>
      <w:bookmarkEnd w:id="296"/>
      <w:bookmarkEnd w:id="297"/>
      <w:bookmarkEnd w:id="298"/>
    </w:p>
    <w:p>
      <w:pPr>
        <w:pStyle w:val="yFootnoteheading"/>
        <w:spacing w:before="0"/>
        <w:rPr>
          <w:b/>
          <w:snapToGrid w:val="0"/>
          <w:sz w:val="28"/>
        </w:rPr>
      </w:pPr>
      <w:r>
        <w:tab/>
        <w:t>[Heading inserted in Gazette 2 Feb 1996 p. 393.]</w:t>
      </w:r>
    </w:p>
    <w:p>
      <w:pPr>
        <w:pStyle w:val="MiscellaneousBody"/>
        <w:rPr>
          <w:snapToGrid w:val="0"/>
          <w:sz w:val="22"/>
        </w:rPr>
      </w:pPr>
      <w:r>
        <w:rPr>
          <w:snapToGrid w:val="0"/>
          <w:sz w:val="22"/>
        </w:rPr>
        <w:t>In this Schedule — </w:t>
      </w:r>
    </w:p>
    <w:p>
      <w:pPr>
        <w:pStyle w:val="MiscellaneousBody"/>
        <w:tabs>
          <w:tab w:val="left" w:pos="426"/>
        </w:tabs>
        <w:spacing w:before="80"/>
        <w:ind w:left="425" w:hanging="425"/>
        <w:rPr>
          <w:sz w:val="22"/>
        </w:rPr>
      </w:pPr>
      <w:r>
        <w:rPr>
          <w:b/>
          <w:sz w:val="22"/>
        </w:rPr>
        <w:t>“</w:t>
      </w:r>
      <w:r>
        <w:rPr>
          <w:rStyle w:val="CharDefText"/>
          <w:sz w:val="22"/>
        </w:rPr>
        <w:t>Code abattoir</w:t>
      </w:r>
      <w:r>
        <w:rPr>
          <w:b/>
          <w:sz w:val="22"/>
        </w:rPr>
        <w:t>”</w:t>
      </w:r>
      <w:r>
        <w:rPr>
          <w:sz w:val="22"/>
        </w:rPr>
        <w:t xml:space="preserve"> means an abattoir which complies with (or in the case of an abattoir not yet in operation, which will, when in operation, comply with) the Australian Code of Practice for Construction and Equipment of Abattoirs 1986 published by the Commonwealth Department of Primary Industry; </w:t>
      </w:r>
    </w:p>
    <w:p>
      <w:pPr>
        <w:pStyle w:val="MiscellaneousBody"/>
        <w:tabs>
          <w:tab w:val="left" w:pos="426"/>
        </w:tabs>
        <w:spacing w:before="80"/>
        <w:ind w:left="425" w:hanging="425"/>
        <w:rPr>
          <w:sz w:val="22"/>
        </w:rPr>
      </w:pPr>
      <w:r>
        <w:rPr>
          <w:b/>
          <w:sz w:val="22"/>
        </w:rPr>
        <w:t>“</w:t>
      </w:r>
      <w:r>
        <w:rPr>
          <w:rStyle w:val="CharDefText"/>
          <w:sz w:val="22"/>
        </w:rPr>
        <w:t>Export abattoir</w:t>
      </w:r>
      <w:r>
        <w:rPr>
          <w:b/>
          <w:sz w:val="22"/>
        </w:rPr>
        <w:t>”</w:t>
      </w:r>
      <w:r>
        <w:rPr>
          <w:sz w:val="22"/>
        </w:rPr>
        <w:t xml:space="preserve"> means an abattoir which is registered (or in the case of an abattoir not yet in operation, which will, before it comes into operation, be registered) by the Australian Quarantine and Inspection Service of the Commonwealth for the purpose of exporting meat and meat products;</w:t>
      </w:r>
    </w:p>
    <w:p>
      <w:pPr>
        <w:pStyle w:val="MiscellaneousBody"/>
        <w:tabs>
          <w:tab w:val="left" w:pos="426"/>
        </w:tabs>
        <w:spacing w:before="80"/>
        <w:ind w:left="425" w:hanging="425"/>
        <w:rPr>
          <w:sz w:val="22"/>
        </w:rPr>
      </w:pPr>
      <w:r>
        <w:rPr>
          <w:b/>
          <w:sz w:val="22"/>
        </w:rPr>
        <w:t>“</w:t>
      </w:r>
      <w:r>
        <w:rPr>
          <w:rStyle w:val="CharDefText"/>
          <w:sz w:val="22"/>
        </w:rPr>
        <w:t>throughput fee</w:t>
      </w:r>
      <w:r>
        <w:rPr>
          <w:b/>
          <w:sz w:val="22"/>
        </w:rPr>
        <w:t>”</w:t>
      </w:r>
      <w:r>
        <w:rPr>
          <w:sz w:val="22"/>
        </w:rPr>
        <w:t xml:space="preserve"> means an amount equal to 0.7 cents per unit based on the number of units processed by the abattoir in the 12 month period immediately prior to the period to which the fee relates using the following animal to unit conversion table — </w:t>
      </w:r>
    </w:p>
    <w:tbl>
      <w:tblPr>
        <w:tblW w:w="0" w:type="auto"/>
        <w:tblInd w:w="675" w:type="dxa"/>
        <w:tblLayout w:type="fixed"/>
        <w:tblLook w:val="0000" w:firstRow="0" w:lastRow="0" w:firstColumn="0" w:lastColumn="0" w:noHBand="0" w:noVBand="0"/>
      </w:tblPr>
      <w:tblGrid>
        <w:gridCol w:w="2977"/>
        <w:gridCol w:w="3402"/>
      </w:tblGrid>
      <w:tr>
        <w:trPr>
          <w:tblHeader/>
        </w:trPr>
        <w:tc>
          <w:tcPr>
            <w:tcW w:w="2977" w:type="dxa"/>
          </w:tcPr>
          <w:p>
            <w:pPr>
              <w:pStyle w:val="yTable"/>
              <w:rPr>
                <w:b/>
              </w:rPr>
            </w:pPr>
            <w:r>
              <w:rPr>
                <w:b/>
              </w:rPr>
              <w:t>Animal</w:t>
            </w:r>
          </w:p>
        </w:tc>
        <w:tc>
          <w:tcPr>
            <w:tcW w:w="3402" w:type="dxa"/>
          </w:tcPr>
          <w:p>
            <w:pPr>
              <w:pStyle w:val="yTable"/>
            </w:pPr>
            <w:r>
              <w:rPr>
                <w:b/>
              </w:rPr>
              <w:t>Unit equivalent per head</w:t>
            </w:r>
          </w:p>
        </w:tc>
      </w:tr>
      <w:tr>
        <w:tc>
          <w:tcPr>
            <w:tcW w:w="2977" w:type="dxa"/>
          </w:tcPr>
          <w:p>
            <w:pPr>
              <w:pStyle w:val="yTable"/>
            </w:pPr>
            <w:r>
              <w:t>Buffalo</w:t>
            </w:r>
          </w:p>
        </w:tc>
        <w:tc>
          <w:tcPr>
            <w:tcW w:w="3402" w:type="dxa"/>
          </w:tcPr>
          <w:p>
            <w:pPr>
              <w:pStyle w:val="yTable"/>
            </w:pPr>
            <w:r>
              <w:t>7</w:t>
            </w:r>
          </w:p>
        </w:tc>
      </w:tr>
      <w:tr>
        <w:tc>
          <w:tcPr>
            <w:tcW w:w="2977" w:type="dxa"/>
          </w:tcPr>
          <w:p>
            <w:pPr>
              <w:pStyle w:val="yTable"/>
            </w:pPr>
            <w:r>
              <w:t>Calves</w:t>
            </w:r>
          </w:p>
        </w:tc>
        <w:tc>
          <w:tcPr>
            <w:tcW w:w="3402" w:type="dxa"/>
          </w:tcPr>
          <w:p>
            <w:pPr>
              <w:pStyle w:val="yTable"/>
            </w:pPr>
            <w:r>
              <w:t>2</w:t>
            </w:r>
          </w:p>
        </w:tc>
      </w:tr>
      <w:tr>
        <w:tc>
          <w:tcPr>
            <w:tcW w:w="2977" w:type="dxa"/>
          </w:tcPr>
          <w:p>
            <w:pPr>
              <w:pStyle w:val="yTable"/>
            </w:pPr>
            <w:r>
              <w:t>Cattle</w:t>
            </w:r>
          </w:p>
        </w:tc>
        <w:tc>
          <w:tcPr>
            <w:tcW w:w="3402" w:type="dxa"/>
          </w:tcPr>
          <w:p>
            <w:pPr>
              <w:pStyle w:val="yTable"/>
            </w:pPr>
            <w:r>
              <w:t>7</w:t>
            </w:r>
          </w:p>
        </w:tc>
      </w:tr>
      <w:tr>
        <w:tc>
          <w:tcPr>
            <w:tcW w:w="2977" w:type="dxa"/>
          </w:tcPr>
          <w:p>
            <w:pPr>
              <w:pStyle w:val="yTable"/>
            </w:pPr>
            <w:r>
              <w:t>Deer</w:t>
            </w:r>
          </w:p>
        </w:tc>
        <w:tc>
          <w:tcPr>
            <w:tcW w:w="3402" w:type="dxa"/>
          </w:tcPr>
          <w:p>
            <w:pPr>
              <w:pStyle w:val="yTable"/>
            </w:pPr>
            <w:r>
              <w:t>5</w:t>
            </w:r>
          </w:p>
        </w:tc>
      </w:tr>
      <w:tr>
        <w:tc>
          <w:tcPr>
            <w:tcW w:w="2977" w:type="dxa"/>
          </w:tcPr>
          <w:p>
            <w:pPr>
              <w:pStyle w:val="yTable"/>
            </w:pPr>
            <w:r>
              <w:t>Emus</w:t>
            </w:r>
          </w:p>
        </w:tc>
        <w:tc>
          <w:tcPr>
            <w:tcW w:w="3402" w:type="dxa"/>
          </w:tcPr>
          <w:p>
            <w:pPr>
              <w:pStyle w:val="yTable"/>
            </w:pPr>
            <w:r>
              <w:t>2</w:t>
            </w:r>
          </w:p>
        </w:tc>
      </w:tr>
      <w:tr>
        <w:tc>
          <w:tcPr>
            <w:tcW w:w="2977" w:type="dxa"/>
          </w:tcPr>
          <w:p>
            <w:pPr>
              <w:pStyle w:val="yTable"/>
            </w:pPr>
            <w:r>
              <w:t>Goats</w:t>
            </w:r>
          </w:p>
        </w:tc>
        <w:tc>
          <w:tcPr>
            <w:tcW w:w="3402" w:type="dxa"/>
          </w:tcPr>
          <w:p>
            <w:pPr>
              <w:pStyle w:val="yTable"/>
            </w:pPr>
            <w:r>
              <w:t>1</w:t>
            </w:r>
          </w:p>
        </w:tc>
      </w:tr>
      <w:tr>
        <w:tc>
          <w:tcPr>
            <w:tcW w:w="2977" w:type="dxa"/>
          </w:tcPr>
          <w:p>
            <w:pPr>
              <w:pStyle w:val="yTable"/>
            </w:pPr>
            <w:r>
              <w:t>Lambs</w:t>
            </w:r>
          </w:p>
        </w:tc>
        <w:tc>
          <w:tcPr>
            <w:tcW w:w="3402" w:type="dxa"/>
          </w:tcPr>
          <w:p>
            <w:pPr>
              <w:pStyle w:val="yTable"/>
            </w:pPr>
            <w:r>
              <w:t>1</w:t>
            </w:r>
          </w:p>
        </w:tc>
      </w:tr>
      <w:tr>
        <w:tc>
          <w:tcPr>
            <w:tcW w:w="2977" w:type="dxa"/>
          </w:tcPr>
          <w:p>
            <w:pPr>
              <w:pStyle w:val="yTable"/>
            </w:pPr>
            <w:r>
              <w:t>Ostriches</w:t>
            </w:r>
          </w:p>
        </w:tc>
        <w:tc>
          <w:tcPr>
            <w:tcW w:w="3402" w:type="dxa"/>
          </w:tcPr>
          <w:p>
            <w:pPr>
              <w:pStyle w:val="yTable"/>
            </w:pPr>
            <w:r>
              <w:t>2</w:t>
            </w:r>
          </w:p>
        </w:tc>
      </w:tr>
      <w:tr>
        <w:tc>
          <w:tcPr>
            <w:tcW w:w="2977" w:type="dxa"/>
          </w:tcPr>
          <w:p>
            <w:pPr>
              <w:pStyle w:val="yTable"/>
            </w:pPr>
            <w:r>
              <w:t>Pigs</w:t>
            </w:r>
          </w:p>
        </w:tc>
        <w:tc>
          <w:tcPr>
            <w:tcW w:w="3402" w:type="dxa"/>
          </w:tcPr>
          <w:p>
            <w:pPr>
              <w:pStyle w:val="yTable"/>
            </w:pPr>
            <w:r>
              <w:t>3</w:t>
            </w:r>
          </w:p>
        </w:tc>
      </w:tr>
      <w:tr>
        <w:tc>
          <w:tcPr>
            <w:tcW w:w="2977" w:type="dxa"/>
          </w:tcPr>
          <w:p>
            <w:pPr>
              <w:pStyle w:val="yTable"/>
            </w:pPr>
            <w:r>
              <w:t>Rabbits</w:t>
            </w:r>
          </w:p>
        </w:tc>
        <w:tc>
          <w:tcPr>
            <w:tcW w:w="3402" w:type="dxa"/>
          </w:tcPr>
          <w:p>
            <w:pPr>
              <w:pStyle w:val="yTable"/>
            </w:pPr>
            <w:r>
              <w:t>0.1</w:t>
            </w:r>
          </w:p>
        </w:tc>
      </w:tr>
      <w:tr>
        <w:tc>
          <w:tcPr>
            <w:tcW w:w="2977" w:type="dxa"/>
          </w:tcPr>
          <w:p>
            <w:pPr>
              <w:pStyle w:val="yTable"/>
            </w:pPr>
            <w:r>
              <w:t>Sheep</w:t>
            </w:r>
          </w:p>
        </w:tc>
        <w:tc>
          <w:tcPr>
            <w:tcW w:w="3402" w:type="dxa"/>
          </w:tcPr>
          <w:p>
            <w:pPr>
              <w:pStyle w:val="yTable"/>
            </w:pPr>
            <w:r>
              <w:t>1</w:t>
            </w:r>
          </w:p>
        </w:tc>
      </w:tr>
    </w:tbl>
    <w:p>
      <w:pPr>
        <w:pStyle w:val="yFootnotesection"/>
        <w:keepLines w:val="0"/>
      </w:pPr>
      <w:r>
        <w:tab/>
        <w:t>[Part 4 inserted in Gazette 2 Feb 1996 p. 394.]</w:t>
      </w:r>
    </w:p>
    <w:p>
      <w:pPr>
        <w:sectPr>
          <w:headerReference w:type="even" r:id="rId43"/>
          <w:headerReference w:type="default" r:id="rId44"/>
          <w:pgSz w:w="11906" w:h="16838" w:code="9"/>
          <w:pgMar w:top="2376" w:right="2405" w:bottom="3542" w:left="2405" w:header="706" w:footer="3380" w:gutter="0"/>
          <w:cols w:space="720"/>
          <w:noEndnote/>
          <w:docGrid w:linePitch="326"/>
        </w:sectPr>
      </w:pPr>
    </w:p>
    <w:p>
      <w:pPr>
        <w:pStyle w:val="nHeading2"/>
      </w:pPr>
      <w:bookmarkStart w:id="299" w:name="_Toc74988003"/>
      <w:bookmarkStart w:id="300" w:name="_Toc92686683"/>
      <w:bookmarkStart w:id="301" w:name="_Toc92875822"/>
      <w:bookmarkStart w:id="302" w:name="_Toc112492575"/>
      <w:bookmarkStart w:id="303" w:name="_Toc121819160"/>
      <w:bookmarkStart w:id="304" w:name="_Toc122409125"/>
      <w:bookmarkStart w:id="305" w:name="_Toc122494429"/>
      <w:bookmarkStart w:id="306" w:name="_Toc122494537"/>
      <w:bookmarkStart w:id="307" w:name="_Toc127261540"/>
      <w:bookmarkStart w:id="308" w:name="_Toc129687094"/>
      <w:r>
        <w:t>Notes</w:t>
      </w:r>
      <w:bookmarkEnd w:id="299"/>
      <w:bookmarkEnd w:id="300"/>
      <w:bookmarkEnd w:id="301"/>
      <w:bookmarkEnd w:id="302"/>
      <w:bookmarkEnd w:id="303"/>
      <w:bookmarkEnd w:id="304"/>
      <w:bookmarkEnd w:id="305"/>
      <w:bookmarkEnd w:id="306"/>
      <w:bookmarkEnd w:id="307"/>
      <w:bookmarkEnd w:id="308"/>
    </w:p>
    <w:p>
      <w:pPr>
        <w:pStyle w:val="nSubsection"/>
        <w:rPr>
          <w:snapToGrid w:val="0"/>
        </w:rPr>
      </w:pPr>
      <w:r>
        <w:rPr>
          <w:snapToGrid w:val="0"/>
          <w:vertAlign w:val="superscript"/>
        </w:rPr>
        <w:t>1</w:t>
      </w:r>
      <w:r>
        <w:rPr>
          <w:snapToGrid w:val="0"/>
        </w:rPr>
        <w:tab/>
        <w:t xml:space="preserve">This reprint is a compilation as at 3 February 2006 of the </w:t>
      </w:r>
      <w:r>
        <w:rPr>
          <w:i/>
          <w:noProof/>
          <w:snapToGrid w:val="0"/>
        </w:rPr>
        <w:t>Western Australian Meat Industry Authority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309" w:name="_Toc129687095"/>
      <w:r>
        <w:t>Compilation table</w:t>
      </w:r>
      <w:bookmarkEnd w:id="30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70"/>
              <w:rPr>
                <w:sz w:val="19"/>
              </w:rPr>
            </w:pPr>
            <w:r>
              <w:rPr>
                <w:i/>
                <w:sz w:val="19"/>
              </w:rPr>
              <w:t>Western Australian Meat Industry Authority Regulations 1985</w:t>
            </w:r>
          </w:p>
        </w:tc>
        <w:tc>
          <w:tcPr>
            <w:tcW w:w="1276" w:type="dxa"/>
            <w:tcBorders>
              <w:top w:val="single" w:sz="8" w:space="0" w:color="auto"/>
            </w:tcBorders>
          </w:tcPr>
          <w:p>
            <w:pPr>
              <w:pStyle w:val="nTable"/>
              <w:spacing w:after="40"/>
              <w:rPr>
                <w:sz w:val="19"/>
              </w:rPr>
            </w:pPr>
            <w:r>
              <w:rPr>
                <w:sz w:val="19"/>
              </w:rPr>
              <w:t>7 Jun 1985 p. 1978</w:t>
            </w:r>
            <w:r>
              <w:rPr>
                <w:sz w:val="19"/>
              </w:rPr>
              <w:noBreakHyphen/>
              <w:t>90</w:t>
            </w:r>
            <w:r>
              <w:rPr>
                <w:sz w:val="19"/>
              </w:rPr>
              <w:br/>
              <w:t>(erratum 14 Jun 1985 p. 2172)</w:t>
            </w:r>
          </w:p>
        </w:tc>
        <w:tc>
          <w:tcPr>
            <w:tcW w:w="2693" w:type="dxa"/>
            <w:tcBorders>
              <w:top w:val="single" w:sz="8" w:space="0" w:color="auto"/>
            </w:tcBorders>
          </w:tcPr>
          <w:p>
            <w:pPr>
              <w:pStyle w:val="nTable"/>
              <w:spacing w:after="40"/>
              <w:rPr>
                <w:sz w:val="19"/>
              </w:rPr>
            </w:pPr>
            <w:r>
              <w:rPr>
                <w:sz w:val="19"/>
              </w:rPr>
              <w:t>7 Jun 1985 (see r. 2)</w:t>
            </w:r>
          </w:p>
        </w:tc>
      </w:tr>
      <w:tr>
        <w:trPr>
          <w:cantSplit/>
        </w:trPr>
        <w:tc>
          <w:tcPr>
            <w:tcW w:w="3119" w:type="dxa"/>
          </w:tcPr>
          <w:p>
            <w:pPr>
              <w:pStyle w:val="nTable"/>
              <w:spacing w:after="40"/>
              <w:ind w:right="170"/>
              <w:rPr>
                <w:sz w:val="19"/>
              </w:rPr>
            </w:pPr>
            <w:r>
              <w:rPr>
                <w:i/>
                <w:sz w:val="19"/>
              </w:rPr>
              <w:t>Western Australian Meat Industry Authority Amendment Regulations 1985</w:t>
            </w:r>
          </w:p>
        </w:tc>
        <w:tc>
          <w:tcPr>
            <w:tcW w:w="1276" w:type="dxa"/>
          </w:tcPr>
          <w:p>
            <w:pPr>
              <w:pStyle w:val="nTable"/>
              <w:spacing w:after="40"/>
              <w:rPr>
                <w:sz w:val="19"/>
              </w:rPr>
            </w:pPr>
            <w:r>
              <w:rPr>
                <w:sz w:val="19"/>
              </w:rPr>
              <w:t>23 Aug 1985 p. 3038</w:t>
            </w:r>
          </w:p>
        </w:tc>
        <w:tc>
          <w:tcPr>
            <w:tcW w:w="2693" w:type="dxa"/>
          </w:tcPr>
          <w:p>
            <w:pPr>
              <w:pStyle w:val="nTable"/>
              <w:spacing w:after="40"/>
              <w:rPr>
                <w:sz w:val="19"/>
              </w:rPr>
            </w:pPr>
            <w:r>
              <w:rPr>
                <w:sz w:val="19"/>
              </w:rPr>
              <w:t>23 Aug 1985</w:t>
            </w:r>
          </w:p>
        </w:tc>
      </w:tr>
      <w:tr>
        <w:trPr>
          <w:cantSplit/>
        </w:trPr>
        <w:tc>
          <w:tcPr>
            <w:tcW w:w="3119" w:type="dxa"/>
          </w:tcPr>
          <w:p>
            <w:pPr>
              <w:pStyle w:val="nTable"/>
              <w:spacing w:after="40"/>
              <w:ind w:right="170"/>
              <w:rPr>
                <w:sz w:val="19"/>
              </w:rPr>
            </w:pPr>
            <w:r>
              <w:rPr>
                <w:i/>
                <w:sz w:val="19"/>
              </w:rPr>
              <w:t>Western Australian Meat Industry Authority Amendment Regulations 1986</w:t>
            </w:r>
          </w:p>
        </w:tc>
        <w:tc>
          <w:tcPr>
            <w:tcW w:w="1276" w:type="dxa"/>
          </w:tcPr>
          <w:p>
            <w:pPr>
              <w:pStyle w:val="nTable"/>
              <w:spacing w:after="40"/>
              <w:rPr>
                <w:sz w:val="19"/>
              </w:rPr>
            </w:pPr>
            <w:r>
              <w:rPr>
                <w:sz w:val="19"/>
              </w:rPr>
              <w:t>23 May 1986 p. 1740</w:t>
            </w:r>
            <w:r>
              <w:rPr>
                <w:sz w:val="19"/>
              </w:rPr>
              <w:noBreakHyphen/>
              <w:t>1</w:t>
            </w:r>
          </w:p>
        </w:tc>
        <w:tc>
          <w:tcPr>
            <w:tcW w:w="2693" w:type="dxa"/>
          </w:tcPr>
          <w:p>
            <w:pPr>
              <w:pStyle w:val="nTable"/>
              <w:spacing w:after="40"/>
              <w:rPr>
                <w:sz w:val="19"/>
              </w:rPr>
            </w:pPr>
            <w:r>
              <w:rPr>
                <w:sz w:val="19"/>
              </w:rPr>
              <w:t>23 May 1986</w:t>
            </w:r>
          </w:p>
        </w:tc>
      </w:tr>
      <w:tr>
        <w:trPr>
          <w:cantSplit/>
        </w:trPr>
        <w:tc>
          <w:tcPr>
            <w:tcW w:w="3119" w:type="dxa"/>
          </w:tcPr>
          <w:p>
            <w:pPr>
              <w:pStyle w:val="nTable"/>
              <w:spacing w:after="40"/>
              <w:ind w:right="170"/>
              <w:rPr>
                <w:sz w:val="19"/>
              </w:rPr>
            </w:pPr>
            <w:r>
              <w:rPr>
                <w:i/>
                <w:sz w:val="19"/>
              </w:rPr>
              <w:t>Western Australian Meat Industry Authority Amendment Regulations 1988</w:t>
            </w:r>
          </w:p>
        </w:tc>
        <w:tc>
          <w:tcPr>
            <w:tcW w:w="1276" w:type="dxa"/>
          </w:tcPr>
          <w:p>
            <w:pPr>
              <w:pStyle w:val="nTable"/>
              <w:spacing w:after="40"/>
              <w:rPr>
                <w:sz w:val="19"/>
              </w:rPr>
            </w:pPr>
            <w:r>
              <w:rPr>
                <w:sz w:val="19"/>
              </w:rPr>
              <w:t>27 May 1988 p. 1793</w:t>
            </w:r>
            <w:r>
              <w:rPr>
                <w:sz w:val="19"/>
              </w:rPr>
              <w:noBreakHyphen/>
              <w:t>6</w:t>
            </w:r>
          </w:p>
        </w:tc>
        <w:tc>
          <w:tcPr>
            <w:tcW w:w="2693" w:type="dxa"/>
          </w:tcPr>
          <w:p>
            <w:pPr>
              <w:pStyle w:val="nTable"/>
              <w:spacing w:after="40"/>
              <w:rPr>
                <w:sz w:val="19"/>
              </w:rPr>
            </w:pPr>
            <w:r>
              <w:rPr>
                <w:sz w:val="19"/>
              </w:rPr>
              <w:t>27 May 1988</w:t>
            </w:r>
          </w:p>
        </w:tc>
      </w:tr>
      <w:tr>
        <w:trPr>
          <w:cantSplit/>
        </w:trPr>
        <w:tc>
          <w:tcPr>
            <w:tcW w:w="3119" w:type="dxa"/>
          </w:tcPr>
          <w:p>
            <w:pPr>
              <w:pStyle w:val="nTable"/>
              <w:spacing w:after="40"/>
              <w:ind w:right="170"/>
              <w:rPr>
                <w:sz w:val="19"/>
              </w:rPr>
            </w:pPr>
            <w:r>
              <w:rPr>
                <w:i/>
                <w:sz w:val="19"/>
              </w:rPr>
              <w:t>Western Australian Meat Industry Authority Amendment Regulations (No. 2) 1988</w:t>
            </w:r>
          </w:p>
        </w:tc>
        <w:tc>
          <w:tcPr>
            <w:tcW w:w="1276" w:type="dxa"/>
          </w:tcPr>
          <w:p>
            <w:pPr>
              <w:pStyle w:val="nTable"/>
              <w:spacing w:after="40"/>
              <w:rPr>
                <w:sz w:val="19"/>
              </w:rPr>
            </w:pPr>
            <w:r>
              <w:rPr>
                <w:sz w:val="19"/>
              </w:rPr>
              <w:t>2 Sep 1988 p. 3470</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70"/>
              <w:rPr>
                <w:sz w:val="19"/>
              </w:rPr>
            </w:pPr>
            <w:r>
              <w:rPr>
                <w:i/>
                <w:sz w:val="19"/>
              </w:rPr>
              <w:t>Western Australian Meat Industry Authority Amendment Regulations 1990</w:t>
            </w:r>
          </w:p>
        </w:tc>
        <w:tc>
          <w:tcPr>
            <w:tcW w:w="1276" w:type="dxa"/>
          </w:tcPr>
          <w:p>
            <w:pPr>
              <w:pStyle w:val="nTable"/>
              <w:spacing w:after="40"/>
              <w:rPr>
                <w:sz w:val="19"/>
              </w:rPr>
            </w:pPr>
            <w:r>
              <w:rPr>
                <w:sz w:val="19"/>
              </w:rPr>
              <w:t>26 Oct 1990 p. 5361</w:t>
            </w:r>
            <w:r>
              <w:rPr>
                <w:sz w:val="19"/>
              </w:rPr>
              <w:noBreakHyphen/>
              <w:t>6</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70"/>
              <w:rPr>
                <w:sz w:val="19"/>
                <w:vertAlign w:val="superscript"/>
              </w:rPr>
            </w:pPr>
            <w:r>
              <w:rPr>
                <w:i/>
                <w:sz w:val="19"/>
              </w:rPr>
              <w:t>Western Australian Meat Industry Authority Amendment Regulations 1991</w:t>
            </w:r>
            <w:r>
              <w:rPr>
                <w:sz w:val="19"/>
                <w:vertAlign w:val="superscript"/>
              </w:rPr>
              <w:t> 4</w:t>
            </w:r>
          </w:p>
        </w:tc>
        <w:tc>
          <w:tcPr>
            <w:tcW w:w="1276" w:type="dxa"/>
          </w:tcPr>
          <w:p>
            <w:pPr>
              <w:pStyle w:val="nTable"/>
              <w:spacing w:after="40"/>
              <w:rPr>
                <w:sz w:val="19"/>
              </w:rPr>
            </w:pPr>
            <w:r>
              <w:rPr>
                <w:sz w:val="19"/>
              </w:rPr>
              <w:t>12 Jul 1991 p. 3410</w:t>
            </w:r>
            <w:r>
              <w:rPr>
                <w:sz w:val="19"/>
              </w:rPr>
              <w:noBreakHyphen/>
              <w:t>11</w:t>
            </w:r>
            <w:r>
              <w:rPr>
                <w:sz w:val="19"/>
              </w:rPr>
              <w:br/>
            </w:r>
          </w:p>
        </w:tc>
        <w:tc>
          <w:tcPr>
            <w:tcW w:w="2693" w:type="dxa"/>
          </w:tcPr>
          <w:p>
            <w:pPr>
              <w:pStyle w:val="nTable"/>
              <w:spacing w:after="40"/>
              <w:rPr>
                <w:sz w:val="19"/>
              </w:rPr>
            </w:pPr>
            <w:r>
              <w:rPr>
                <w:sz w:val="19"/>
              </w:rPr>
              <w:t>12 Jul 1991</w:t>
            </w:r>
          </w:p>
        </w:tc>
      </w:tr>
      <w:tr>
        <w:trPr>
          <w:cantSplit/>
        </w:trPr>
        <w:tc>
          <w:tcPr>
            <w:tcW w:w="3119" w:type="dxa"/>
          </w:tcPr>
          <w:p>
            <w:pPr>
              <w:pStyle w:val="nTable"/>
              <w:spacing w:after="40"/>
              <w:ind w:right="170"/>
              <w:rPr>
                <w:sz w:val="19"/>
              </w:rPr>
            </w:pPr>
            <w:r>
              <w:rPr>
                <w:i/>
                <w:sz w:val="19"/>
              </w:rPr>
              <w:t>Western Australian Meat Industry Authority Amendment Regulations 1994</w:t>
            </w:r>
          </w:p>
        </w:tc>
        <w:tc>
          <w:tcPr>
            <w:tcW w:w="1276" w:type="dxa"/>
          </w:tcPr>
          <w:p>
            <w:pPr>
              <w:pStyle w:val="nTable"/>
              <w:spacing w:after="40"/>
              <w:rPr>
                <w:sz w:val="19"/>
              </w:rPr>
            </w:pPr>
            <w:r>
              <w:rPr>
                <w:sz w:val="19"/>
              </w:rPr>
              <w:t>17 Jun 1994 p. 2504</w:t>
            </w:r>
            <w:r>
              <w:rPr>
                <w:sz w:val="19"/>
              </w:rPr>
              <w:noBreakHyphen/>
              <w:t>5</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70"/>
              <w:rPr>
                <w:sz w:val="19"/>
              </w:rPr>
            </w:pPr>
            <w:r>
              <w:rPr>
                <w:i/>
                <w:sz w:val="19"/>
              </w:rPr>
              <w:t>Western Australian Meat Industry Authority Amendment Regulations 1996</w:t>
            </w:r>
          </w:p>
        </w:tc>
        <w:tc>
          <w:tcPr>
            <w:tcW w:w="1276" w:type="dxa"/>
          </w:tcPr>
          <w:p>
            <w:pPr>
              <w:pStyle w:val="nTable"/>
              <w:spacing w:after="40"/>
              <w:rPr>
                <w:sz w:val="19"/>
              </w:rPr>
            </w:pPr>
            <w:r>
              <w:rPr>
                <w:sz w:val="19"/>
              </w:rPr>
              <w:t>2 Feb 1996 p. 389</w:t>
            </w:r>
            <w:r>
              <w:rPr>
                <w:sz w:val="19"/>
              </w:rPr>
              <w:noBreakHyphen/>
              <w:t>93</w:t>
            </w:r>
          </w:p>
        </w:tc>
        <w:tc>
          <w:tcPr>
            <w:tcW w:w="2693" w:type="dxa"/>
          </w:tcPr>
          <w:p>
            <w:pPr>
              <w:pStyle w:val="nTable"/>
              <w:spacing w:after="40"/>
              <w:rPr>
                <w:sz w:val="19"/>
              </w:rPr>
            </w:pPr>
            <w:r>
              <w:rPr>
                <w:sz w:val="19"/>
              </w:rPr>
              <w:t>2 Feb 1996</w:t>
            </w:r>
          </w:p>
        </w:tc>
      </w:tr>
      <w:tr>
        <w:trPr>
          <w:cantSplit/>
        </w:trPr>
        <w:tc>
          <w:tcPr>
            <w:tcW w:w="3119" w:type="dxa"/>
          </w:tcPr>
          <w:p>
            <w:pPr>
              <w:pStyle w:val="nTable"/>
              <w:spacing w:after="40"/>
              <w:ind w:right="170"/>
              <w:rPr>
                <w:sz w:val="19"/>
              </w:rPr>
            </w:pPr>
            <w:r>
              <w:rPr>
                <w:i/>
                <w:sz w:val="19"/>
              </w:rPr>
              <w:t>Western Australian Meat Industry Authority Amendment Regulations 1997</w:t>
            </w:r>
          </w:p>
        </w:tc>
        <w:tc>
          <w:tcPr>
            <w:tcW w:w="1276" w:type="dxa"/>
          </w:tcPr>
          <w:p>
            <w:pPr>
              <w:pStyle w:val="nTable"/>
              <w:spacing w:after="40"/>
              <w:rPr>
                <w:sz w:val="19"/>
              </w:rPr>
            </w:pPr>
            <w:r>
              <w:rPr>
                <w:sz w:val="19"/>
              </w:rPr>
              <w:t>24 Jun 1997 p. 2977</w:t>
            </w:r>
          </w:p>
        </w:tc>
        <w:tc>
          <w:tcPr>
            <w:tcW w:w="2693" w:type="dxa"/>
          </w:tcPr>
          <w:p>
            <w:pPr>
              <w:pStyle w:val="nTable"/>
              <w:spacing w:after="40"/>
              <w:rPr>
                <w:sz w:val="19"/>
              </w:rPr>
            </w:pPr>
            <w:r>
              <w:rPr>
                <w:sz w:val="19"/>
              </w:rPr>
              <w:t>1 Jul 1997 (see r. 2)</w:t>
            </w:r>
          </w:p>
        </w:tc>
      </w:tr>
      <w:tr>
        <w:trPr>
          <w:cantSplit/>
        </w:trPr>
        <w:tc>
          <w:tcPr>
            <w:tcW w:w="3119" w:type="dxa"/>
          </w:tcPr>
          <w:p>
            <w:pPr>
              <w:pStyle w:val="nTable"/>
              <w:keepNext/>
              <w:keepLines/>
              <w:spacing w:after="40"/>
              <w:ind w:right="170"/>
              <w:rPr>
                <w:sz w:val="19"/>
              </w:rPr>
            </w:pPr>
            <w:r>
              <w:rPr>
                <w:i/>
                <w:sz w:val="19"/>
              </w:rPr>
              <w:t>Western Australian Meat Industry Authority Amendment Regulations (No. 2) 1997</w:t>
            </w:r>
          </w:p>
        </w:tc>
        <w:tc>
          <w:tcPr>
            <w:tcW w:w="1276" w:type="dxa"/>
          </w:tcPr>
          <w:p>
            <w:pPr>
              <w:pStyle w:val="nTable"/>
              <w:keepNext/>
              <w:keepLines/>
              <w:spacing w:after="40"/>
              <w:rPr>
                <w:sz w:val="19"/>
              </w:rPr>
            </w:pPr>
            <w:r>
              <w:rPr>
                <w:sz w:val="19"/>
              </w:rPr>
              <w:t>2 Sep 1997 p. 4962</w:t>
            </w:r>
            <w:r>
              <w:rPr>
                <w:sz w:val="19"/>
              </w:rPr>
              <w:noBreakHyphen/>
              <w:t>3</w:t>
            </w:r>
          </w:p>
        </w:tc>
        <w:tc>
          <w:tcPr>
            <w:tcW w:w="2693" w:type="dxa"/>
          </w:tcPr>
          <w:p>
            <w:pPr>
              <w:pStyle w:val="nTable"/>
              <w:keepNext/>
              <w:keepLines/>
              <w:spacing w:after="40"/>
              <w:rPr>
                <w:sz w:val="19"/>
              </w:rPr>
            </w:pPr>
            <w:r>
              <w:rPr>
                <w:sz w:val="19"/>
              </w:rPr>
              <w:t>2 Sep 1997</w:t>
            </w:r>
          </w:p>
        </w:tc>
      </w:tr>
      <w:tr>
        <w:trPr>
          <w:cantSplit/>
        </w:trPr>
        <w:tc>
          <w:tcPr>
            <w:tcW w:w="3119" w:type="dxa"/>
          </w:tcPr>
          <w:p>
            <w:pPr>
              <w:pStyle w:val="nTable"/>
              <w:spacing w:after="40"/>
              <w:ind w:right="170"/>
              <w:rPr>
                <w:sz w:val="19"/>
              </w:rPr>
            </w:pPr>
            <w:r>
              <w:rPr>
                <w:i/>
                <w:sz w:val="19"/>
              </w:rPr>
              <w:t>Western Australian Meat Industry Authority Amendment Regulations 1998</w:t>
            </w:r>
          </w:p>
        </w:tc>
        <w:tc>
          <w:tcPr>
            <w:tcW w:w="1276" w:type="dxa"/>
          </w:tcPr>
          <w:p>
            <w:pPr>
              <w:pStyle w:val="nTable"/>
              <w:spacing w:after="40"/>
              <w:rPr>
                <w:sz w:val="19"/>
              </w:rPr>
            </w:pPr>
            <w:r>
              <w:rPr>
                <w:sz w:val="19"/>
              </w:rPr>
              <w:t>3 Jul 1998 p. 3581</w:t>
            </w:r>
          </w:p>
        </w:tc>
        <w:tc>
          <w:tcPr>
            <w:tcW w:w="2693" w:type="dxa"/>
          </w:tcPr>
          <w:p>
            <w:pPr>
              <w:pStyle w:val="nTable"/>
              <w:spacing w:after="40"/>
              <w:rPr>
                <w:sz w:val="19"/>
              </w:rPr>
            </w:pPr>
            <w:r>
              <w:rPr>
                <w:sz w:val="19"/>
              </w:rPr>
              <w:t>3 Jul 1998</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Western Australian Meat Industry Authority Regulations 1985 </w:t>
            </w:r>
            <w:r>
              <w:rPr>
                <w:b/>
                <w:bCs/>
                <w:iCs/>
                <w:sz w:val="19"/>
              </w:rPr>
              <w:t>as at 22 Oct 1999</w:t>
            </w:r>
            <w:r>
              <w:rPr>
                <w:iCs/>
                <w:sz w:val="19"/>
              </w:rPr>
              <w:t xml:space="preserve"> (includes amendments listed above)</w:t>
            </w:r>
            <w:r>
              <w:rPr>
                <w:i/>
                <w:sz w:val="19"/>
              </w:rPr>
              <w:t xml:space="preserve"> </w:t>
            </w:r>
          </w:p>
        </w:tc>
      </w:tr>
      <w:tr>
        <w:trPr>
          <w:cantSplit/>
        </w:trPr>
        <w:tc>
          <w:tcPr>
            <w:tcW w:w="3119" w:type="dxa"/>
          </w:tcPr>
          <w:p>
            <w:pPr>
              <w:pStyle w:val="nTable"/>
              <w:spacing w:after="40"/>
              <w:ind w:right="170"/>
              <w:rPr>
                <w:i/>
                <w:sz w:val="19"/>
              </w:rPr>
            </w:pPr>
            <w:r>
              <w:rPr>
                <w:i/>
                <w:sz w:val="19"/>
              </w:rPr>
              <w:t>Western Australian Meat Industry Authority Amendment Regulations 2000</w:t>
            </w:r>
          </w:p>
        </w:tc>
        <w:tc>
          <w:tcPr>
            <w:tcW w:w="1276" w:type="dxa"/>
          </w:tcPr>
          <w:p>
            <w:pPr>
              <w:pStyle w:val="nTable"/>
              <w:spacing w:after="40"/>
              <w:rPr>
                <w:sz w:val="19"/>
              </w:rPr>
            </w:pPr>
            <w:r>
              <w:rPr>
                <w:sz w:val="19"/>
              </w:rPr>
              <w:t>30 Jun 2000 p. 3398</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70"/>
              <w:rPr>
                <w:i/>
                <w:sz w:val="19"/>
              </w:rPr>
            </w:pPr>
            <w:r>
              <w:rPr>
                <w:i/>
                <w:sz w:val="19"/>
              </w:rPr>
              <w:t>Western Australian Meat Industry Authority Amendment Regulations 2002</w:t>
            </w:r>
          </w:p>
        </w:tc>
        <w:tc>
          <w:tcPr>
            <w:tcW w:w="1276" w:type="dxa"/>
          </w:tcPr>
          <w:p>
            <w:pPr>
              <w:pStyle w:val="nTable"/>
              <w:spacing w:after="40"/>
              <w:rPr>
                <w:sz w:val="19"/>
              </w:rPr>
            </w:pPr>
            <w:r>
              <w:rPr>
                <w:sz w:val="19"/>
              </w:rPr>
              <w:t>13 Dec 2002 p. 5794</w:t>
            </w:r>
            <w:r>
              <w:rPr>
                <w:sz w:val="19"/>
              </w:rPr>
              <w:noBreakHyphen/>
              <w:t>5</w:t>
            </w:r>
          </w:p>
        </w:tc>
        <w:tc>
          <w:tcPr>
            <w:tcW w:w="2693" w:type="dxa"/>
          </w:tcPr>
          <w:p>
            <w:pPr>
              <w:pStyle w:val="nTable"/>
              <w:spacing w:after="40"/>
              <w:rPr>
                <w:sz w:val="19"/>
              </w:rPr>
            </w:pPr>
            <w:r>
              <w:rPr>
                <w:sz w:val="19"/>
              </w:rPr>
              <w:t>13 Dec 2002</w:t>
            </w:r>
          </w:p>
        </w:tc>
      </w:tr>
      <w:tr>
        <w:trPr>
          <w:cantSplit/>
        </w:trPr>
        <w:tc>
          <w:tcPr>
            <w:tcW w:w="3119" w:type="dxa"/>
          </w:tcPr>
          <w:p>
            <w:pPr>
              <w:pStyle w:val="nTable"/>
              <w:spacing w:after="40"/>
              <w:ind w:right="170"/>
              <w:rPr>
                <w:i/>
                <w:sz w:val="19"/>
              </w:rPr>
            </w:pPr>
            <w:r>
              <w:rPr>
                <w:i/>
                <w:sz w:val="19"/>
              </w:rPr>
              <w:t>Western Australian Meat Industry Authority Amendment Regulations 2003</w:t>
            </w:r>
          </w:p>
        </w:tc>
        <w:tc>
          <w:tcPr>
            <w:tcW w:w="1276" w:type="dxa"/>
          </w:tcPr>
          <w:p>
            <w:pPr>
              <w:pStyle w:val="nTable"/>
              <w:spacing w:after="40"/>
              <w:rPr>
                <w:sz w:val="19"/>
              </w:rPr>
            </w:pPr>
            <w:r>
              <w:rPr>
                <w:sz w:val="19"/>
              </w:rPr>
              <w:t>4 Apr 2003 p. 1023</w:t>
            </w:r>
            <w:r>
              <w:rPr>
                <w:sz w:val="19"/>
              </w:rPr>
              <w:noBreakHyphen/>
              <w:t>4</w:t>
            </w:r>
          </w:p>
        </w:tc>
        <w:tc>
          <w:tcPr>
            <w:tcW w:w="2693" w:type="dxa"/>
          </w:tcPr>
          <w:p>
            <w:pPr>
              <w:pStyle w:val="nTable"/>
              <w:spacing w:after="40"/>
              <w:rPr>
                <w:sz w:val="19"/>
              </w:rPr>
            </w:pPr>
            <w:r>
              <w:rPr>
                <w:sz w:val="19"/>
              </w:rPr>
              <w:t>4 Apr 2003</w:t>
            </w:r>
          </w:p>
        </w:tc>
      </w:tr>
      <w:tr>
        <w:trPr>
          <w:cantSplit/>
        </w:trPr>
        <w:tc>
          <w:tcPr>
            <w:tcW w:w="3119" w:type="dxa"/>
          </w:tcPr>
          <w:p>
            <w:pPr>
              <w:pStyle w:val="nTable"/>
              <w:spacing w:after="40"/>
              <w:ind w:right="170"/>
              <w:rPr>
                <w:i/>
                <w:sz w:val="19"/>
              </w:rPr>
            </w:pPr>
            <w:r>
              <w:rPr>
                <w:i/>
                <w:sz w:val="19"/>
              </w:rPr>
              <w:t>Western Australian Meat Industry Authority Amendment Regulations (No. 2) 2003</w:t>
            </w:r>
          </w:p>
        </w:tc>
        <w:tc>
          <w:tcPr>
            <w:tcW w:w="1276" w:type="dxa"/>
          </w:tcPr>
          <w:p>
            <w:pPr>
              <w:pStyle w:val="nTable"/>
              <w:spacing w:after="40"/>
              <w:rPr>
                <w:sz w:val="19"/>
              </w:rPr>
            </w:pPr>
            <w:r>
              <w:rPr>
                <w:sz w:val="19"/>
              </w:rPr>
              <w:t>17 Oct 2003 p. 4435</w:t>
            </w:r>
          </w:p>
        </w:tc>
        <w:tc>
          <w:tcPr>
            <w:tcW w:w="2693" w:type="dxa"/>
          </w:tcPr>
          <w:p>
            <w:pPr>
              <w:pStyle w:val="nTable"/>
              <w:spacing w:after="40"/>
              <w:rPr>
                <w:sz w:val="19"/>
              </w:rPr>
            </w:pPr>
            <w:r>
              <w:rPr>
                <w:sz w:val="19"/>
              </w:rPr>
              <w:t>17 Oct 2003</w:t>
            </w:r>
          </w:p>
        </w:tc>
      </w:tr>
      <w:tr>
        <w:trPr>
          <w:cantSplit/>
        </w:trPr>
        <w:tc>
          <w:tcPr>
            <w:tcW w:w="3119" w:type="dxa"/>
          </w:tcPr>
          <w:p>
            <w:pPr>
              <w:pStyle w:val="nTable"/>
              <w:spacing w:after="40"/>
              <w:ind w:right="170"/>
              <w:rPr>
                <w:i/>
                <w:sz w:val="19"/>
              </w:rPr>
            </w:pPr>
            <w:r>
              <w:rPr>
                <w:i/>
                <w:sz w:val="19"/>
              </w:rPr>
              <w:t>Western Australian Meat Industry Authority Amendment Regulations 2004</w:t>
            </w:r>
          </w:p>
        </w:tc>
        <w:tc>
          <w:tcPr>
            <w:tcW w:w="1276" w:type="dxa"/>
          </w:tcPr>
          <w:p>
            <w:pPr>
              <w:pStyle w:val="nTable"/>
              <w:spacing w:after="40"/>
              <w:rPr>
                <w:sz w:val="19"/>
              </w:rPr>
            </w:pPr>
            <w:r>
              <w:rPr>
                <w:sz w:val="19"/>
              </w:rPr>
              <w:t>15 Jun 2004 p. 2023</w:t>
            </w:r>
            <w:r>
              <w:rPr>
                <w:sz w:val="19"/>
              </w:rPr>
              <w:noBreakHyphen/>
              <w:t>4</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70"/>
              <w:rPr>
                <w:i/>
                <w:sz w:val="19"/>
              </w:rPr>
            </w:pPr>
            <w:r>
              <w:rPr>
                <w:i/>
                <w:sz w:val="19"/>
              </w:rPr>
              <w:t>Western Australian Meat Industry Authority Amendment Regulations (No. 2) 2004</w:t>
            </w:r>
          </w:p>
        </w:tc>
        <w:tc>
          <w:tcPr>
            <w:tcW w:w="1276" w:type="dxa"/>
          </w:tcPr>
          <w:p>
            <w:pPr>
              <w:pStyle w:val="nTable"/>
              <w:spacing w:after="40"/>
              <w:rPr>
                <w:sz w:val="19"/>
              </w:rPr>
            </w:pPr>
            <w:r>
              <w:rPr>
                <w:sz w:val="19"/>
              </w:rPr>
              <w:t>30 Dec 2004 p. 6902</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70"/>
              <w:rPr>
                <w:i/>
                <w:sz w:val="19"/>
              </w:rPr>
            </w:pPr>
            <w:r>
              <w:rPr>
                <w:i/>
                <w:sz w:val="19"/>
              </w:rPr>
              <w:t>Western Australian Meat Industry Authority Amendment Regulations 2005</w:t>
            </w:r>
          </w:p>
        </w:tc>
        <w:tc>
          <w:tcPr>
            <w:tcW w:w="1276" w:type="dxa"/>
          </w:tcPr>
          <w:p>
            <w:pPr>
              <w:pStyle w:val="nTable"/>
              <w:spacing w:after="40"/>
              <w:rPr>
                <w:sz w:val="19"/>
              </w:rPr>
            </w:pPr>
            <w:r>
              <w:rPr>
                <w:sz w:val="19"/>
              </w:rPr>
              <w:t>23 Aug 2005 p. 3907</w:t>
            </w:r>
            <w:r>
              <w:rPr>
                <w:sz w:val="19"/>
              </w:rPr>
              <w:noBreakHyphen/>
              <w:t>8</w:t>
            </w:r>
          </w:p>
        </w:tc>
        <w:tc>
          <w:tcPr>
            <w:tcW w:w="2693" w:type="dxa"/>
          </w:tcPr>
          <w:p>
            <w:pPr>
              <w:pStyle w:val="nTable"/>
              <w:spacing w:after="40"/>
              <w:rPr>
                <w:sz w:val="19"/>
              </w:rPr>
            </w:pPr>
            <w:r>
              <w:rPr>
                <w:sz w:val="19"/>
              </w:rPr>
              <w:t>23 Aug 2005</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2: The </w:t>
            </w:r>
            <w:r>
              <w:rPr>
                <w:b/>
                <w:bCs/>
                <w:i/>
                <w:sz w:val="19"/>
              </w:rPr>
              <w:t xml:space="preserve">Western Australian Meat Industry Authority Regulations 1985 </w:t>
            </w:r>
            <w:r>
              <w:rPr>
                <w:b/>
                <w:bCs/>
                <w:iCs/>
                <w:sz w:val="19"/>
              </w:rPr>
              <w:t>as at 3 Feb 2006</w:t>
            </w:r>
            <w:r>
              <w:rPr>
                <w:iCs/>
                <w:sz w:val="19"/>
              </w:rPr>
              <w:t xml:space="preserve"> (includes amendments listed above)</w:t>
            </w:r>
          </w:p>
        </w:tc>
      </w:tr>
    </w:tbl>
    <w:p>
      <w:pPr>
        <w:pStyle w:val="nSubsection"/>
      </w:pPr>
      <w:r>
        <w:rPr>
          <w:vertAlign w:val="superscript"/>
        </w:rPr>
        <w:t>2</w:t>
      </w:r>
      <w:r>
        <w:tab/>
        <w:t xml:space="preserve">Repealed by the </w:t>
      </w:r>
      <w:r>
        <w:rPr>
          <w:i/>
          <w:iCs/>
        </w:rPr>
        <w:t>Health (Meat Hygiene) Regulations 2001</w:t>
      </w:r>
      <w:r>
        <w:t>.</w:t>
      </w:r>
    </w:p>
    <w:p>
      <w:pPr>
        <w:pStyle w:val="nSubsection"/>
        <w:rPr>
          <w:vertAlign w:val="superscript"/>
        </w:rPr>
      </w:pPr>
      <w:r>
        <w:rPr>
          <w:snapToGrid w:val="0"/>
          <w:vertAlign w:val="superscript"/>
        </w:rPr>
        <w:t>3</w:t>
      </w:r>
      <w:r>
        <w:rPr>
          <w:snapToGrid w:val="0"/>
          <w:vertAlign w:val="superscript"/>
        </w:rPr>
        <w:tab/>
      </w:r>
      <w:r>
        <w:rPr>
          <w:snapToGrid w:val="0"/>
        </w:rPr>
        <w:t xml:space="preserve">Under the </w:t>
      </w:r>
      <w:r>
        <w:rPr>
          <w:i/>
          <w:snapToGrid w:val="0"/>
        </w:rPr>
        <w:t>Alteration of Statutory Designations Order (No. 3)</w:t>
      </w:r>
      <w:r>
        <w:rPr>
          <w:i/>
          <w:iCs/>
          <w:snapToGrid w:val="0"/>
        </w:rPr>
        <w:t xml:space="preserve"> </w:t>
      </w:r>
      <w:r>
        <w:rPr>
          <w:i/>
          <w:snapToGrid w:val="0"/>
        </w:rPr>
        <w:t>2001</w:t>
      </w:r>
      <w:r>
        <w:rPr>
          <w:snapToGrid w:val="0"/>
        </w:rPr>
        <w:t xml:space="preserve"> a reference in any law to the Health Department shall be read as a reference to the Department of Health.</w:t>
      </w:r>
    </w:p>
    <w:p>
      <w:pPr>
        <w:pStyle w:val="nSubsection"/>
      </w:pPr>
      <w:r>
        <w:rPr>
          <w:vertAlign w:val="superscript"/>
        </w:rPr>
        <w:t>4</w:t>
      </w:r>
      <w:r>
        <w:tab/>
        <w:t xml:space="preserve">Disallowed on 22 Oct 1991, see </w:t>
      </w:r>
      <w:r>
        <w:rPr>
          <w:i/>
          <w:iCs/>
        </w:rPr>
        <w:t xml:space="preserve">Gazette </w:t>
      </w:r>
      <w:r>
        <w:t>25 Oct 1991 p. 5499.</w:t>
      </w:r>
      <w:bookmarkStart w:id="310" w:name="_Hlt507579217"/>
      <w:bookmarkEnd w:id="310"/>
    </w:p>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pPr>
        <w:pStyle w:val="nSubsection"/>
      </w:pPr>
    </w:p>
    <w:sectPr>
      <w:headerReference w:type="even" r:id="rId48"/>
      <w:headerReference w:type="default" r:id="rId4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Meat Industry Authority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Standard carcases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Meat Industry Authority Regulations 1985</w:t>
            </w:r>
          </w:fldSimple>
        </w:p>
      </w:tc>
    </w:tr>
    <w:tr>
      <w:tc>
        <w:tcPr>
          <w:tcW w:w="5715" w:type="dxa"/>
          <w:vAlign w:val="bottom"/>
        </w:tcPr>
        <w:p>
          <w:pPr>
            <w:pStyle w:val="HeaderTextRight"/>
          </w:pPr>
          <w:fldSimple w:instr=" styleref CharSchText ">
            <w:r>
              <w:rPr>
                <w:noProof/>
              </w:rPr>
              <w:t>Standard carcases</w:t>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Meat Industry Authority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Meat Industry Authority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image" Target="media/image8.png"/><Relationship Id="rId42" Type="http://schemas.openxmlformats.org/officeDocument/2006/relationships/header" Target="header14.xml"/><Relationship Id="rId47" Type="http://schemas.openxmlformats.org/officeDocument/2006/relationships/header" Target="header19.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7.png"/><Relationship Id="rId38" Type="http://schemas.openxmlformats.org/officeDocument/2006/relationships/header" Target="header10.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image" Target="media/image6.png"/><Relationship Id="rId37" Type="http://schemas.openxmlformats.org/officeDocument/2006/relationships/image" Target="media/image11.png"/><Relationship Id="rId40" Type="http://schemas.openxmlformats.org/officeDocument/2006/relationships/header" Target="header12.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image" Target="media/image10.png"/><Relationship Id="rId49"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oleObject" Target="embeddings/oleObject1.bin"/><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5.png"/><Relationship Id="rId35" Type="http://schemas.openxmlformats.org/officeDocument/2006/relationships/image" Target="media/image9.png"/><Relationship Id="rId43" Type="http://schemas.openxmlformats.org/officeDocument/2006/relationships/header" Target="header15.xml"/><Relationship Id="rId48" Type="http://schemas.openxmlformats.org/officeDocument/2006/relationships/header" Target="header20.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9388</Words>
  <Characters>50884</Characters>
  <Application>Microsoft Office Word</Application>
  <DocSecurity>0</DocSecurity>
  <Lines>1496</Lines>
  <Paragraphs>941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59331</CharactersWithSpaces>
  <SharedDoc>false</SharedDoc>
  <HLinks>
    <vt:vector size="60" baseType="variant">
      <vt:variant>
        <vt:i4>3014716</vt:i4>
      </vt:variant>
      <vt:variant>
        <vt:i4>4600</vt:i4>
      </vt:variant>
      <vt:variant>
        <vt:i4>1025</vt:i4>
      </vt:variant>
      <vt:variant>
        <vt:i4>1</vt:i4>
      </vt:variant>
      <vt:variant>
        <vt:lpwstr>C:\Program Files\PCO DLL\Support\Crest.wpg</vt:lpwstr>
      </vt:variant>
      <vt:variant>
        <vt:lpwstr/>
      </vt:variant>
      <vt:variant>
        <vt:i4>2686990</vt:i4>
      </vt:variant>
      <vt:variant>
        <vt:i4>38594</vt:i4>
      </vt:variant>
      <vt:variant>
        <vt:i4>1026</vt:i4>
      </vt:variant>
      <vt:variant>
        <vt:i4>1</vt:i4>
      </vt:variant>
      <vt:variant>
        <vt:lpwstr>\\Pcosrv\public$\Scanning\Lamb.gif</vt:lpwstr>
      </vt:variant>
      <vt:variant>
        <vt:lpwstr/>
      </vt:variant>
      <vt:variant>
        <vt:i4>7274524</vt:i4>
      </vt:variant>
      <vt:variant>
        <vt:i4>38638</vt:i4>
      </vt:variant>
      <vt:variant>
        <vt:i4>1027</vt:i4>
      </vt:variant>
      <vt:variant>
        <vt:i4>1</vt:i4>
      </vt:variant>
      <vt:variant>
        <vt:lpwstr>\\Pcosrv\public$\Scanning\Lamb2.gif</vt:lpwstr>
      </vt:variant>
      <vt:variant>
        <vt:lpwstr/>
      </vt:variant>
      <vt:variant>
        <vt:i4>5636197</vt:i4>
      </vt:variant>
      <vt:variant>
        <vt:i4>38710</vt:i4>
      </vt:variant>
      <vt:variant>
        <vt:i4>1028</vt:i4>
      </vt:variant>
      <vt:variant>
        <vt:i4>1</vt:i4>
      </vt:variant>
      <vt:variant>
        <vt:lpwstr>\\Pcosrv\public$\Scanning\Hogget.gif</vt:lpwstr>
      </vt:variant>
      <vt:variant>
        <vt:lpwstr/>
      </vt:variant>
      <vt:variant>
        <vt:i4>1048695</vt:i4>
      </vt:variant>
      <vt:variant>
        <vt:i4>38753</vt:i4>
      </vt:variant>
      <vt:variant>
        <vt:i4>1029</vt:i4>
      </vt:variant>
      <vt:variant>
        <vt:i4>1</vt:i4>
      </vt:variant>
      <vt:variant>
        <vt:lpwstr>\\Pcosrv\public$\Scanning\Hogget2.gif</vt:lpwstr>
      </vt:variant>
      <vt:variant>
        <vt:lpwstr/>
      </vt:variant>
      <vt:variant>
        <vt:i4>1048694</vt:i4>
      </vt:variant>
      <vt:variant>
        <vt:i4>38790</vt:i4>
      </vt:variant>
      <vt:variant>
        <vt:i4>1030</vt:i4>
      </vt:variant>
      <vt:variant>
        <vt:i4>1</vt:i4>
      </vt:variant>
      <vt:variant>
        <vt:lpwstr>\\Pcosrv\public$\Scanning\Hogget3.gif</vt:lpwstr>
      </vt:variant>
      <vt:variant>
        <vt:lpwstr/>
      </vt:variant>
      <vt:variant>
        <vt:i4>2686984</vt:i4>
      </vt:variant>
      <vt:variant>
        <vt:i4>38799</vt:i4>
      </vt:variant>
      <vt:variant>
        <vt:i4>1031</vt:i4>
      </vt:variant>
      <vt:variant>
        <vt:i4>1</vt:i4>
      </vt:variant>
      <vt:variant>
        <vt:lpwstr>\\Pcosrv\public$\Scanning\Beef.gif</vt:lpwstr>
      </vt:variant>
      <vt:variant>
        <vt:lpwstr/>
      </vt:variant>
      <vt:variant>
        <vt:i4>7274522</vt:i4>
      </vt:variant>
      <vt:variant>
        <vt:i4>38808</vt:i4>
      </vt:variant>
      <vt:variant>
        <vt:i4>1032</vt:i4>
      </vt:variant>
      <vt:variant>
        <vt:i4>1</vt:i4>
      </vt:variant>
      <vt:variant>
        <vt:lpwstr>\\Pcosrv\public$\Scanning\Beef2.gif</vt:lpwstr>
      </vt:variant>
      <vt:variant>
        <vt:lpwstr/>
      </vt:variant>
      <vt:variant>
        <vt:i4>7274523</vt:i4>
      </vt:variant>
      <vt:variant>
        <vt:i4>38817</vt:i4>
      </vt:variant>
      <vt:variant>
        <vt:i4>1033</vt:i4>
      </vt:variant>
      <vt:variant>
        <vt:i4>1</vt:i4>
      </vt:variant>
      <vt:variant>
        <vt:lpwstr>\\Pcosrv\public$\Scanning\Beef3.gif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1985 - 02-a0-02</dc:title>
  <dc:subject/>
  <dc:creator/>
  <cp:keywords/>
  <dc:description/>
  <cp:lastModifiedBy>svcMRProcess</cp:lastModifiedBy>
  <cp:revision>4</cp:revision>
  <cp:lastPrinted>2006-03-03T06:52:00Z</cp:lastPrinted>
  <dcterms:created xsi:type="dcterms:W3CDTF">2020-02-29T08:04:00Z</dcterms:created>
  <dcterms:modified xsi:type="dcterms:W3CDTF">2020-02-29T08:04:00Z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CommencementDate">
    <vt:lpwstr>20060203</vt:lpwstr>
  </property>
  <property fmtid="{D5CDD505-2E9C-101B-9397-08002B2CF9AE}" pid="4" name="DocumentType">
    <vt:lpwstr>Reg</vt:lpwstr>
  </property>
  <property fmtid="{D5CDD505-2E9C-101B-9397-08002B2CF9AE}" pid="5" name="OwlsUID">
    <vt:i4>4873</vt:i4>
  </property>
  <property fmtid="{D5CDD505-2E9C-101B-9397-08002B2CF9AE}" pid="6" name="ReprintNo">
    <vt:lpwstr>2</vt:lpwstr>
  </property>
  <property fmtid="{D5CDD505-2E9C-101B-9397-08002B2CF9AE}" pid="7" name="AsAtDate">
    <vt:lpwstr>03 Feb 2006</vt:lpwstr>
  </property>
  <property fmtid="{D5CDD505-2E9C-101B-9397-08002B2CF9AE}" pid="8" name="Suffix">
    <vt:lpwstr>02-a0-02</vt:lpwstr>
  </property>
</Properties>
</file>