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Interpretation Act 1984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_Toc155085449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_Toc155085450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_Toc155085451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_Toc155085452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interpretation provisions</w:t>
      </w:r>
    </w:p>
    <w:p>
      <w:pPr>
        <w:pStyle w:val="TOC8"/>
        <w:rPr>
          <w:rFonts w:asciiTheme="minorHAnsi" w:eastAsiaTheme="minorEastAsia" w:hAnsiTheme="minorHAnsi" w:cstheme="minorBidi"/>
          <w:szCs w:val="22"/>
        </w:rPr>
      </w:pPr>
      <w:r>
        <w:t>5</w:t>
      </w:r>
      <w:r>
        <w:rPr>
          <w:snapToGrid w:val="0"/>
        </w:rPr>
        <w:t>.</w:t>
      </w:r>
      <w:r>
        <w:rPr>
          <w:snapToGrid w:val="0"/>
        </w:rPr>
        <w:tab/>
        <w:t>Terms used in written laws</w:t>
      </w:r>
      <w:r>
        <w:tab/>
      </w:r>
      <w:r>
        <w:fldChar w:fldCharType="begin"/>
      </w:r>
      <w:r>
        <w:instrText xml:space="preserve"> PAGEREF _Toc155085454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Definitions in a written law, application of</w:t>
      </w:r>
      <w:r>
        <w:tab/>
      </w:r>
      <w:r>
        <w:fldChar w:fldCharType="begin"/>
      </w:r>
      <w:r>
        <w:instrText xml:space="preserve"> PAGEREF _Toc155085455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Written laws to be construed subject to State’s legislative power</w:t>
      </w:r>
      <w:r>
        <w:tab/>
      </w:r>
      <w:r>
        <w:fldChar w:fldCharType="begin"/>
      </w:r>
      <w:r>
        <w:instrText xml:space="preserve"> PAGEREF _Toc155085456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Written laws always speaking</w:t>
      </w:r>
      <w:r>
        <w:tab/>
      </w:r>
      <w:r>
        <w:fldChar w:fldCharType="begin"/>
      </w:r>
      <w:r>
        <w:instrText xml:space="preserve"> PAGEREF _Toc155085457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Parts of speech and grammatical forms</w:t>
      </w:r>
      <w:r>
        <w:tab/>
      </w:r>
      <w:r>
        <w:fldChar w:fldCharType="begin"/>
      </w:r>
      <w:r>
        <w:instrText xml:space="preserve"> PAGEREF _Toc155085458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Gender and number</w:t>
      </w:r>
      <w:r>
        <w:tab/>
      </w:r>
      <w:r>
        <w:fldChar w:fldCharType="begin"/>
      </w:r>
      <w:r>
        <w:instrText xml:space="preserve"> PAGEREF _Toc155085459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Sovereign, references to</w:t>
      </w:r>
      <w:r>
        <w:tab/>
      </w:r>
      <w:r>
        <w:fldChar w:fldCharType="begin"/>
      </w:r>
      <w:r>
        <w:instrText xml:space="preserve"> PAGEREF _Toc155085460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references to</w:t>
      </w:r>
      <w:r>
        <w:tab/>
      </w:r>
      <w:r>
        <w:fldChar w:fldCharType="begin"/>
      </w:r>
      <w:r>
        <w:instrText xml:space="preserve"> PAGEREF _Toc155085461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British subject etc., references to</w:t>
      </w:r>
      <w:r>
        <w:tab/>
      </w:r>
      <w:r>
        <w:fldChar w:fldCharType="begin"/>
      </w:r>
      <w:r>
        <w:instrText xml:space="preserve"> PAGEREF _Toc155085462 \h </w:instrText>
      </w:r>
      <w:r>
        <w:fldChar w:fldCharType="separate"/>
      </w:r>
      <w:r>
        <w:t>14</w:t>
      </w:r>
      <w:r>
        <w:fldChar w:fldCharType="end"/>
      </w:r>
    </w:p>
    <w:p>
      <w:pPr>
        <w:pStyle w:val="TOC8"/>
        <w:rPr>
          <w:rFonts w:asciiTheme="minorHAnsi" w:eastAsiaTheme="minorEastAsia" w:hAnsiTheme="minorHAnsi" w:cstheme="minorBidi"/>
          <w:szCs w:val="22"/>
        </w:rPr>
      </w:pPr>
      <w:r>
        <w:t>13A.</w:t>
      </w:r>
      <w:r>
        <w:tab/>
        <w:t>De facto relationship and de facto partner, references to</w:t>
      </w:r>
      <w:r>
        <w:tab/>
      </w:r>
      <w:r>
        <w:fldChar w:fldCharType="begin"/>
      </w:r>
      <w:r>
        <w:instrText xml:space="preserve"> PAGEREF _Toc155085463 \h </w:instrText>
      </w:r>
      <w:r>
        <w:fldChar w:fldCharType="separate"/>
      </w:r>
      <w:r>
        <w:t>15</w:t>
      </w:r>
      <w:r>
        <w:fldChar w:fldCharType="end"/>
      </w:r>
    </w:p>
    <w:p>
      <w:pPr>
        <w:pStyle w:val="TOC8"/>
        <w:rPr>
          <w:rFonts w:asciiTheme="minorHAnsi" w:eastAsiaTheme="minorEastAsia" w:hAnsiTheme="minorHAnsi" w:cstheme="minorBidi"/>
          <w:szCs w:val="22"/>
        </w:rPr>
      </w:pPr>
      <w:r>
        <w:t>13B.</w:t>
      </w:r>
      <w:r>
        <w:tab/>
        <w:t>Standards Association of Australia, references to</w:t>
      </w:r>
      <w:r>
        <w:tab/>
      </w:r>
      <w:r>
        <w:fldChar w:fldCharType="begin"/>
      </w:r>
      <w:r>
        <w:instrText xml:space="preserve"> PAGEREF _Toc155085464 \h </w:instrText>
      </w:r>
      <w:r>
        <w:fldChar w:fldCharType="separate"/>
      </w:r>
      <w:r>
        <w:t>16</w:t>
      </w:r>
      <w:r>
        <w:fldChar w:fldCharType="end"/>
      </w:r>
    </w:p>
    <w:p>
      <w:pPr>
        <w:pStyle w:val="TOC8"/>
        <w:rPr>
          <w:rFonts w:asciiTheme="minorHAnsi" w:eastAsiaTheme="minorEastAsia" w:hAnsiTheme="minorHAnsi" w:cstheme="minorBidi"/>
          <w:szCs w:val="22"/>
        </w:rPr>
      </w:pPr>
      <w:r>
        <w:t>13CA.</w:t>
      </w:r>
      <w:r>
        <w:tab/>
        <w:t>Local government districts, references to</w:t>
      </w:r>
      <w:r>
        <w:tab/>
      </w:r>
      <w:r>
        <w:fldChar w:fldCharType="begin"/>
      </w:r>
      <w:r>
        <w:instrText xml:space="preserve"> PAGEREF _Toc155085465 \h </w:instrText>
      </w:r>
      <w:r>
        <w:fldChar w:fldCharType="separate"/>
      </w:r>
      <w:r>
        <w:t>16</w:t>
      </w:r>
      <w:r>
        <w:fldChar w:fldCharType="end"/>
      </w:r>
    </w:p>
    <w:p>
      <w:pPr>
        <w:pStyle w:val="TOC8"/>
        <w:rPr>
          <w:rFonts w:asciiTheme="minorHAnsi" w:eastAsiaTheme="minorEastAsia" w:hAnsiTheme="minorHAnsi" w:cstheme="minorBidi"/>
          <w:szCs w:val="22"/>
        </w:rPr>
      </w:pPr>
      <w:r>
        <w:t>13C.</w:t>
      </w:r>
      <w:r>
        <w:tab/>
        <w:t>When death of a person occurs</w:t>
      </w:r>
      <w:r>
        <w:tab/>
      </w:r>
      <w:r>
        <w:fldChar w:fldCharType="begin"/>
      </w:r>
      <w:r>
        <w:instrText xml:space="preserve"> PAGEREF _Toc155085466 \h </w:instrText>
      </w:r>
      <w:r>
        <w:fldChar w:fldCharType="separate"/>
      </w:r>
      <w:r>
        <w:t>17</w:t>
      </w:r>
      <w:r>
        <w:fldChar w:fldCharType="end"/>
      </w:r>
    </w:p>
    <w:p>
      <w:pPr>
        <w:pStyle w:val="TOC8"/>
        <w:rPr>
          <w:rFonts w:asciiTheme="minorHAnsi" w:eastAsiaTheme="minorEastAsia" w:hAnsiTheme="minorHAnsi" w:cstheme="minorBidi"/>
          <w:szCs w:val="22"/>
        </w:rPr>
      </w:pPr>
      <w:r>
        <w:t>13D.</w:t>
      </w:r>
      <w:r>
        <w:tab/>
        <w:t>Bankrupt and related expressions, references to</w:t>
      </w:r>
      <w:r>
        <w:tab/>
      </w:r>
      <w:r>
        <w:fldChar w:fldCharType="begin"/>
      </w:r>
      <w:r>
        <w:instrText xml:space="preserve"> PAGEREF _Toc155085467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References to 2 or more provisions to be inclusive</w:t>
      </w:r>
      <w:r>
        <w:tab/>
      </w:r>
      <w:r>
        <w:fldChar w:fldCharType="begin"/>
      </w:r>
      <w:r>
        <w:instrText xml:space="preserve"> PAGEREF _Toc155085468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Internal references in written laws, construction of</w:t>
      </w:r>
      <w:r>
        <w:tab/>
      </w:r>
      <w:r>
        <w:fldChar w:fldCharType="begin"/>
      </w:r>
      <w:r>
        <w:instrText xml:space="preserve"> PAGEREF _Toc155085469 \h </w:instrText>
      </w:r>
      <w:r>
        <w:fldChar w:fldCharType="separate"/>
      </w:r>
      <w:r>
        <w:t>18</w:t>
      </w:r>
      <w:r>
        <w:fldChar w:fldCharType="end"/>
      </w:r>
    </w:p>
    <w:p>
      <w:pPr>
        <w:pStyle w:val="TOC8"/>
        <w:rPr>
          <w:rFonts w:asciiTheme="minorHAnsi" w:eastAsiaTheme="minorEastAsia" w:hAnsiTheme="minorHAnsi" w:cstheme="minorBidi"/>
          <w:szCs w:val="22"/>
        </w:rPr>
      </w:pPr>
      <w:r>
        <w:t>15A.</w:t>
      </w:r>
      <w:r>
        <w:tab/>
        <w:t>Reference to paragraph</w:t>
      </w:r>
      <w:r>
        <w:tab/>
      </w:r>
      <w:r>
        <w:fldChar w:fldCharType="begin"/>
      </w:r>
      <w:r>
        <w:instrText xml:space="preserve"> PAGEREF _Toc155085470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Reference to written law is to written law as amended</w:t>
      </w:r>
      <w:r>
        <w:tab/>
      </w:r>
      <w:r>
        <w:fldChar w:fldCharType="begin"/>
      </w:r>
      <w:r>
        <w:instrText xml:space="preserve"> PAGEREF _Toc155085471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Disjunctive construction of “or”</w:t>
      </w:r>
      <w:r>
        <w:tab/>
      </w:r>
      <w:r>
        <w:fldChar w:fldCharType="begin"/>
      </w:r>
      <w:r>
        <w:instrText xml:space="preserve"> PAGEREF _Toc155085472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Purpose or object of written law, use of in interpretation</w:t>
      </w:r>
      <w:r>
        <w:tab/>
      </w:r>
      <w:r>
        <w:fldChar w:fldCharType="begin"/>
      </w:r>
      <w:r>
        <w:instrText xml:space="preserve"> PAGEREF _Toc155085473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Extrinsic material, use of in interpretation</w:t>
      </w:r>
      <w:r>
        <w:tab/>
      </w:r>
      <w:r>
        <w:fldChar w:fldCharType="begin"/>
      </w:r>
      <w:r>
        <w:instrText xml:space="preserve"> PAGEREF _Toc155085474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Commencement and citation</w:t>
      </w:r>
    </w:p>
    <w:p>
      <w:pPr>
        <w:pStyle w:val="TOC8"/>
        <w:rPr>
          <w:rFonts w:asciiTheme="minorHAnsi" w:eastAsiaTheme="minorEastAsia" w:hAnsiTheme="minorHAnsi" w:cstheme="minorBidi"/>
          <w:szCs w:val="22"/>
        </w:rPr>
      </w:pPr>
      <w:r>
        <w:t>20</w:t>
      </w:r>
      <w:r>
        <w:rPr>
          <w:snapToGrid w:val="0"/>
        </w:rPr>
        <w:t>.</w:t>
      </w:r>
      <w:r>
        <w:rPr>
          <w:snapToGrid w:val="0"/>
        </w:rPr>
        <w:tab/>
        <w:t>Commencement of Acts</w:t>
      </w:r>
      <w:r>
        <w:tab/>
      </w:r>
      <w:r>
        <w:fldChar w:fldCharType="begin"/>
      </w:r>
      <w:r>
        <w:instrText xml:space="preserve"> PAGEREF _Toc155085476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Time of commencement of written laws</w:t>
      </w:r>
      <w:r>
        <w:tab/>
      </w:r>
      <w:r>
        <w:fldChar w:fldCharType="begin"/>
      </w:r>
      <w:r>
        <w:instrText xml:space="preserve"> PAGEREF _Toc155085477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 commencing on proclamation, commencement of certain provisions of</w:t>
      </w:r>
      <w:r>
        <w:tab/>
      </w:r>
      <w:r>
        <w:fldChar w:fldCharType="begin"/>
      </w:r>
      <w:r>
        <w:instrText xml:space="preserve"> PAGEREF _Toc155085478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Proclamation of commencement of Act, construction of power to make</w:t>
      </w:r>
      <w:r>
        <w:tab/>
      </w:r>
      <w:r>
        <w:fldChar w:fldCharType="begin"/>
      </w:r>
      <w:r>
        <w:instrText xml:space="preserve"> PAGEREF _Toc155085479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Some powers in Act may be exercised before it commences</w:t>
      </w:r>
      <w:r>
        <w:tab/>
      </w:r>
      <w:r>
        <w:fldChar w:fldCharType="begin"/>
      </w:r>
      <w:r>
        <w:instrText xml:space="preserve"> PAGEREF _Toc155085480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Citation of written laws</w:t>
      </w:r>
      <w:r>
        <w:tab/>
      </w:r>
      <w:r>
        <w:fldChar w:fldCharType="begin"/>
      </w:r>
      <w:r>
        <w:instrText xml:space="preserve"> PAGEREF _Toc155085481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References to commencement of written law if different provisions commence on different days</w:t>
      </w:r>
      <w:r>
        <w:tab/>
      </w:r>
      <w:r>
        <w:fldChar w:fldCharType="begin"/>
      </w:r>
      <w:r>
        <w:instrText xml:space="preserve"> PAGEREF _Toc155085482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Provisions as to enactment and operation of written law</w:t>
      </w:r>
    </w:p>
    <w:p>
      <w:pPr>
        <w:pStyle w:val="TOC8"/>
        <w:rPr>
          <w:rFonts w:asciiTheme="minorHAnsi" w:eastAsiaTheme="minorEastAsia" w:hAnsiTheme="minorHAnsi" w:cstheme="minorBidi"/>
          <w:szCs w:val="22"/>
        </w:rPr>
      </w:pPr>
      <w:r>
        <w:t>28</w:t>
      </w:r>
      <w:r>
        <w:rPr>
          <w:snapToGrid w:val="0"/>
        </w:rPr>
        <w:t>.</w:t>
      </w:r>
      <w:r>
        <w:rPr>
          <w:snapToGrid w:val="0"/>
        </w:rPr>
        <w:tab/>
        <w:t>Acts deemed public Acts</w:t>
      </w:r>
      <w:r>
        <w:tab/>
      </w:r>
      <w:r>
        <w:fldChar w:fldCharType="begin"/>
      </w:r>
      <w:r>
        <w:instrText xml:space="preserve"> PAGEREF _Toc155085484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Sections to be substantive enactments</w:t>
      </w:r>
      <w:r>
        <w:tab/>
      </w:r>
      <w:r>
        <w:fldChar w:fldCharType="begin"/>
      </w:r>
      <w:r>
        <w:instrText xml:space="preserve"> PAGEREF _Toc155085485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Act may be amended in same session</w:t>
      </w:r>
      <w:r>
        <w:tab/>
      </w:r>
      <w:r>
        <w:fldChar w:fldCharType="begin"/>
      </w:r>
      <w:r>
        <w:instrText xml:space="preserve"> PAGEREF _Toc155085486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Preambles, schedules etc. to form part of written law</w:t>
      </w:r>
      <w:r>
        <w:tab/>
      </w:r>
      <w:r>
        <w:fldChar w:fldCharType="begin"/>
      </w:r>
      <w:r>
        <w:instrText xml:space="preserve"> PAGEREF _Toc155085487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Headings, marginal notes and footnotes</w:t>
      </w:r>
      <w:r>
        <w:tab/>
      </w:r>
      <w:r>
        <w:fldChar w:fldCharType="begin"/>
      </w:r>
      <w:r>
        <w:instrText xml:space="preserve"> PAGEREF _Toc155085488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 — Repeal of written law</w:t>
      </w:r>
    </w:p>
    <w:p>
      <w:pPr>
        <w:pStyle w:val="TOC8"/>
        <w:rPr>
          <w:rFonts w:asciiTheme="minorHAnsi" w:eastAsiaTheme="minorEastAsia" w:hAnsiTheme="minorHAnsi" w:cstheme="minorBidi"/>
          <w:szCs w:val="22"/>
        </w:rPr>
      </w:pPr>
      <w:r>
        <w:t>33</w:t>
      </w:r>
      <w:r>
        <w:rPr>
          <w:snapToGrid w:val="0"/>
        </w:rPr>
        <w:t>.</w:t>
      </w:r>
      <w:r>
        <w:rPr>
          <w:snapToGrid w:val="0"/>
        </w:rPr>
        <w:tab/>
        <w:t>Repeal of written law includes repeal of amendments</w:t>
      </w:r>
      <w:r>
        <w:tab/>
      </w:r>
      <w:r>
        <w:fldChar w:fldCharType="begin"/>
      </w:r>
      <w:r>
        <w:instrText xml:space="preserve"> PAGEREF _Toc155085490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Repeal of repealing enactment, effect of</w:t>
      </w:r>
      <w:r>
        <w:tab/>
      </w:r>
      <w:r>
        <w:fldChar w:fldCharType="begin"/>
      </w:r>
      <w:r>
        <w:instrText xml:space="preserve"> PAGEREF _Toc155085491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Repeal and substitution of provision, effect of</w:t>
      </w:r>
      <w:r>
        <w:tab/>
      </w:r>
      <w:r>
        <w:fldChar w:fldCharType="begin"/>
      </w:r>
      <w:r>
        <w:instrText xml:space="preserve"> PAGEREF _Toc155085492 \h </w:instrText>
      </w:r>
      <w:r>
        <w:fldChar w:fldCharType="separate"/>
      </w:r>
      <w:r>
        <w:t>29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Repealing and re</w:t>
      </w:r>
      <w:r>
        <w:rPr>
          <w:snapToGrid w:val="0"/>
        </w:rPr>
        <w:noBreakHyphen/>
        <w:t>enacting a provision, effect of</w:t>
      </w:r>
      <w:r>
        <w:tab/>
      </w:r>
      <w:r>
        <w:fldChar w:fldCharType="begin"/>
      </w:r>
      <w:r>
        <w:instrText xml:space="preserve"> PAGEREF _Toc155085493 \h </w:instrText>
      </w:r>
      <w:r>
        <w:fldChar w:fldCharType="separate"/>
      </w:r>
      <w:r>
        <w:t>29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General savings on repeal</w:t>
      </w:r>
      <w:r>
        <w:tab/>
      </w:r>
      <w:r>
        <w:fldChar w:fldCharType="begin"/>
      </w:r>
      <w:r>
        <w:instrText xml:space="preserve"> PAGEREF _Toc155085494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Repeal of Act, effect of on subsidiary legislation</w:t>
      </w:r>
      <w:r>
        <w:tab/>
      </w:r>
      <w:r>
        <w:fldChar w:fldCharType="begin"/>
      </w:r>
      <w:r>
        <w:instrText xml:space="preserve"> PAGEREF _Toc155085495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Expiry of enactment, effect of</w:t>
      </w:r>
      <w:r>
        <w:tab/>
      </w:r>
      <w:r>
        <w:fldChar w:fldCharType="begin"/>
      </w:r>
      <w:r>
        <w:instrText xml:space="preserve"> PAGEREF _Toc155085496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 — Subsidiary legislation</w:t>
      </w:r>
    </w:p>
    <w:p>
      <w:pPr>
        <w:pStyle w:val="TOC8"/>
        <w:rPr>
          <w:rFonts w:asciiTheme="minorHAnsi" w:eastAsiaTheme="minorEastAsia" w:hAnsiTheme="minorHAnsi" w:cstheme="minorBidi"/>
          <w:szCs w:val="22"/>
        </w:rPr>
      </w:pPr>
      <w:r>
        <w:t>40</w:t>
      </w:r>
      <w:r>
        <w:rPr>
          <w:snapToGrid w:val="0"/>
        </w:rPr>
        <w:t>.</w:t>
      </w:r>
      <w:r>
        <w:rPr>
          <w:snapToGrid w:val="0"/>
        </w:rPr>
        <w:tab/>
        <w:t>Governor to make subsidiary legislation</w:t>
      </w:r>
      <w:r>
        <w:tab/>
      </w:r>
      <w:r>
        <w:fldChar w:fldCharType="begin"/>
      </w:r>
      <w:r>
        <w:instrText xml:space="preserve"> PAGEREF _Toc155085498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Publication and commencement of subsidiary legislation</w:t>
      </w:r>
      <w:r>
        <w:tab/>
      </w:r>
      <w:r>
        <w:fldChar w:fldCharType="begin"/>
      </w:r>
      <w:r>
        <w:instrText xml:space="preserve"> PAGEREF _Toc155085499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Laying regulations, rules, local laws and by</w:t>
      </w:r>
      <w:r>
        <w:rPr>
          <w:snapToGrid w:val="0"/>
        </w:rPr>
        <w:noBreakHyphen/>
        <w:t>laws before Parliament, and disallowance</w:t>
      </w:r>
      <w:r>
        <w:tab/>
      </w:r>
      <w:r>
        <w:fldChar w:fldCharType="begin"/>
      </w:r>
      <w:r>
        <w:instrText xml:space="preserve"> PAGEREF _Toc155085500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 to make subsidiary legislation, general provisions about</w:t>
      </w:r>
      <w:r>
        <w:tab/>
      </w:r>
      <w:r>
        <w:fldChar w:fldCharType="begin"/>
      </w:r>
      <w:r>
        <w:instrText xml:space="preserve"> PAGEREF _Toc155085501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Words and expressions in subsidiary legislation, meaning of</w:t>
      </w:r>
      <w:r>
        <w:tab/>
      </w:r>
      <w:r>
        <w:fldChar w:fldCharType="begin"/>
      </w:r>
      <w:r>
        <w:instrText xml:space="preserve"> PAGEREF _Toc155085502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and charges</w:t>
      </w:r>
      <w:r>
        <w:tab/>
      </w:r>
      <w:r>
        <w:fldChar w:fldCharType="begin"/>
      </w:r>
      <w:r>
        <w:instrText xml:space="preserve"> PAGEREF _Toc155085503 \h </w:instrText>
      </w:r>
      <w:r>
        <w:fldChar w:fldCharType="separate"/>
      </w:r>
      <w:r>
        <w:t>37</w:t>
      </w:r>
      <w:r>
        <w:fldChar w:fldCharType="end"/>
      </w:r>
    </w:p>
    <w:p>
      <w:pPr>
        <w:pStyle w:val="TOC8"/>
        <w:rPr>
          <w:rFonts w:asciiTheme="minorHAnsi" w:eastAsiaTheme="minorEastAsia" w:hAnsiTheme="minorHAnsi" w:cstheme="minorBidi"/>
          <w:szCs w:val="22"/>
        </w:rPr>
      </w:pPr>
      <w:r>
        <w:t>45A.</w:t>
      </w:r>
      <w:r>
        <w:tab/>
        <w:t>Fees for licences, effect of power to prescribe</w:t>
      </w:r>
      <w:r>
        <w:tab/>
      </w:r>
      <w:r>
        <w:fldChar w:fldCharType="begin"/>
      </w:r>
      <w:r>
        <w:instrText xml:space="preserve"> PAGEREF _Toc155085504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Reference to written law includes reference to subsidiary legislation made under it</w:t>
      </w:r>
      <w:r>
        <w:tab/>
      </w:r>
      <w:r>
        <w:fldChar w:fldCharType="begin"/>
      </w:r>
      <w:r>
        <w:instrText xml:space="preserve"> PAGEREF _Toc155085505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Acts done under subsidiary legislation deemed done under Act</w:t>
      </w:r>
      <w:r>
        <w:tab/>
      </w:r>
      <w:r>
        <w:fldChar w:fldCharType="begin"/>
      </w:r>
      <w:r>
        <w:instrText xml:space="preserve"> PAGEREF _Toc155085506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VII — Statutory powers and duties</w:t>
      </w:r>
    </w:p>
    <w:p>
      <w:pPr>
        <w:pStyle w:val="TOC8"/>
        <w:rPr>
          <w:rFonts w:asciiTheme="minorHAnsi" w:eastAsiaTheme="minorEastAsia" w:hAnsiTheme="minorHAnsi" w:cstheme="minorBidi"/>
          <w:szCs w:val="22"/>
        </w:rPr>
      </w:pPr>
      <w:r>
        <w:t>48</w:t>
      </w:r>
      <w:r>
        <w:rPr>
          <w:snapToGrid w:val="0"/>
        </w:rPr>
        <w:t>.</w:t>
      </w:r>
      <w:r>
        <w:rPr>
          <w:snapToGrid w:val="0"/>
        </w:rPr>
        <w:tab/>
        <w:t>Time for exercise of power or performance of duty</w:t>
      </w:r>
      <w:r>
        <w:tab/>
      </w:r>
      <w:r>
        <w:fldChar w:fldCharType="begin"/>
      </w:r>
      <w:r>
        <w:instrText xml:space="preserve"> PAGEREF _Toc155085508 \h </w:instrText>
      </w:r>
      <w:r>
        <w:fldChar w:fldCharType="separate"/>
      </w:r>
      <w:r>
        <w:t>40</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Judicial acts and service of process may be done on any day</w:t>
      </w:r>
      <w:r>
        <w:tab/>
      </w:r>
      <w:r>
        <w:fldChar w:fldCharType="begin"/>
      </w:r>
      <w:r>
        <w:instrText xml:space="preserve"> PAGEREF _Toc155085509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Public officer’s powers and duties may be exercised by acting officer etc.</w:t>
      </w:r>
      <w:r>
        <w:tab/>
      </w:r>
      <w:r>
        <w:fldChar w:fldCharType="begin"/>
      </w:r>
      <w:r>
        <w:instrText xml:space="preserve"> PAGEREF _Toc155085510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Statutory powers, construction of</w:t>
      </w:r>
      <w:r>
        <w:tab/>
      </w:r>
      <w:r>
        <w:fldChar w:fldCharType="begin"/>
      </w:r>
      <w:r>
        <w:instrText xml:space="preserve"> PAGEREF _Toc155085511 \h </w:instrText>
      </w:r>
      <w:r>
        <w:fldChar w:fldCharType="separate"/>
      </w:r>
      <w:r>
        <w:t>40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issue licences and other authorisations is discretionary</w:t>
      </w:r>
      <w:r>
        <w:tab/>
      </w:r>
      <w:r>
        <w:fldChar w:fldCharType="begin"/>
      </w:r>
      <w:r>
        <w:instrText xml:space="preserve"> PAGEREF _Toc155085512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to appoint includes power to remove, suspend, appoint acting officer etc.</w:t>
      </w:r>
      <w:r>
        <w:tab/>
      </w:r>
      <w:r>
        <w:fldChar w:fldCharType="begin"/>
      </w:r>
      <w:r>
        <w:instrText xml:space="preserve"> PAGEREF _Toc155085513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Appointments may be by name or office</w:t>
      </w:r>
      <w:r>
        <w:tab/>
      </w:r>
      <w:r>
        <w:fldChar w:fldCharType="begin"/>
      </w:r>
      <w:r>
        <w:instrText xml:space="preserve"> PAGEREF _Toc155085514 \h </w:instrText>
      </w:r>
      <w:r>
        <w:fldChar w:fldCharType="separate"/>
      </w:r>
      <w:r>
        <w:t>43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Statutory bodies, majority and quorum provisions</w:t>
      </w:r>
      <w:r>
        <w:tab/>
      </w:r>
      <w:r>
        <w:fldChar w:fldCharType="begin"/>
      </w:r>
      <w:r>
        <w:instrText xml:space="preserve"> PAGEREF _Toc155085515 \h </w:instrText>
      </w:r>
      <w:r>
        <w:fldChar w:fldCharType="separate"/>
      </w:r>
      <w:r>
        <w:t>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Errors when exercising certain powers or duties may be corrected</w:t>
      </w:r>
      <w:r>
        <w:tab/>
      </w:r>
      <w:r>
        <w:fldChar w:fldCharType="begin"/>
      </w:r>
      <w:r>
        <w:instrText xml:space="preserve"> PAGEREF _Toc155085516 \h </w:instrText>
      </w:r>
      <w:r>
        <w:fldChar w:fldCharType="separate"/>
      </w:r>
      <w:r>
        <w:t>44</w:t>
      </w:r>
      <w:r>
        <w:fldChar w:fldCharType="end"/>
      </w:r>
    </w:p>
    <w:p>
      <w:pPr>
        <w:pStyle w:val="TOC8"/>
        <w:rPr>
          <w:rFonts w:asciiTheme="minorHAnsi" w:eastAsiaTheme="minorEastAsia" w:hAnsiTheme="minorHAnsi" w:cstheme="minorBidi"/>
          <w:szCs w:val="22"/>
        </w:rPr>
      </w:pPr>
      <w:r>
        <w:rPr>
          <w:snapToGrid w:val="0"/>
        </w:rPr>
        <w:t>56.</w:t>
      </w:r>
      <w:r>
        <w:rPr>
          <w:snapToGrid w:val="0"/>
        </w:rPr>
        <w:tab/>
        <w:t>“May” imports a discretion, “shall” is imperative</w:t>
      </w:r>
      <w:r>
        <w:tab/>
      </w:r>
      <w:r>
        <w:fldChar w:fldCharType="begin"/>
      </w:r>
      <w:r>
        <w:instrText xml:space="preserve"> PAGEREF _Toc155085517 \h </w:instrText>
      </w:r>
      <w:r>
        <w:fldChar w:fldCharType="separate"/>
      </w:r>
      <w:r>
        <w:t>44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Statutory bodies, powers of not affected by vacancies etc.</w:t>
      </w:r>
      <w:r>
        <w:tab/>
      </w:r>
      <w:r>
        <w:fldChar w:fldCharType="begin"/>
      </w:r>
      <w:r>
        <w:instrText xml:space="preserve"> PAGEREF _Toc155085518 \h </w:instrText>
      </w:r>
      <w:r>
        <w:fldChar w:fldCharType="separate"/>
      </w:r>
      <w:r>
        <w:t>45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Delegates, performance of functions by</w:t>
      </w:r>
      <w:r>
        <w:tab/>
      </w:r>
      <w:r>
        <w:fldChar w:fldCharType="begin"/>
      </w:r>
      <w:r>
        <w:instrText xml:space="preserve"> PAGEREF _Toc155085519 \h </w:instrText>
      </w:r>
      <w:r>
        <w:fldChar w:fldCharType="separate"/>
      </w:r>
      <w:r>
        <w:t>45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Power to delegate, effect of</w:t>
      </w:r>
      <w:r>
        <w:tab/>
      </w:r>
      <w:r>
        <w:fldChar w:fldCharType="begin"/>
      </w:r>
      <w:r>
        <w:instrText xml:space="preserve"> PAGEREF _Toc155085520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Governor to act with advice of Executive Council</w:t>
      </w:r>
      <w:r>
        <w:tab/>
      </w:r>
      <w:r>
        <w:fldChar w:fldCharType="begin"/>
      </w:r>
      <w:r>
        <w:instrText xml:space="preserve"> PAGEREF _Toc155085521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VIII — Provisions regarding time and distance</w:t>
      </w:r>
    </w:p>
    <w:p>
      <w:pPr>
        <w:pStyle w:val="TOC8"/>
        <w:rPr>
          <w:rFonts w:asciiTheme="minorHAnsi" w:eastAsiaTheme="minorEastAsia" w:hAnsiTheme="minorHAnsi" w:cstheme="minorBidi"/>
          <w:szCs w:val="22"/>
        </w:rPr>
      </w:pPr>
      <w:r>
        <w:t>61</w:t>
      </w:r>
      <w:r>
        <w:rPr>
          <w:snapToGrid w:val="0"/>
        </w:rPr>
        <w:t>.</w:t>
      </w:r>
      <w:r>
        <w:rPr>
          <w:snapToGrid w:val="0"/>
        </w:rPr>
        <w:tab/>
        <w:t>Time, computation of</w:t>
      </w:r>
      <w:r>
        <w:tab/>
      </w:r>
      <w:r>
        <w:fldChar w:fldCharType="begin"/>
      </w:r>
      <w:r>
        <w:instrText xml:space="preserve"> PAGEREF _Toc155085523 \h </w:instrText>
      </w:r>
      <w:r>
        <w:fldChar w:fldCharType="separate"/>
      </w:r>
      <w:r>
        <w:t>47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Months, reckoning of</w:t>
      </w:r>
      <w:r>
        <w:tab/>
      </w:r>
      <w:r>
        <w:fldChar w:fldCharType="begin"/>
      </w:r>
      <w:r>
        <w:instrText xml:space="preserve"> PAGEREF _Toc155085524 \h </w:instrText>
      </w:r>
      <w:r>
        <w:fldChar w:fldCharType="separate"/>
      </w:r>
      <w:r>
        <w:t>48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Time for doing acts if no time fixed</w:t>
      </w:r>
      <w:r>
        <w:tab/>
      </w:r>
      <w:r>
        <w:fldChar w:fldCharType="begin"/>
      </w:r>
      <w:r>
        <w:instrText xml:space="preserve"> PAGEREF _Toc155085525 \h </w:instrText>
      </w:r>
      <w:r>
        <w:fldChar w:fldCharType="separate"/>
      </w:r>
      <w:r>
        <w:t>48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 to extend time, construction of</w:t>
      </w:r>
      <w:r>
        <w:tab/>
      </w:r>
      <w:r>
        <w:fldChar w:fldCharType="begin"/>
      </w:r>
      <w:r>
        <w:instrText xml:space="preserve"> PAGEREF _Toc155085526 \h </w:instrText>
      </w:r>
      <w:r>
        <w:fldChar w:fldCharType="separate"/>
      </w:r>
      <w:r>
        <w:t>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Distance, measurement of</w:t>
      </w:r>
      <w:r>
        <w:tab/>
      </w:r>
      <w:r>
        <w:fldChar w:fldCharType="begin"/>
      </w:r>
      <w:r>
        <w:instrText xml:space="preserve"> PAGEREF _Toc155085527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IX — Procedures and penalties</w:t>
      </w:r>
    </w:p>
    <w:p>
      <w:pPr>
        <w:pStyle w:val="TOC8"/>
        <w:rPr>
          <w:rFonts w:asciiTheme="minorHAnsi" w:eastAsiaTheme="minorEastAsia" w:hAnsiTheme="minorHAnsi" w:cstheme="minorBidi"/>
          <w:szCs w:val="22"/>
        </w:rPr>
      </w:pPr>
      <w:r>
        <w:t>66</w:t>
      </w:r>
      <w:r>
        <w:rPr>
          <w:snapToGrid w:val="0"/>
        </w:rPr>
        <w:t>.</w:t>
      </w:r>
      <w:r>
        <w:rPr>
          <w:snapToGrid w:val="0"/>
        </w:rPr>
        <w:tab/>
        <w:t>Rules of court</w:t>
      </w:r>
      <w:r>
        <w:tab/>
      </w:r>
      <w:r>
        <w:fldChar w:fldCharType="begin"/>
      </w:r>
      <w:r>
        <w:instrText xml:space="preserve"> PAGEREF _Toc155085529 \h </w:instrText>
      </w:r>
      <w:r>
        <w:fldChar w:fldCharType="separate"/>
      </w:r>
      <w:r>
        <w:t>50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Offences and proceedings for offences</w:t>
      </w:r>
      <w:r>
        <w:tab/>
      </w:r>
      <w:r>
        <w:fldChar w:fldCharType="begin"/>
      </w:r>
      <w:r>
        <w:instrText xml:space="preserve"> PAGEREF _Toc155085530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Bodies corporate, application of penal laws to</w:t>
      </w:r>
      <w:r>
        <w:tab/>
      </w:r>
      <w:r>
        <w:fldChar w:fldCharType="begin"/>
      </w:r>
      <w:r>
        <w:instrText xml:space="preserve"> PAGEREF _Toc155085531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Continuing offences</w:t>
      </w:r>
      <w:r>
        <w:tab/>
      </w:r>
      <w:r>
        <w:fldChar w:fldCharType="begin"/>
      </w:r>
      <w:r>
        <w:instrText xml:space="preserve"> PAGEREF _Toc155085532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Statutory penalties, construction of</w:t>
      </w:r>
      <w:r>
        <w:tab/>
      </w:r>
      <w:r>
        <w:fldChar w:fldCharType="begin"/>
      </w:r>
      <w:r>
        <w:instrText xml:space="preserve"> PAGEREF _Toc155085533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provisions</w:t>
      </w:r>
    </w:p>
    <w:p>
      <w:pPr>
        <w:pStyle w:val="TOC8"/>
        <w:rPr>
          <w:rFonts w:asciiTheme="minorHAnsi" w:eastAsiaTheme="minorEastAsia" w:hAnsiTheme="minorHAnsi" w:cstheme="minorBidi"/>
          <w:szCs w:val="22"/>
        </w:rPr>
      </w:pPr>
      <w:r>
        <w:t>73</w:t>
      </w:r>
      <w:r>
        <w:rPr>
          <w:snapToGrid w:val="0"/>
        </w:rPr>
        <w:t>.</w:t>
      </w:r>
      <w:r>
        <w:rPr>
          <w:snapToGrid w:val="0"/>
        </w:rPr>
        <w:tab/>
        <w:t>State deemed established 1 June 1829</w:t>
      </w:r>
      <w:r>
        <w:tab/>
      </w:r>
      <w:r>
        <w:fldChar w:fldCharType="begin"/>
      </w:r>
      <w:r>
        <w:instrText xml:space="preserve"> PAGEREF _Toc155085535 \h </w:instrText>
      </w:r>
      <w:r>
        <w:fldChar w:fldCharType="separate"/>
      </w:r>
      <w:r>
        <w:t>54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Prescribed forms, certain deviations do not invalidate</w:t>
      </w:r>
      <w:r>
        <w:tab/>
      </w:r>
      <w:r>
        <w:fldChar w:fldCharType="begin"/>
      </w:r>
      <w:r>
        <w:instrText xml:space="preserve"> PAGEREF _Toc155085536 \h </w:instrText>
      </w:r>
      <w:r>
        <w:fldChar w:fldCharType="separate"/>
      </w:r>
      <w:r>
        <w:t>54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Service of documents by post</w:t>
      </w:r>
      <w:r>
        <w:tab/>
      </w:r>
      <w:r>
        <w:fldChar w:fldCharType="begin"/>
      </w:r>
      <w:r>
        <w:instrText xml:space="preserve"> PAGEREF _Toc155085537 \h </w:instrText>
      </w:r>
      <w:r>
        <w:fldChar w:fldCharType="separate"/>
      </w:r>
      <w:r>
        <w:t>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Service of documents generally</w:t>
      </w:r>
      <w:r>
        <w:tab/>
      </w:r>
      <w:r>
        <w:fldChar w:fldCharType="begin"/>
      </w:r>
      <w:r>
        <w:instrText xml:space="preserve"> PAGEREF _Toc155085538 \h </w:instrText>
      </w:r>
      <w:r>
        <w:fldChar w:fldCharType="separate"/>
      </w:r>
      <w:r>
        <w:t>55</w:t>
      </w:r>
      <w:r>
        <w:fldChar w:fldCharType="end"/>
      </w:r>
    </w:p>
    <w:p>
      <w:pPr>
        <w:pStyle w:val="TOC8"/>
        <w:rPr>
          <w:rFonts w:asciiTheme="minorHAnsi" w:eastAsiaTheme="minorEastAsia" w:hAnsiTheme="minorHAnsi" w:cstheme="minorBidi"/>
          <w:szCs w:val="22"/>
        </w:rPr>
      </w:pPr>
      <w:r>
        <w:t>76A</w:t>
      </w:r>
      <w:r>
        <w:rPr>
          <w:snapToGrid w:val="0"/>
        </w:rPr>
        <w:t xml:space="preserve">. </w:t>
      </w:r>
      <w:r>
        <w:rPr>
          <w:snapToGrid w:val="0"/>
        </w:rPr>
        <w:tab/>
        <w:t>Written laws made before Australia Acts, validity of</w:t>
      </w:r>
      <w:r>
        <w:tab/>
      </w:r>
      <w:r>
        <w:fldChar w:fldCharType="begin"/>
      </w:r>
      <w:r>
        <w:instrText xml:space="preserve"> PAGEREF _Toc155085539 \h </w:instrText>
      </w:r>
      <w:r>
        <w:fldChar w:fldCharType="separate"/>
      </w:r>
      <w:r>
        <w:t>55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Repeal and saving</w:t>
      </w:r>
      <w:r>
        <w:tab/>
      </w:r>
      <w:r>
        <w:fldChar w:fldCharType="begin"/>
      </w:r>
      <w:r>
        <w:instrText xml:space="preserve"> PAGEREF _Toc155085540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_Toc155085542 \h </w:instrText>
      </w:r>
      <w:r>
        <w:fldChar w:fldCharType="separate"/>
      </w:r>
      <w:r>
        <w:t>57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_Toc155085543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3" w:name="_Toc155085448"/>
      <w:r>
        <w:rPr>
          <w:rStyle w:val="CharPartNo"/>
        </w:rPr>
        <w:lastRenderedPageBreak/>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155085449"/>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w:t>
      </w:r>
      <w:r>
        <w:rPr>
          <w:snapToGrid w:val="0"/>
        </w:rPr>
        <w:t>.</w:t>
      </w:r>
    </w:p>
    <w:p>
      <w:pPr>
        <w:pStyle w:val="Heading5"/>
        <w:rPr>
          <w:snapToGrid w:val="0"/>
        </w:rPr>
      </w:pPr>
      <w:bookmarkStart w:id="5" w:name="_Toc155085450"/>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6" w:name="_Toc155085451"/>
      <w:r>
        <w:rPr>
          <w:rStyle w:val="CharSectno"/>
        </w:rPr>
        <w:t>3</w:t>
      </w:r>
      <w:r>
        <w:rPr>
          <w:snapToGrid w:val="0"/>
        </w:rPr>
        <w:t>.</w:t>
      </w:r>
      <w:r>
        <w:rPr>
          <w:snapToGrid w:val="0"/>
        </w:rPr>
        <w:tab/>
        <w:t>Application</w:t>
      </w:r>
      <w:bookmarkEnd w:id="6"/>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50 or 64 to an Act, written law, enactment, or subsidiary legislation passed or made after the commencement of this Act shall be construed so as not to include any enactment which continues or directly amends, but does not repeal entirely, the text of an existing written law</w:t>
      </w:r>
      <w:r>
        <w:rPr>
          <w:snapToGrid w:val="0"/>
          <w:vertAlign w:val="superscript"/>
        </w:rPr>
        <w:t> 1</w:t>
      </w:r>
      <w:r>
        <w:rPr>
          <w:snapToGrid w:val="0"/>
        </w:rPr>
        <w:t>.</w:t>
      </w:r>
    </w:p>
    <w:p>
      <w:pPr>
        <w:pStyle w:val="Footnotesection"/>
      </w:pPr>
      <w:r>
        <w:tab/>
        <w:t>[Section 3 amended: No. 34 of 2020 s. 93.]</w:t>
      </w:r>
    </w:p>
    <w:p>
      <w:pPr>
        <w:pStyle w:val="Heading5"/>
        <w:rPr>
          <w:snapToGrid w:val="0"/>
        </w:rPr>
      </w:pPr>
      <w:bookmarkStart w:id="7" w:name="_Toc155085452"/>
      <w:r>
        <w:rPr>
          <w:rStyle w:val="CharSectno"/>
        </w:rPr>
        <w:t>4</w:t>
      </w:r>
      <w:r>
        <w:rPr>
          <w:snapToGrid w:val="0"/>
        </w:rPr>
        <w:t>.</w:t>
      </w:r>
      <w:r>
        <w:rPr>
          <w:snapToGrid w:val="0"/>
        </w:rPr>
        <w:tab/>
        <w:t>Act binds Crown</w:t>
      </w:r>
      <w:bookmarkEnd w:id="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8" w:name="_Toc155085453"/>
      <w:r>
        <w:rPr>
          <w:rStyle w:val="CharPartNo"/>
        </w:rPr>
        <w:lastRenderedPageBreak/>
        <w:t>Part II</w:t>
      </w:r>
      <w:r>
        <w:rPr>
          <w:rStyle w:val="CharDivNo"/>
        </w:rPr>
        <w:t> </w:t>
      </w:r>
      <w:r>
        <w:t>—</w:t>
      </w:r>
      <w:r>
        <w:rPr>
          <w:rStyle w:val="CharDivText"/>
        </w:rPr>
        <w:t> </w:t>
      </w:r>
      <w:r>
        <w:rPr>
          <w:rStyle w:val="CharPartText"/>
        </w:rPr>
        <w:t>General interpretation provisions</w:t>
      </w:r>
      <w:bookmarkEnd w:id="8"/>
      <w:r>
        <w:rPr>
          <w:rStyle w:val="CharPartText"/>
        </w:rPr>
        <w:t xml:space="preserve"> </w:t>
      </w:r>
    </w:p>
    <w:p>
      <w:pPr>
        <w:pStyle w:val="Heading5"/>
        <w:rPr>
          <w:snapToGrid w:val="0"/>
        </w:rPr>
      </w:pPr>
      <w:bookmarkStart w:id="9" w:name="_Toc155085454"/>
      <w:r>
        <w:rPr>
          <w:rStyle w:val="CharSectno"/>
        </w:rPr>
        <w:t>5</w:t>
      </w:r>
      <w:r>
        <w:rPr>
          <w:snapToGrid w:val="0"/>
        </w:rPr>
        <w:t>.</w:t>
      </w:r>
      <w:r>
        <w:rPr>
          <w:snapToGrid w:val="0"/>
        </w:rPr>
        <w:tab/>
        <w:t>Terms used in written laws</w:t>
      </w:r>
      <w:bookmarkEnd w:id="9"/>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lastRenderedPageBreak/>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lastRenderedPageBreak/>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lastRenderedPageBreak/>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tab/>
      </w:r>
      <w:r>
        <w:rPr>
          <w:rStyle w:val="CharDefText"/>
        </w:rPr>
        <w:t>Gazette</w:t>
      </w:r>
      <w:r>
        <w:t xml:space="preserve"> or </w:t>
      </w:r>
      <w:r>
        <w:rPr>
          <w:rStyle w:val="CharDefText"/>
        </w:rPr>
        <w:t>Government Gazette</w:t>
      </w:r>
      <w:r>
        <w:t xml:space="preserve"> means the government gazette of Western Australia (or a supplement to that gazette) — </w:t>
      </w:r>
    </w:p>
    <w:p>
      <w:pPr>
        <w:pStyle w:val="Defpara"/>
      </w:pPr>
      <w:r>
        <w:tab/>
        <w:t>(a)</w:t>
      </w:r>
      <w:r>
        <w:tab/>
        <w:t xml:space="preserve">published, or purporting to be published, under the authority of the Government — </w:t>
      </w:r>
    </w:p>
    <w:p>
      <w:pPr>
        <w:pStyle w:val="Defsubpara"/>
      </w:pPr>
      <w:r>
        <w:tab/>
        <w:t>(i)</w:t>
      </w:r>
      <w:r>
        <w:tab/>
        <w:t>in hard copy form; or</w:t>
      </w:r>
    </w:p>
    <w:p>
      <w:pPr>
        <w:pStyle w:val="Defsubpara"/>
      </w:pPr>
      <w:r>
        <w:tab/>
        <w:t>(ii)</w:t>
      </w:r>
      <w:r>
        <w:tab/>
        <w:t>in electronic form (whether or not originally published in hard copy form);</w:t>
      </w:r>
    </w:p>
    <w:p>
      <w:pPr>
        <w:pStyle w:val="Defpara"/>
      </w:pPr>
      <w:r>
        <w:tab/>
      </w:r>
      <w:r>
        <w:tab/>
        <w:t>and</w:t>
      </w:r>
    </w:p>
    <w:p>
      <w:pPr>
        <w:pStyle w:val="Defpara"/>
      </w:pPr>
      <w:r>
        <w:tab/>
        <w:t>(b)</w:t>
      </w:r>
      <w:r>
        <w:tab/>
        <w:t xml:space="preserve">whether published, or purporting to be published, before or after the commencement of the </w:t>
      </w:r>
      <w:r>
        <w:rPr>
          <w:i/>
        </w:rPr>
        <w:t>Legislation Act 2021</w:t>
      </w:r>
      <w:r>
        <w:t xml:space="preserve"> section 48(2);</w:t>
      </w:r>
    </w:p>
    <w:p>
      <w:pPr>
        <w:pStyle w:val="Defstart"/>
      </w:pPr>
      <w:r>
        <w:rPr>
          <w:b/>
        </w:rPr>
        <w:tab/>
      </w:r>
      <w:r>
        <w:rPr>
          <w:rStyle w:val="CharDefText"/>
        </w:rPr>
        <w:t>Government</w:t>
      </w:r>
      <w:r>
        <w:t xml:space="preserve"> means the Government of the State;</w:t>
      </w:r>
    </w:p>
    <w:p>
      <w:pPr>
        <w:pStyle w:val="Defstart"/>
        <w:rPr>
          <w:b/>
        </w:rPr>
      </w:pPr>
      <w:r>
        <w:tab/>
      </w:r>
      <w:r>
        <w:rPr>
          <w:rStyle w:val="CharDefText"/>
        </w:rPr>
        <w:t>Government Printer</w:t>
      </w:r>
      <w:r>
        <w:t xml:space="preserve"> means a person authorised by or on behalf of the Government to publish, in hard copy or electronic form, any written law or any other instrument of the Government;</w:t>
      </w:r>
    </w:p>
    <w:p>
      <w:pPr>
        <w:pStyle w:val="Defstart"/>
      </w:pPr>
      <w:r>
        <w:rPr>
          <w:b/>
        </w:rPr>
        <w:lastRenderedPageBreak/>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tab/>
      </w:r>
      <w:r>
        <w:rPr>
          <w:rStyle w:val="CharDefText"/>
        </w:rPr>
        <w:t>lawyer</w:t>
      </w:r>
      <w:r>
        <w:t xml:space="preserve"> means an Australian lawyer as defined in the </w:t>
      </w:r>
      <w:r>
        <w:rPr>
          <w:i/>
        </w:rPr>
        <w:t>Legal Profession Uniform Law (WA)</w:t>
      </w:r>
      <w:r>
        <w:t xml:space="preserve"> section 6(1);</w:t>
      </w:r>
    </w:p>
    <w:p>
      <w:pPr>
        <w:pStyle w:val="Defstart"/>
      </w:pPr>
      <w:r>
        <w:tab/>
      </w:r>
      <w:r>
        <w:rPr>
          <w:rStyle w:val="CharDefText"/>
        </w:rPr>
        <w:t>legal practitioner</w:t>
      </w:r>
      <w:r>
        <w:t xml:space="preserve"> means an Australian legal practitioner as defined in the </w:t>
      </w:r>
      <w:r>
        <w:rPr>
          <w:i/>
        </w:rPr>
        <w:t>Legal Profession Uniform Law (WA)</w:t>
      </w:r>
      <w:r>
        <w:t xml:space="preserve"> section 6(1);</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lastRenderedPageBreak/>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keepNext/>
      </w:pPr>
      <w:r>
        <w:rPr>
          <w:b/>
        </w:rPr>
        <w:lastRenderedPageBreak/>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 xml:space="preserve">Gazette </w:t>
      </w:r>
      <w:r>
        <w:t>or on the WA legislation website;</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rPr>
          <w:vertAlign w:val="superscript"/>
        </w:rPr>
        <w:t xml:space="preserve"> 2</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 xml:space="preserve">anything whether of a similar nature to that described in paragraph (b) or not, containing any visible representation, or by its form, shape, or in any manner </w:t>
      </w:r>
      <w:r>
        <w:lastRenderedPageBreak/>
        <w:t>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tab/>
      </w:r>
      <w:r>
        <w:rPr>
          <w:rStyle w:val="CharDefText"/>
        </w:rPr>
        <w:t>regional subsidiary</w:t>
      </w:r>
      <w:r>
        <w:t xml:space="preserve"> means a regional subsidiary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 xml:space="preserve">Oaths, Affidavits and Statutory </w:t>
      </w:r>
      <w:r>
        <w:rPr>
          <w:i/>
        </w:rPr>
        <w:lastRenderedPageBreak/>
        <w:t>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tab/>
      </w:r>
      <w:r>
        <w:rPr>
          <w:rStyle w:val="CharDefText"/>
        </w:rPr>
        <w:t>WA legislation website</w:t>
      </w:r>
      <w:r>
        <w:t xml:space="preserve"> has the meaning given in the </w:t>
      </w:r>
      <w:r>
        <w:rPr>
          <w:i/>
        </w:rPr>
        <w:t>Legislation Act 2021</w:t>
      </w:r>
      <w:r>
        <w:t xml:space="preserve"> section 8(1);</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lastRenderedPageBreak/>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No. 26 of 2016 s. 64; No. 13 of 2021 s. 48; No. 9 of 2022 s. 361.] </w:t>
      </w:r>
    </w:p>
    <w:p>
      <w:pPr>
        <w:pStyle w:val="Heading5"/>
        <w:rPr>
          <w:snapToGrid w:val="0"/>
        </w:rPr>
      </w:pPr>
      <w:bookmarkStart w:id="10" w:name="_Toc155085455"/>
      <w:r>
        <w:rPr>
          <w:rStyle w:val="CharSectno"/>
        </w:rPr>
        <w:t>6</w:t>
      </w:r>
      <w:r>
        <w:rPr>
          <w:snapToGrid w:val="0"/>
        </w:rPr>
        <w:t>.</w:t>
      </w:r>
      <w:r>
        <w:rPr>
          <w:snapToGrid w:val="0"/>
        </w:rPr>
        <w:tab/>
        <w:t>Definitions in a written law, application of</w:t>
      </w:r>
      <w:bookmarkEnd w:id="10"/>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1" w:name="_Toc155085456"/>
      <w:r>
        <w:rPr>
          <w:rStyle w:val="CharSectno"/>
        </w:rPr>
        <w:t>7</w:t>
      </w:r>
      <w:r>
        <w:rPr>
          <w:snapToGrid w:val="0"/>
        </w:rPr>
        <w:t>.</w:t>
      </w:r>
      <w:r>
        <w:rPr>
          <w:snapToGrid w:val="0"/>
        </w:rPr>
        <w:tab/>
        <w:t>Written laws to be construed subject to State’s legislative power</w:t>
      </w:r>
      <w:bookmarkEnd w:id="11"/>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2" w:name="_Toc155085457"/>
      <w:r>
        <w:rPr>
          <w:rStyle w:val="CharSectno"/>
        </w:rPr>
        <w:lastRenderedPageBreak/>
        <w:t>8</w:t>
      </w:r>
      <w:r>
        <w:rPr>
          <w:snapToGrid w:val="0"/>
        </w:rPr>
        <w:t>.</w:t>
      </w:r>
      <w:r>
        <w:rPr>
          <w:snapToGrid w:val="0"/>
        </w:rPr>
        <w:tab/>
        <w:t>Written laws always speaking</w:t>
      </w:r>
      <w:bookmarkEnd w:id="12"/>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3" w:name="_Toc155085458"/>
      <w:r>
        <w:rPr>
          <w:rStyle w:val="CharSectno"/>
        </w:rPr>
        <w:t>9</w:t>
      </w:r>
      <w:r>
        <w:rPr>
          <w:snapToGrid w:val="0"/>
        </w:rPr>
        <w:t>.</w:t>
      </w:r>
      <w:r>
        <w:rPr>
          <w:snapToGrid w:val="0"/>
        </w:rPr>
        <w:tab/>
        <w:t>Parts of speech and grammatical forms</w:t>
      </w:r>
      <w:bookmarkEnd w:id="13"/>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4" w:name="_Toc155085459"/>
      <w:r>
        <w:rPr>
          <w:rStyle w:val="CharSectno"/>
        </w:rPr>
        <w:t>10</w:t>
      </w:r>
      <w:r>
        <w:rPr>
          <w:snapToGrid w:val="0"/>
        </w:rPr>
        <w:t>.</w:t>
      </w:r>
      <w:r>
        <w:rPr>
          <w:snapToGrid w:val="0"/>
        </w:rPr>
        <w:tab/>
        <w:t>Gender and number</w:t>
      </w:r>
      <w:bookmarkEnd w:id="14"/>
      <w:r>
        <w:rPr>
          <w:snapToGrid w:val="0"/>
        </w:rPr>
        <w:t xml:space="preserve"> </w:t>
      </w:r>
    </w:p>
    <w:p>
      <w:pPr>
        <w:pStyle w:val="Subsection"/>
        <w:keepNext/>
        <w:rPr>
          <w:snapToGrid w:val="0"/>
        </w:rPr>
      </w:pPr>
      <w:r>
        <w:rPr>
          <w:snapToGrid w:val="0"/>
        </w:rPr>
        <w:tab/>
      </w:r>
      <w:r>
        <w:rPr>
          <w:snapToGrid w:val="0"/>
        </w:rPr>
        <w:tab/>
        <w:t>In any written law — </w:t>
      </w:r>
    </w:p>
    <w:p>
      <w:pPr>
        <w:pStyle w:val="Indenta"/>
      </w:pPr>
      <w:r>
        <w:tab/>
        <w:t>(a)</w:t>
      </w:r>
      <w:r>
        <w:tab/>
        <w:t xml:space="preserve">words that indicate or could be taken to indicate a person of a particular gender or sex (for example, he, she, chairman, workman) include — </w:t>
      </w:r>
    </w:p>
    <w:p>
      <w:pPr>
        <w:pStyle w:val="Indenti"/>
      </w:pPr>
      <w:r>
        <w:tab/>
        <w:t>(i)</w:t>
      </w:r>
      <w:r>
        <w:tab/>
        <w:t>any individual, regardless of gender or sex; and</w:t>
      </w:r>
    </w:p>
    <w:p>
      <w:pPr>
        <w:pStyle w:val="Indenti"/>
      </w:pPr>
      <w:r>
        <w:tab/>
        <w:t>(ii)</w:t>
      </w:r>
      <w:r>
        <w:tab/>
        <w:t>any person that is not an individual;</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No. 73 of 1994 s. 4; No. 13 of 2021 s. 49.] </w:t>
      </w:r>
    </w:p>
    <w:p>
      <w:pPr>
        <w:pStyle w:val="Heading5"/>
        <w:rPr>
          <w:snapToGrid w:val="0"/>
        </w:rPr>
      </w:pPr>
      <w:bookmarkStart w:id="15" w:name="_Toc155085460"/>
      <w:r>
        <w:rPr>
          <w:rStyle w:val="CharSectno"/>
        </w:rPr>
        <w:t>11</w:t>
      </w:r>
      <w:r>
        <w:rPr>
          <w:snapToGrid w:val="0"/>
        </w:rPr>
        <w:t>.</w:t>
      </w:r>
      <w:r>
        <w:rPr>
          <w:snapToGrid w:val="0"/>
        </w:rPr>
        <w:tab/>
        <w:t>Sovereign, references to</w:t>
      </w:r>
      <w:bookmarkEnd w:id="15"/>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6" w:name="_Toc155085461"/>
      <w:r>
        <w:rPr>
          <w:rStyle w:val="CharSectno"/>
        </w:rPr>
        <w:lastRenderedPageBreak/>
        <w:t>12</w:t>
      </w:r>
      <w:r>
        <w:rPr>
          <w:snapToGrid w:val="0"/>
        </w:rPr>
        <w:t>.</w:t>
      </w:r>
      <w:r>
        <w:rPr>
          <w:snapToGrid w:val="0"/>
        </w:rPr>
        <w:tab/>
        <w:t>Minister, references to</w:t>
      </w:r>
      <w:bookmarkEnd w:id="16"/>
    </w:p>
    <w:p>
      <w:pPr>
        <w:pStyle w:val="Subsection"/>
        <w:keepNext/>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7" w:name="_Toc155085462"/>
      <w:r>
        <w:rPr>
          <w:rStyle w:val="CharSectno"/>
        </w:rPr>
        <w:t>13</w:t>
      </w:r>
      <w:r>
        <w:rPr>
          <w:snapToGrid w:val="0"/>
        </w:rPr>
        <w:t>.</w:t>
      </w:r>
      <w:r>
        <w:rPr>
          <w:snapToGrid w:val="0"/>
        </w:rPr>
        <w:tab/>
        <w:t>British subject etc., references to</w:t>
      </w:r>
      <w:bookmarkEnd w:id="17"/>
    </w:p>
    <w:p>
      <w:pPr>
        <w:pStyle w:val="Subsection"/>
        <w:keepNext/>
        <w:rPr>
          <w:snapToGrid w:val="0"/>
        </w:rPr>
      </w:pPr>
      <w:r>
        <w:rPr>
          <w:snapToGrid w:val="0"/>
        </w:rPr>
        <w:tab/>
        <w:t>(1)</w:t>
      </w:r>
      <w:r>
        <w:rPr>
          <w:snapToGrid w:val="0"/>
        </w:rPr>
        <w:tab/>
        <w:t>In this section — </w:t>
      </w:r>
    </w:p>
    <w:p>
      <w:pPr>
        <w:pStyle w:val="Defstart"/>
        <w:tabs>
          <w:tab w:val="left" w:pos="6804"/>
        </w:tabs>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3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 xml:space="preserve">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t>
      </w:r>
      <w:r>
        <w:rPr>
          <w:snapToGrid w:val="0"/>
        </w:rPr>
        <w:lastRenderedPageBreak/>
        <w:t>without citizenship, as if that Australian citizen or other person were a British subject.</w:t>
      </w:r>
    </w:p>
    <w:p>
      <w:pPr>
        <w:pStyle w:val="Heading5"/>
      </w:pPr>
      <w:bookmarkStart w:id="18" w:name="_Toc155085463"/>
      <w:r>
        <w:rPr>
          <w:rStyle w:val="CharSectno"/>
        </w:rPr>
        <w:t>13A</w:t>
      </w:r>
      <w:r>
        <w:t>.</w:t>
      </w:r>
      <w:r>
        <w:tab/>
        <w:t>De facto relationship and de facto partner, references to</w:t>
      </w:r>
      <w:bookmarkEnd w:id="18"/>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lastRenderedPageBreak/>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No. 3 of 2002 s. 85.]</w:t>
      </w:r>
    </w:p>
    <w:p>
      <w:pPr>
        <w:pStyle w:val="Heading5"/>
      </w:pPr>
      <w:bookmarkStart w:id="19" w:name="_Toc155085464"/>
      <w:r>
        <w:rPr>
          <w:rStyle w:val="CharSectno"/>
        </w:rPr>
        <w:t>13B</w:t>
      </w:r>
      <w:r>
        <w:t>.</w:t>
      </w:r>
      <w:r>
        <w:tab/>
        <w:t>Standards Association of Australia, references to</w:t>
      </w:r>
      <w:bookmarkEnd w:id="19"/>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No. 74 of 2003 s. 69(3); renumbered as 13B under the Reprints Act 1984 s. 7(5)(c)(ii).]</w:t>
      </w:r>
    </w:p>
    <w:p>
      <w:pPr>
        <w:pStyle w:val="Heading5"/>
      </w:pPr>
      <w:bookmarkStart w:id="20" w:name="_Toc155085465"/>
      <w:r>
        <w:rPr>
          <w:rStyle w:val="CharSectno"/>
        </w:rPr>
        <w:t>13CA</w:t>
      </w:r>
      <w:r>
        <w:t>.</w:t>
      </w:r>
      <w:r>
        <w:tab/>
        <w:t>Local government districts, references to</w:t>
      </w:r>
      <w:bookmarkEnd w:id="20"/>
    </w:p>
    <w:p>
      <w:pPr>
        <w:pStyle w:val="Subsection"/>
        <w:keepNext/>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pPr>
      <w:r>
        <w:tab/>
        <w:t>Example for this section:</w:t>
      </w:r>
    </w:p>
    <w:p>
      <w:pPr>
        <w:pStyle w:val="PermNoteText"/>
      </w:pPr>
      <w:r>
        <w:tab/>
        <w:t>1.</w:t>
      </w:r>
      <w:r>
        <w:tab/>
        <w:t>“Perth local government district” refers to the local government district named Perth.</w:t>
      </w:r>
    </w:p>
    <w:p>
      <w:pPr>
        <w:pStyle w:val="PermNoteText"/>
      </w:pPr>
      <w:r>
        <w:tab/>
        <w:t>2.</w:t>
      </w:r>
      <w:r>
        <w:tab/>
        <w:t>“Narrogin (Shire) local government district” refers to the local government district named Narrogin (Shire).]</w:t>
      </w:r>
    </w:p>
    <w:p>
      <w:pPr>
        <w:pStyle w:val="Footnotesection"/>
      </w:pPr>
      <w:r>
        <w:tab/>
        <w:t>[Section 13CA inserted: No. 31 of 2010 s. 5; amended: No. 17 of 2014 s. 27.]</w:t>
      </w:r>
    </w:p>
    <w:p>
      <w:pPr>
        <w:pStyle w:val="Heading5"/>
      </w:pPr>
      <w:bookmarkStart w:id="21" w:name="_Toc155085466"/>
      <w:r>
        <w:rPr>
          <w:rStyle w:val="CharSectno"/>
        </w:rPr>
        <w:lastRenderedPageBreak/>
        <w:t>13C</w:t>
      </w:r>
      <w:r>
        <w:t>.</w:t>
      </w:r>
      <w:r>
        <w:tab/>
        <w:t>When death of a person occurs</w:t>
      </w:r>
      <w:bookmarkEnd w:id="21"/>
    </w:p>
    <w:p>
      <w:pPr>
        <w:pStyle w:val="Subsection"/>
        <w:keepNext/>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No. 29 of 2008 s. 35(3).]</w:t>
      </w:r>
    </w:p>
    <w:p>
      <w:pPr>
        <w:pStyle w:val="Heading5"/>
      </w:pPr>
      <w:bookmarkStart w:id="22" w:name="_Toc155085467"/>
      <w:r>
        <w:rPr>
          <w:rStyle w:val="CharSectno"/>
        </w:rPr>
        <w:t>13D</w:t>
      </w:r>
      <w:r>
        <w:t>.</w:t>
      </w:r>
      <w:r>
        <w:tab/>
        <w:t>Bankrupt and related expressions, references to</w:t>
      </w:r>
      <w:bookmarkEnd w:id="22"/>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No. 18 of 2009 s. 5.]</w:t>
      </w:r>
    </w:p>
    <w:p>
      <w:pPr>
        <w:pStyle w:val="Heading5"/>
        <w:rPr>
          <w:snapToGrid w:val="0"/>
        </w:rPr>
      </w:pPr>
      <w:bookmarkStart w:id="23" w:name="_Toc155085468"/>
      <w:r>
        <w:rPr>
          <w:rStyle w:val="CharSectno"/>
        </w:rPr>
        <w:lastRenderedPageBreak/>
        <w:t>14</w:t>
      </w:r>
      <w:r>
        <w:rPr>
          <w:snapToGrid w:val="0"/>
        </w:rPr>
        <w:t>.</w:t>
      </w:r>
      <w:r>
        <w:rPr>
          <w:snapToGrid w:val="0"/>
        </w:rPr>
        <w:tab/>
        <w:t>References to 2 or more provisions to be inclusive</w:t>
      </w:r>
      <w:bookmarkEnd w:id="23"/>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24" w:name="_Toc155085469"/>
      <w:r>
        <w:rPr>
          <w:rStyle w:val="CharSectno"/>
        </w:rPr>
        <w:t>15</w:t>
      </w:r>
      <w:r>
        <w:rPr>
          <w:snapToGrid w:val="0"/>
        </w:rPr>
        <w:t>.</w:t>
      </w:r>
      <w:r>
        <w:rPr>
          <w:snapToGrid w:val="0"/>
        </w:rPr>
        <w:tab/>
        <w:t>Internal references in written laws, construction of</w:t>
      </w:r>
      <w:bookmarkEnd w:id="24"/>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25" w:name="_Toc155085470"/>
      <w:r>
        <w:rPr>
          <w:rStyle w:val="CharSectno"/>
        </w:rPr>
        <w:lastRenderedPageBreak/>
        <w:t>15A</w:t>
      </w:r>
      <w:r>
        <w:t>.</w:t>
      </w:r>
      <w:r>
        <w:tab/>
        <w:t>Reference to paragraph</w:t>
      </w:r>
      <w:bookmarkEnd w:id="25"/>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No. 31 of 2010 s. 6.]</w:t>
      </w:r>
    </w:p>
    <w:p>
      <w:pPr>
        <w:pStyle w:val="Heading5"/>
        <w:rPr>
          <w:snapToGrid w:val="0"/>
        </w:rPr>
      </w:pPr>
      <w:bookmarkStart w:id="26" w:name="_Toc155085471"/>
      <w:r>
        <w:rPr>
          <w:rStyle w:val="CharSectno"/>
        </w:rPr>
        <w:t>16</w:t>
      </w:r>
      <w:r>
        <w:rPr>
          <w:snapToGrid w:val="0"/>
        </w:rPr>
        <w:t>.</w:t>
      </w:r>
      <w:r>
        <w:rPr>
          <w:snapToGrid w:val="0"/>
        </w:rPr>
        <w:tab/>
        <w:t>Reference to written law is to written law as amended</w:t>
      </w:r>
      <w:bookmarkEnd w:id="26"/>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27" w:name="_Toc155085472"/>
      <w:r>
        <w:rPr>
          <w:rStyle w:val="CharSectno"/>
        </w:rPr>
        <w:t>17</w:t>
      </w:r>
      <w:r>
        <w:rPr>
          <w:snapToGrid w:val="0"/>
        </w:rPr>
        <w:t>.</w:t>
      </w:r>
      <w:r>
        <w:rPr>
          <w:snapToGrid w:val="0"/>
        </w:rPr>
        <w:tab/>
        <w:t>Disjunctive construction of “or”</w:t>
      </w:r>
      <w:bookmarkEnd w:id="27"/>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28" w:name="_Toc155085473"/>
      <w:r>
        <w:rPr>
          <w:rStyle w:val="CharSectno"/>
        </w:rPr>
        <w:t>18</w:t>
      </w:r>
      <w:r>
        <w:rPr>
          <w:snapToGrid w:val="0"/>
        </w:rPr>
        <w:t>.</w:t>
      </w:r>
      <w:r>
        <w:rPr>
          <w:snapToGrid w:val="0"/>
        </w:rPr>
        <w:tab/>
        <w:t>Purpose or object of written law, use of in interpretation</w:t>
      </w:r>
      <w:bookmarkEnd w:id="28"/>
    </w:p>
    <w:p>
      <w:pPr>
        <w:pStyle w:val="Subsection"/>
        <w:rPr>
          <w:snapToGrid w:val="0"/>
        </w:rPr>
      </w:pPr>
      <w:r>
        <w:rPr>
          <w:snapToGrid w:val="0"/>
        </w:rPr>
        <w:tab/>
      </w:r>
      <w:r>
        <w:rPr>
          <w:snapToGrid w:val="0"/>
        </w:rPr>
        <w:tab/>
        <w:t xml:space="preserve">In the interpretation of a provision of a written law, a construction that would promote the purpose or object underlying the written law (whether that purpose or object is </w:t>
      </w:r>
      <w:r>
        <w:rPr>
          <w:snapToGrid w:val="0"/>
        </w:rPr>
        <w:lastRenderedPageBreak/>
        <w:t>expressly stated in the written law or not) shall be preferred to a construction that would not promote that purpose or object.</w:t>
      </w:r>
    </w:p>
    <w:p>
      <w:pPr>
        <w:pStyle w:val="Heading5"/>
        <w:rPr>
          <w:snapToGrid w:val="0"/>
        </w:rPr>
      </w:pPr>
      <w:bookmarkStart w:id="29" w:name="_Toc155085474"/>
      <w:r>
        <w:rPr>
          <w:rStyle w:val="CharSectno"/>
        </w:rPr>
        <w:t>19</w:t>
      </w:r>
      <w:r>
        <w:rPr>
          <w:snapToGrid w:val="0"/>
        </w:rPr>
        <w:t>.</w:t>
      </w:r>
      <w:r>
        <w:rPr>
          <w:snapToGrid w:val="0"/>
        </w:rPr>
        <w:tab/>
        <w:t>Extrinsic material, use of in interpretation</w:t>
      </w:r>
      <w:bookmarkEnd w:id="29"/>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pPr>
      <w:r>
        <w:tab/>
        <w:t>(a)</w:t>
      </w:r>
      <w:r>
        <w:tab/>
        <w:t xml:space="preserve">all matters not forming part of the written law that are set out in an official version of the law under the </w:t>
      </w:r>
      <w:r>
        <w:rPr>
          <w:i/>
        </w:rPr>
        <w:t>Legislation Act 2021</w:t>
      </w:r>
      <w:r>
        <w:t>;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lastRenderedPageBreak/>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Footnotesection"/>
      </w:pPr>
      <w:r>
        <w:tab/>
        <w:t>[Section 19 amended: No. 13 of 2021 s. 50.]</w:t>
      </w:r>
    </w:p>
    <w:p>
      <w:pPr>
        <w:pStyle w:val="Heading2"/>
      </w:pPr>
      <w:bookmarkStart w:id="30" w:name="_Toc155085475"/>
      <w:r>
        <w:rPr>
          <w:rStyle w:val="CharPartNo"/>
        </w:rPr>
        <w:lastRenderedPageBreak/>
        <w:t>Part III</w:t>
      </w:r>
      <w:r>
        <w:rPr>
          <w:rStyle w:val="CharDivNo"/>
        </w:rPr>
        <w:t> </w:t>
      </w:r>
      <w:r>
        <w:t>—</w:t>
      </w:r>
      <w:r>
        <w:rPr>
          <w:rStyle w:val="CharDivText"/>
        </w:rPr>
        <w:t> </w:t>
      </w:r>
      <w:r>
        <w:rPr>
          <w:rStyle w:val="CharPartText"/>
        </w:rPr>
        <w:t>Commencement and citation</w:t>
      </w:r>
      <w:bookmarkEnd w:id="30"/>
      <w:r>
        <w:rPr>
          <w:rStyle w:val="CharPartText"/>
        </w:rPr>
        <w:t xml:space="preserve"> </w:t>
      </w:r>
    </w:p>
    <w:p>
      <w:pPr>
        <w:pStyle w:val="Heading5"/>
        <w:spacing w:before="240"/>
        <w:rPr>
          <w:snapToGrid w:val="0"/>
        </w:rPr>
      </w:pPr>
      <w:bookmarkStart w:id="31" w:name="_Toc155085476"/>
      <w:r>
        <w:rPr>
          <w:rStyle w:val="CharSectno"/>
        </w:rPr>
        <w:t>20</w:t>
      </w:r>
      <w:r>
        <w:rPr>
          <w:snapToGrid w:val="0"/>
        </w:rPr>
        <w:t>.</w:t>
      </w:r>
      <w:r>
        <w:rPr>
          <w:snapToGrid w:val="0"/>
        </w:rPr>
        <w:tab/>
        <w:t>Commencement of Acts</w:t>
      </w:r>
      <w:bookmarkEnd w:id="31"/>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32" w:name="_Toc155085477"/>
      <w:r>
        <w:rPr>
          <w:rStyle w:val="CharSectno"/>
        </w:rPr>
        <w:t>21</w:t>
      </w:r>
      <w:r>
        <w:rPr>
          <w:snapToGrid w:val="0"/>
        </w:rPr>
        <w:t>.</w:t>
      </w:r>
      <w:r>
        <w:rPr>
          <w:snapToGrid w:val="0"/>
        </w:rPr>
        <w:tab/>
        <w:t>Time of commencement of written laws</w:t>
      </w:r>
      <w:bookmarkEnd w:id="32"/>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33" w:name="_Toc155085478"/>
      <w:r>
        <w:rPr>
          <w:rStyle w:val="CharSectno"/>
        </w:rPr>
        <w:t>22</w:t>
      </w:r>
      <w:r>
        <w:rPr>
          <w:snapToGrid w:val="0"/>
        </w:rPr>
        <w:t>.</w:t>
      </w:r>
      <w:r>
        <w:rPr>
          <w:snapToGrid w:val="0"/>
        </w:rPr>
        <w:tab/>
        <w:t>Act commencing on proclamation, commencement of certain provisions of</w:t>
      </w:r>
      <w:bookmarkEnd w:id="33"/>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34" w:name="_Toc155085479"/>
      <w:r>
        <w:rPr>
          <w:rStyle w:val="CharSectno"/>
        </w:rPr>
        <w:lastRenderedPageBreak/>
        <w:t>23</w:t>
      </w:r>
      <w:r>
        <w:rPr>
          <w:snapToGrid w:val="0"/>
        </w:rPr>
        <w:t>.</w:t>
      </w:r>
      <w:r>
        <w:rPr>
          <w:snapToGrid w:val="0"/>
        </w:rPr>
        <w:tab/>
        <w:t>Proclamation of commencement of Act, construction of power to make</w:t>
      </w:r>
      <w:bookmarkEnd w:id="34"/>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rPr>
        <w:t xml:space="preserve">Gazette </w:t>
      </w:r>
      <w:r>
        <w:t>or on the WA legislation website;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Footnotesection"/>
      </w:pPr>
      <w:r>
        <w:tab/>
        <w:t>[Section 23 amended: No. 13 of 2021 s. 51.]</w:t>
      </w:r>
    </w:p>
    <w:p>
      <w:pPr>
        <w:pStyle w:val="Ednotesection"/>
      </w:pPr>
      <w:r>
        <w:t>[</w:t>
      </w:r>
      <w:r>
        <w:rPr>
          <w:b/>
        </w:rPr>
        <w:t>24.</w:t>
      </w:r>
      <w:r>
        <w:tab/>
        <w:t xml:space="preserve">Deleted: No. 13 of 2021 s. 52.] </w:t>
      </w:r>
    </w:p>
    <w:p>
      <w:pPr>
        <w:pStyle w:val="Heading5"/>
        <w:rPr>
          <w:snapToGrid w:val="0"/>
        </w:rPr>
      </w:pPr>
      <w:bookmarkStart w:id="35" w:name="_Toc155085480"/>
      <w:r>
        <w:rPr>
          <w:rStyle w:val="CharSectno"/>
        </w:rPr>
        <w:t>25</w:t>
      </w:r>
      <w:r>
        <w:rPr>
          <w:snapToGrid w:val="0"/>
        </w:rPr>
        <w:t>.</w:t>
      </w:r>
      <w:r>
        <w:rPr>
          <w:snapToGrid w:val="0"/>
        </w:rPr>
        <w:tab/>
        <w:t>Some powers in Act may be exercised before it commences</w:t>
      </w:r>
      <w:bookmarkEnd w:id="35"/>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keepNext/>
        <w:rPr>
          <w:snapToGrid w:val="0"/>
        </w:rPr>
      </w:pPr>
      <w:r>
        <w:rPr>
          <w:snapToGrid w:val="0"/>
        </w:rPr>
        <w:lastRenderedPageBreak/>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lastRenderedPageBreak/>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r>
        <w:rPr>
          <w:snapToGrid w:val="0"/>
          <w:vertAlign w:val="superscript"/>
        </w:rPr>
        <w:t> 1</w:t>
      </w:r>
      <w:r>
        <w:rPr>
          <w:snapToGrid w:val="0"/>
        </w:rPr>
        <w:t>.</w:t>
      </w:r>
    </w:p>
    <w:p>
      <w:pPr>
        <w:pStyle w:val="Heading5"/>
        <w:rPr>
          <w:snapToGrid w:val="0"/>
        </w:rPr>
      </w:pPr>
      <w:bookmarkStart w:id="36" w:name="_Toc155085481"/>
      <w:r>
        <w:rPr>
          <w:rStyle w:val="CharSectno"/>
        </w:rPr>
        <w:t>26</w:t>
      </w:r>
      <w:r>
        <w:rPr>
          <w:snapToGrid w:val="0"/>
        </w:rPr>
        <w:t>.</w:t>
      </w:r>
      <w:r>
        <w:rPr>
          <w:snapToGrid w:val="0"/>
        </w:rPr>
        <w:tab/>
        <w:t>Citation of written laws</w:t>
      </w:r>
      <w:bookmarkEnd w:id="36"/>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pPr>
      <w:r>
        <w:tab/>
        <w:t>(3)</w:t>
      </w:r>
      <w:r>
        <w:tab/>
        <w:t xml:space="preserve">The citation of or reference to a written law is in all cases to be made in accordance with an official version of the law under the </w:t>
      </w:r>
      <w:r>
        <w:rPr>
          <w:i/>
        </w:rPr>
        <w:t>Legislation Act 2021</w:t>
      </w:r>
      <w:r>
        <w:t>.</w:t>
      </w:r>
    </w:p>
    <w:p>
      <w:pPr>
        <w:pStyle w:val="Ednotesubsection"/>
      </w:pPr>
      <w:r>
        <w:tab/>
        <w:t>[(4)</w:t>
      </w:r>
      <w:r>
        <w:tab/>
        <w:t>deleted]</w:t>
      </w:r>
    </w:p>
    <w:p>
      <w:pPr>
        <w:pStyle w:val="Footnotesection"/>
      </w:pPr>
      <w:r>
        <w:tab/>
        <w:t>[Section 26 amended: No. 74 of 2003 s. 69(4); No. 13 of 2021 s. 53.]</w:t>
      </w:r>
    </w:p>
    <w:p>
      <w:pPr>
        <w:pStyle w:val="Heading5"/>
        <w:rPr>
          <w:snapToGrid w:val="0"/>
        </w:rPr>
      </w:pPr>
      <w:bookmarkStart w:id="37" w:name="_Toc155085482"/>
      <w:r>
        <w:rPr>
          <w:rStyle w:val="CharSectno"/>
        </w:rPr>
        <w:lastRenderedPageBreak/>
        <w:t>27</w:t>
      </w:r>
      <w:r>
        <w:rPr>
          <w:snapToGrid w:val="0"/>
        </w:rPr>
        <w:t>.</w:t>
      </w:r>
      <w:r>
        <w:rPr>
          <w:snapToGrid w:val="0"/>
        </w:rPr>
        <w:tab/>
        <w:t>References to commencement of written law if different provisions commence on different days</w:t>
      </w:r>
      <w:bookmarkEnd w:id="37"/>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38" w:name="_Toc155085483"/>
      <w:r>
        <w:rPr>
          <w:rStyle w:val="CharPartNo"/>
        </w:rPr>
        <w:lastRenderedPageBreak/>
        <w:t>Part IV</w:t>
      </w:r>
      <w:r>
        <w:rPr>
          <w:rStyle w:val="CharDivNo"/>
        </w:rPr>
        <w:t> </w:t>
      </w:r>
      <w:r>
        <w:t>—</w:t>
      </w:r>
      <w:r>
        <w:rPr>
          <w:rStyle w:val="CharDivText"/>
        </w:rPr>
        <w:t> </w:t>
      </w:r>
      <w:r>
        <w:rPr>
          <w:rStyle w:val="CharPartText"/>
        </w:rPr>
        <w:t>Provisions as to enactment and operation of written law</w:t>
      </w:r>
      <w:bookmarkEnd w:id="38"/>
      <w:r>
        <w:rPr>
          <w:rStyle w:val="CharPartText"/>
        </w:rPr>
        <w:t xml:space="preserve"> </w:t>
      </w:r>
    </w:p>
    <w:p>
      <w:pPr>
        <w:pStyle w:val="Heading5"/>
        <w:rPr>
          <w:snapToGrid w:val="0"/>
        </w:rPr>
      </w:pPr>
      <w:bookmarkStart w:id="39" w:name="_Toc155085484"/>
      <w:r>
        <w:rPr>
          <w:rStyle w:val="CharSectno"/>
        </w:rPr>
        <w:t>28</w:t>
      </w:r>
      <w:r>
        <w:rPr>
          <w:snapToGrid w:val="0"/>
        </w:rPr>
        <w:t>.</w:t>
      </w:r>
      <w:r>
        <w:rPr>
          <w:snapToGrid w:val="0"/>
        </w:rPr>
        <w:tab/>
        <w:t>Acts deemed public Acts</w:t>
      </w:r>
      <w:bookmarkEnd w:id="39"/>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40" w:name="_Toc155085485"/>
      <w:r>
        <w:rPr>
          <w:rStyle w:val="CharSectno"/>
        </w:rPr>
        <w:t>29</w:t>
      </w:r>
      <w:r>
        <w:rPr>
          <w:snapToGrid w:val="0"/>
        </w:rPr>
        <w:t>.</w:t>
      </w:r>
      <w:r>
        <w:rPr>
          <w:snapToGrid w:val="0"/>
        </w:rPr>
        <w:tab/>
        <w:t>Sections to be substantive enactments</w:t>
      </w:r>
      <w:bookmarkEnd w:id="40"/>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41" w:name="_Toc155085486"/>
      <w:r>
        <w:rPr>
          <w:rStyle w:val="CharSectno"/>
        </w:rPr>
        <w:t>30</w:t>
      </w:r>
      <w:r>
        <w:rPr>
          <w:snapToGrid w:val="0"/>
        </w:rPr>
        <w:t>.</w:t>
      </w:r>
      <w:r>
        <w:rPr>
          <w:snapToGrid w:val="0"/>
        </w:rPr>
        <w:tab/>
        <w:t>Act may be amended in same session</w:t>
      </w:r>
      <w:bookmarkEnd w:id="41"/>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42" w:name="_Toc155085487"/>
      <w:r>
        <w:rPr>
          <w:rStyle w:val="CharSectno"/>
        </w:rPr>
        <w:t>31</w:t>
      </w:r>
      <w:r>
        <w:rPr>
          <w:snapToGrid w:val="0"/>
        </w:rPr>
        <w:t>.</w:t>
      </w:r>
      <w:r>
        <w:rPr>
          <w:snapToGrid w:val="0"/>
        </w:rPr>
        <w:tab/>
        <w:t>Preambles, schedules etc. to form part of written law</w:t>
      </w:r>
      <w:bookmarkEnd w:id="42"/>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43" w:name="_Toc155085488"/>
      <w:r>
        <w:rPr>
          <w:rStyle w:val="CharSectno"/>
        </w:rPr>
        <w:t>32</w:t>
      </w:r>
      <w:r>
        <w:rPr>
          <w:snapToGrid w:val="0"/>
        </w:rPr>
        <w:t>.</w:t>
      </w:r>
      <w:r>
        <w:rPr>
          <w:snapToGrid w:val="0"/>
        </w:rPr>
        <w:tab/>
        <w:t>Headings, marginal notes and footnotes</w:t>
      </w:r>
      <w:bookmarkEnd w:id="43"/>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lastRenderedPageBreak/>
        <w:tab/>
        <w:t xml:space="preserve">[Section 32 amended: No. 14 of 1996 s. 4.] </w:t>
      </w:r>
    </w:p>
    <w:p>
      <w:pPr>
        <w:pStyle w:val="Heading2"/>
      </w:pPr>
      <w:bookmarkStart w:id="44" w:name="_Toc155085489"/>
      <w:r>
        <w:rPr>
          <w:rStyle w:val="CharPartNo"/>
        </w:rPr>
        <w:lastRenderedPageBreak/>
        <w:t>Part V</w:t>
      </w:r>
      <w:r>
        <w:rPr>
          <w:rStyle w:val="CharDivNo"/>
        </w:rPr>
        <w:t> </w:t>
      </w:r>
      <w:r>
        <w:t>—</w:t>
      </w:r>
      <w:r>
        <w:rPr>
          <w:rStyle w:val="CharDivText"/>
        </w:rPr>
        <w:t> </w:t>
      </w:r>
      <w:r>
        <w:rPr>
          <w:rStyle w:val="CharPartText"/>
        </w:rPr>
        <w:t>Repeal of written law</w:t>
      </w:r>
      <w:bookmarkEnd w:id="44"/>
      <w:r>
        <w:rPr>
          <w:rStyle w:val="CharPartText"/>
        </w:rPr>
        <w:t xml:space="preserve"> </w:t>
      </w:r>
    </w:p>
    <w:p>
      <w:pPr>
        <w:pStyle w:val="Heading5"/>
        <w:spacing w:before="180"/>
        <w:rPr>
          <w:snapToGrid w:val="0"/>
        </w:rPr>
      </w:pPr>
      <w:bookmarkStart w:id="45" w:name="_Toc155085490"/>
      <w:r>
        <w:rPr>
          <w:rStyle w:val="CharSectno"/>
        </w:rPr>
        <w:t>33</w:t>
      </w:r>
      <w:r>
        <w:rPr>
          <w:snapToGrid w:val="0"/>
        </w:rPr>
        <w:t>.</w:t>
      </w:r>
      <w:r>
        <w:rPr>
          <w:snapToGrid w:val="0"/>
        </w:rPr>
        <w:tab/>
        <w:t>Repeal of written law includes repeal of amendments</w:t>
      </w:r>
      <w:bookmarkEnd w:id="45"/>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46" w:name="_Toc155085491"/>
      <w:r>
        <w:rPr>
          <w:rStyle w:val="CharSectno"/>
        </w:rPr>
        <w:t>34</w:t>
      </w:r>
      <w:r>
        <w:rPr>
          <w:snapToGrid w:val="0"/>
        </w:rPr>
        <w:t>.</w:t>
      </w:r>
      <w:r>
        <w:rPr>
          <w:snapToGrid w:val="0"/>
        </w:rPr>
        <w:tab/>
        <w:t>Repeal of repealing enactment, effect of</w:t>
      </w:r>
      <w:bookmarkEnd w:id="46"/>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47" w:name="_Toc155085492"/>
      <w:r>
        <w:rPr>
          <w:rStyle w:val="CharSectno"/>
        </w:rPr>
        <w:t>35</w:t>
      </w:r>
      <w:r>
        <w:rPr>
          <w:snapToGrid w:val="0"/>
        </w:rPr>
        <w:t>.</w:t>
      </w:r>
      <w:r>
        <w:rPr>
          <w:snapToGrid w:val="0"/>
        </w:rPr>
        <w:tab/>
        <w:t>Repeal and substitution of provision, effect of</w:t>
      </w:r>
      <w:bookmarkEnd w:id="47"/>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48" w:name="_Toc155085493"/>
      <w:r>
        <w:rPr>
          <w:rStyle w:val="CharSectno"/>
        </w:rPr>
        <w:t>36</w:t>
      </w:r>
      <w:r>
        <w:rPr>
          <w:snapToGrid w:val="0"/>
        </w:rPr>
        <w:t>.</w:t>
      </w:r>
      <w:r>
        <w:rPr>
          <w:snapToGrid w:val="0"/>
        </w:rPr>
        <w:tab/>
        <w:t>Repealing and re</w:t>
      </w:r>
      <w:r>
        <w:rPr>
          <w:snapToGrid w:val="0"/>
        </w:rPr>
        <w:noBreakHyphen/>
        <w:t>enacting a provision, effect of</w:t>
      </w:r>
      <w:bookmarkEnd w:id="48"/>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 xml:space="preserve">which, at the commencement of the repealing law, are respectively in existence, or in force or operation, under or for </w:t>
      </w:r>
      <w:r>
        <w:rPr>
          <w:snapToGrid w:val="0"/>
        </w:rPr>
        <w:lastRenderedPageBreak/>
        <w:t>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49" w:name="_Toc155085494"/>
      <w:r>
        <w:rPr>
          <w:rStyle w:val="CharSectno"/>
        </w:rPr>
        <w:t>37</w:t>
      </w:r>
      <w:r>
        <w:rPr>
          <w:snapToGrid w:val="0"/>
        </w:rPr>
        <w:t>.</w:t>
      </w:r>
      <w:r>
        <w:rPr>
          <w:snapToGrid w:val="0"/>
        </w:rPr>
        <w:tab/>
        <w:t>General savings on repeal</w:t>
      </w:r>
      <w:bookmarkEnd w:id="49"/>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 xml:space="preserve">The inclusion in the repealing provisions of an enactment of any express saving with respect to the repeals effected thereby shall </w:t>
      </w:r>
      <w:r>
        <w:rPr>
          <w:snapToGrid w:val="0"/>
        </w:rPr>
        <w:lastRenderedPageBreak/>
        <w:t>not be taken to prejudice the operation of this section with respect to the effect of those repeals.</w:t>
      </w:r>
    </w:p>
    <w:p>
      <w:pPr>
        <w:pStyle w:val="Footnotesection"/>
      </w:pPr>
      <w:r>
        <w:tab/>
        <w:t xml:space="preserve">[Section 37 amended: No. 78 of 1995 s. 56.] </w:t>
      </w:r>
    </w:p>
    <w:p>
      <w:pPr>
        <w:pStyle w:val="Heading5"/>
        <w:rPr>
          <w:snapToGrid w:val="0"/>
        </w:rPr>
      </w:pPr>
      <w:bookmarkStart w:id="50" w:name="_Toc155085495"/>
      <w:r>
        <w:rPr>
          <w:rStyle w:val="CharSectno"/>
        </w:rPr>
        <w:t>38</w:t>
      </w:r>
      <w:r>
        <w:rPr>
          <w:snapToGrid w:val="0"/>
        </w:rPr>
        <w:t>.</w:t>
      </w:r>
      <w:r>
        <w:rPr>
          <w:snapToGrid w:val="0"/>
        </w:rPr>
        <w:tab/>
        <w:t>Repeal of Act, effect of on subsidiary legislation</w:t>
      </w:r>
      <w:bookmarkEnd w:id="50"/>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51" w:name="_Toc155085496"/>
      <w:r>
        <w:rPr>
          <w:rStyle w:val="CharSectno"/>
        </w:rPr>
        <w:t>39</w:t>
      </w:r>
      <w:r>
        <w:rPr>
          <w:snapToGrid w:val="0"/>
        </w:rPr>
        <w:t>.</w:t>
      </w:r>
      <w:r>
        <w:rPr>
          <w:snapToGrid w:val="0"/>
        </w:rPr>
        <w:tab/>
        <w:t>Expiry of enactment, effect of</w:t>
      </w:r>
      <w:bookmarkEnd w:id="51"/>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52" w:name="_Toc155085497"/>
      <w:r>
        <w:rPr>
          <w:rStyle w:val="CharPartNo"/>
        </w:rPr>
        <w:lastRenderedPageBreak/>
        <w:t>Part VI</w:t>
      </w:r>
      <w:r>
        <w:rPr>
          <w:rStyle w:val="CharDivNo"/>
        </w:rPr>
        <w:t> </w:t>
      </w:r>
      <w:r>
        <w:t>—</w:t>
      </w:r>
      <w:r>
        <w:rPr>
          <w:rStyle w:val="CharDivText"/>
        </w:rPr>
        <w:t> </w:t>
      </w:r>
      <w:r>
        <w:rPr>
          <w:rStyle w:val="CharPartText"/>
        </w:rPr>
        <w:t>Subsidiary legislation</w:t>
      </w:r>
      <w:bookmarkEnd w:id="52"/>
      <w:r>
        <w:rPr>
          <w:rStyle w:val="CharPartText"/>
        </w:rPr>
        <w:t xml:space="preserve"> </w:t>
      </w:r>
    </w:p>
    <w:p>
      <w:pPr>
        <w:pStyle w:val="Heading5"/>
        <w:spacing w:before="240"/>
        <w:rPr>
          <w:snapToGrid w:val="0"/>
        </w:rPr>
      </w:pPr>
      <w:bookmarkStart w:id="53" w:name="_Toc155085498"/>
      <w:r>
        <w:rPr>
          <w:rStyle w:val="CharSectno"/>
        </w:rPr>
        <w:t>40</w:t>
      </w:r>
      <w:r>
        <w:rPr>
          <w:snapToGrid w:val="0"/>
        </w:rPr>
        <w:t>.</w:t>
      </w:r>
      <w:r>
        <w:rPr>
          <w:snapToGrid w:val="0"/>
        </w:rPr>
        <w:tab/>
        <w:t>Governor to make subsidiary legislation</w:t>
      </w:r>
      <w:bookmarkEnd w:id="53"/>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54" w:name="_Toc155085499"/>
      <w:r>
        <w:rPr>
          <w:rStyle w:val="CharSectno"/>
        </w:rPr>
        <w:t>41</w:t>
      </w:r>
      <w:r>
        <w:rPr>
          <w:snapToGrid w:val="0"/>
        </w:rPr>
        <w:t>.</w:t>
      </w:r>
      <w:r>
        <w:rPr>
          <w:snapToGrid w:val="0"/>
        </w:rPr>
        <w:tab/>
        <w:t>Publication and commencement of subsidiary legislation</w:t>
      </w:r>
      <w:bookmarkEnd w:id="54"/>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pPr>
      <w:r>
        <w:tab/>
        <w:t>(a)</w:t>
      </w:r>
      <w:r>
        <w:tab/>
        <w:t xml:space="preserve">be published in the </w:t>
      </w:r>
      <w:r>
        <w:rPr>
          <w:i/>
        </w:rPr>
        <w:t xml:space="preserve">Gazette </w:t>
      </w:r>
      <w:r>
        <w:t>or on the WA legislation website; and</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Footnotesection"/>
      </w:pPr>
      <w:r>
        <w:tab/>
        <w:t>[Section 41 amended: No. 13 of 2021 s. 54.]</w:t>
      </w:r>
    </w:p>
    <w:p>
      <w:pPr>
        <w:pStyle w:val="Heading5"/>
        <w:spacing w:before="240"/>
        <w:rPr>
          <w:snapToGrid w:val="0"/>
        </w:rPr>
      </w:pPr>
      <w:bookmarkStart w:id="55" w:name="_Toc155085500"/>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55"/>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rPr>
        <w:t>Gazette</w:t>
      </w:r>
      <w:r>
        <w:t xml:space="preserve"> or on the WA legislation website.</w:t>
      </w:r>
    </w:p>
    <w:p>
      <w:pPr>
        <w:pStyle w:val="Subsection"/>
        <w:spacing w:before="180"/>
        <w:rPr>
          <w:snapToGrid w:val="0"/>
        </w:rPr>
      </w:pPr>
      <w:r>
        <w:rPr>
          <w:snapToGrid w:val="0"/>
        </w:rPr>
        <w:tab/>
        <w:t>(2)</w:t>
      </w:r>
      <w:r>
        <w:rPr>
          <w:snapToGrid w:val="0"/>
        </w:rPr>
        <w:tab/>
        <w:t xml:space="preserve">Notwithstanding any provision in any Act to the contrary, if either House of Parliament passes a resolution disallowing any regulations of which resolution notice has been given within 14 sitting days of such House after such regulations have been </w:t>
      </w:r>
      <w:r>
        <w:rPr>
          <w:snapToGrid w:val="0"/>
        </w:rPr>
        <w:lastRenderedPageBreak/>
        <w:t>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w:t>
      </w:r>
      <w:r>
        <w:t>or on the WA legislation website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w:t>
      </w:r>
      <w:r>
        <w:t>or on the WA legislation website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t>
      </w:r>
      <w:r>
        <w:t>or on the WA legislation website</w:t>
      </w:r>
      <w:r>
        <w:rPr>
          <w:snapToGrid w:val="0"/>
        </w:rPr>
        <w:t xml:space="preserve"> within 21 days of the passing of the resolution.</w:t>
      </w:r>
    </w:p>
    <w:p>
      <w:pPr>
        <w:pStyle w:val="Subsection"/>
        <w:keepNext/>
        <w:spacing w:before="180"/>
        <w:rPr>
          <w:snapToGrid w:val="0"/>
        </w:rPr>
      </w:pPr>
      <w:r>
        <w:rPr>
          <w:snapToGrid w:val="0"/>
        </w:rPr>
        <w:lastRenderedPageBreak/>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No. 14 of 1996 s. 4; No. 13 of 2021 s. 55.] </w:t>
      </w:r>
    </w:p>
    <w:p>
      <w:pPr>
        <w:pStyle w:val="Heading5"/>
        <w:rPr>
          <w:snapToGrid w:val="0"/>
        </w:rPr>
      </w:pPr>
      <w:bookmarkStart w:id="56" w:name="_Toc155085501"/>
      <w:r>
        <w:rPr>
          <w:rStyle w:val="CharSectno"/>
        </w:rPr>
        <w:t>43</w:t>
      </w:r>
      <w:r>
        <w:rPr>
          <w:snapToGrid w:val="0"/>
        </w:rPr>
        <w:t>.</w:t>
      </w:r>
      <w:r>
        <w:rPr>
          <w:snapToGrid w:val="0"/>
        </w:rPr>
        <w:tab/>
        <w:t>Power to make subsidiary legislation, general provisions about</w:t>
      </w:r>
      <w:bookmarkEnd w:id="56"/>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lastRenderedPageBreak/>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 xml:space="preserve">the same provision for all cases in relation to which the power is exercised, or different provision for different cases or classes of case, or </w:t>
      </w:r>
      <w:r>
        <w:rPr>
          <w:snapToGrid w:val="0"/>
        </w:rPr>
        <w:lastRenderedPageBreak/>
        <w:t>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No. 14 of 1996 s. 4.] </w:t>
      </w:r>
    </w:p>
    <w:p>
      <w:pPr>
        <w:pStyle w:val="Heading5"/>
        <w:rPr>
          <w:snapToGrid w:val="0"/>
        </w:rPr>
      </w:pPr>
      <w:bookmarkStart w:id="57" w:name="_Toc155085502"/>
      <w:r>
        <w:rPr>
          <w:rStyle w:val="CharSectno"/>
        </w:rPr>
        <w:lastRenderedPageBreak/>
        <w:t>44</w:t>
      </w:r>
      <w:r>
        <w:rPr>
          <w:snapToGrid w:val="0"/>
        </w:rPr>
        <w:t>.</w:t>
      </w:r>
      <w:r>
        <w:rPr>
          <w:snapToGrid w:val="0"/>
        </w:rPr>
        <w:tab/>
        <w:t>Words and expressions in subsidiary legislation, meaning of</w:t>
      </w:r>
      <w:bookmarkEnd w:id="57"/>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58" w:name="_Toc155085503"/>
      <w:r>
        <w:rPr>
          <w:rStyle w:val="CharSectno"/>
        </w:rPr>
        <w:t>45</w:t>
      </w:r>
      <w:r>
        <w:rPr>
          <w:snapToGrid w:val="0"/>
        </w:rPr>
        <w:t>.</w:t>
      </w:r>
      <w:r>
        <w:rPr>
          <w:snapToGrid w:val="0"/>
        </w:rPr>
        <w:tab/>
        <w:t>Fees and charges</w:t>
      </w:r>
      <w:bookmarkEnd w:id="58"/>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lastRenderedPageBreak/>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Ednotesubsection"/>
      </w:pPr>
      <w:r>
        <w:tab/>
        <w:t>[(3)</w:t>
      </w:r>
      <w:r>
        <w:tab/>
        <w:t>deleted]</w:t>
      </w:r>
    </w:p>
    <w:p>
      <w:pPr>
        <w:pStyle w:val="Footnotesection"/>
      </w:pPr>
      <w:r>
        <w:tab/>
        <w:t>[Section 45 amended: No. 34 of 2020 s. 94.]</w:t>
      </w:r>
    </w:p>
    <w:p>
      <w:pPr>
        <w:pStyle w:val="Heading5"/>
      </w:pPr>
      <w:bookmarkStart w:id="59" w:name="_Toc155085504"/>
      <w:r>
        <w:rPr>
          <w:rStyle w:val="CharSectno"/>
        </w:rPr>
        <w:t>45A</w:t>
      </w:r>
      <w:r>
        <w:t>.</w:t>
      </w:r>
      <w:r>
        <w:tab/>
        <w:t>Fees for licences, effect of power to prescribe</w:t>
      </w:r>
      <w:bookmarkEnd w:id="59"/>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No. 54 of 1997 s. 3.]</w:t>
      </w:r>
    </w:p>
    <w:p>
      <w:pPr>
        <w:pStyle w:val="Heading5"/>
        <w:rPr>
          <w:snapToGrid w:val="0"/>
        </w:rPr>
      </w:pPr>
      <w:bookmarkStart w:id="60" w:name="_Toc155085505"/>
      <w:r>
        <w:rPr>
          <w:rStyle w:val="CharSectno"/>
        </w:rPr>
        <w:lastRenderedPageBreak/>
        <w:t>46</w:t>
      </w:r>
      <w:r>
        <w:rPr>
          <w:snapToGrid w:val="0"/>
        </w:rPr>
        <w:t>.</w:t>
      </w:r>
      <w:r>
        <w:rPr>
          <w:snapToGrid w:val="0"/>
        </w:rPr>
        <w:tab/>
        <w:t>Reference to written law includes reference to subsidiary legislation made under it</w:t>
      </w:r>
      <w:bookmarkEnd w:id="60"/>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No. 73 of 1994 s. 4.] </w:t>
      </w:r>
    </w:p>
    <w:p>
      <w:pPr>
        <w:pStyle w:val="Heading5"/>
        <w:rPr>
          <w:snapToGrid w:val="0"/>
        </w:rPr>
      </w:pPr>
      <w:bookmarkStart w:id="61" w:name="_Toc155085506"/>
      <w:r>
        <w:rPr>
          <w:rStyle w:val="CharSectno"/>
        </w:rPr>
        <w:t>47</w:t>
      </w:r>
      <w:r>
        <w:rPr>
          <w:snapToGrid w:val="0"/>
        </w:rPr>
        <w:t>.</w:t>
      </w:r>
      <w:r>
        <w:rPr>
          <w:snapToGrid w:val="0"/>
        </w:rPr>
        <w:tab/>
        <w:t>Acts done under subsidiary legislation deemed done under Act</w:t>
      </w:r>
      <w:bookmarkEnd w:id="61"/>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62" w:name="_Toc155085507"/>
      <w:r>
        <w:rPr>
          <w:rStyle w:val="CharPartNo"/>
        </w:rPr>
        <w:lastRenderedPageBreak/>
        <w:t>Part VII</w:t>
      </w:r>
      <w:r>
        <w:rPr>
          <w:rStyle w:val="CharDivNo"/>
        </w:rPr>
        <w:t> </w:t>
      </w:r>
      <w:r>
        <w:t>—</w:t>
      </w:r>
      <w:r>
        <w:rPr>
          <w:rStyle w:val="CharDivText"/>
        </w:rPr>
        <w:t> </w:t>
      </w:r>
      <w:r>
        <w:rPr>
          <w:rStyle w:val="CharPartText"/>
        </w:rPr>
        <w:t>Statutory powers and duties</w:t>
      </w:r>
      <w:bookmarkEnd w:id="62"/>
      <w:r>
        <w:rPr>
          <w:rStyle w:val="CharPartText"/>
        </w:rPr>
        <w:t xml:space="preserve"> </w:t>
      </w:r>
    </w:p>
    <w:p>
      <w:pPr>
        <w:pStyle w:val="Heading5"/>
        <w:rPr>
          <w:snapToGrid w:val="0"/>
        </w:rPr>
      </w:pPr>
      <w:bookmarkStart w:id="63" w:name="_Toc155085508"/>
      <w:r>
        <w:rPr>
          <w:rStyle w:val="CharSectno"/>
        </w:rPr>
        <w:t>48</w:t>
      </w:r>
      <w:r>
        <w:rPr>
          <w:snapToGrid w:val="0"/>
        </w:rPr>
        <w:t>.</w:t>
      </w:r>
      <w:r>
        <w:rPr>
          <w:snapToGrid w:val="0"/>
        </w:rPr>
        <w:tab/>
        <w:t>Time for exercise of power or performance of duty</w:t>
      </w:r>
      <w:bookmarkEnd w:id="63"/>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64" w:name="_Toc155085509"/>
      <w:r>
        <w:rPr>
          <w:rStyle w:val="CharSectno"/>
        </w:rPr>
        <w:t>48A</w:t>
      </w:r>
      <w:r>
        <w:rPr>
          <w:snapToGrid w:val="0"/>
        </w:rPr>
        <w:t>.</w:t>
      </w:r>
      <w:r>
        <w:rPr>
          <w:snapToGrid w:val="0"/>
        </w:rPr>
        <w:tab/>
        <w:t>Judicial acts and service of process may be done on any day</w:t>
      </w:r>
      <w:bookmarkEnd w:id="64"/>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No. 49 of 1997 s. 4(1).]</w:t>
      </w:r>
    </w:p>
    <w:p>
      <w:pPr>
        <w:pStyle w:val="Heading5"/>
        <w:spacing w:before="180"/>
        <w:rPr>
          <w:snapToGrid w:val="0"/>
        </w:rPr>
      </w:pPr>
      <w:bookmarkStart w:id="65" w:name="_Toc155085510"/>
      <w:r>
        <w:rPr>
          <w:rStyle w:val="CharSectno"/>
        </w:rPr>
        <w:t>49</w:t>
      </w:r>
      <w:r>
        <w:rPr>
          <w:snapToGrid w:val="0"/>
        </w:rPr>
        <w:t>.</w:t>
      </w:r>
      <w:r>
        <w:rPr>
          <w:snapToGrid w:val="0"/>
        </w:rPr>
        <w:tab/>
        <w:t>Public officer’s powers and duties may be exercised by acting officer etc.</w:t>
      </w:r>
      <w:bookmarkEnd w:id="65"/>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66" w:name="_Toc155085511"/>
      <w:r>
        <w:rPr>
          <w:rStyle w:val="CharSectno"/>
        </w:rPr>
        <w:t>50</w:t>
      </w:r>
      <w:r>
        <w:rPr>
          <w:snapToGrid w:val="0"/>
        </w:rPr>
        <w:t>.</w:t>
      </w:r>
      <w:r>
        <w:rPr>
          <w:snapToGrid w:val="0"/>
        </w:rPr>
        <w:tab/>
        <w:t>Statutory powers, construction of</w:t>
      </w:r>
      <w:bookmarkEnd w:id="66"/>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 xml:space="preserve">to provide for, prohibit, control or regulate any matter, such power includes power to provide for the same by </w:t>
      </w:r>
      <w:r>
        <w:rPr>
          <w:snapToGrid w:val="0"/>
        </w:rPr>
        <w:lastRenderedPageBreak/>
        <w:t>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67" w:name="_Toc155085512"/>
      <w:r>
        <w:rPr>
          <w:rStyle w:val="CharSectno"/>
        </w:rPr>
        <w:t>51</w:t>
      </w:r>
      <w:r>
        <w:rPr>
          <w:snapToGrid w:val="0"/>
        </w:rPr>
        <w:t>.</w:t>
      </w:r>
      <w:r>
        <w:rPr>
          <w:snapToGrid w:val="0"/>
        </w:rPr>
        <w:tab/>
        <w:t>Power to issue licences and other authorisations is discretionary</w:t>
      </w:r>
      <w:bookmarkEnd w:id="67"/>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No. 54 of 2004 s. 175(3).]</w:t>
      </w:r>
    </w:p>
    <w:p>
      <w:pPr>
        <w:pStyle w:val="Heading5"/>
        <w:spacing w:before="120"/>
        <w:rPr>
          <w:snapToGrid w:val="0"/>
        </w:rPr>
      </w:pPr>
      <w:bookmarkStart w:id="68" w:name="_Toc155085513"/>
      <w:r>
        <w:rPr>
          <w:rStyle w:val="CharSectno"/>
        </w:rPr>
        <w:lastRenderedPageBreak/>
        <w:t>52</w:t>
      </w:r>
      <w:r>
        <w:rPr>
          <w:snapToGrid w:val="0"/>
        </w:rPr>
        <w:t>.</w:t>
      </w:r>
      <w:r>
        <w:rPr>
          <w:snapToGrid w:val="0"/>
        </w:rPr>
        <w:tab/>
        <w:t>Power to appoint includes power to remove, suspend, appoint acting officer etc.</w:t>
      </w:r>
      <w:bookmarkEnd w:id="68"/>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w:t>
      </w:r>
      <w:r>
        <w:rPr>
          <w:snapToGrid w:val="0"/>
        </w:rPr>
        <w:lastRenderedPageBreak/>
        <w:t>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No. 31 of 2010 s. 7.]</w:t>
      </w:r>
    </w:p>
    <w:p>
      <w:pPr>
        <w:pStyle w:val="Heading5"/>
        <w:spacing w:before="180"/>
        <w:rPr>
          <w:snapToGrid w:val="0"/>
        </w:rPr>
      </w:pPr>
      <w:bookmarkStart w:id="69" w:name="_Toc155085514"/>
      <w:r>
        <w:rPr>
          <w:rStyle w:val="CharSectno"/>
        </w:rPr>
        <w:t>53</w:t>
      </w:r>
      <w:r>
        <w:rPr>
          <w:snapToGrid w:val="0"/>
        </w:rPr>
        <w:t>.</w:t>
      </w:r>
      <w:r>
        <w:rPr>
          <w:snapToGrid w:val="0"/>
        </w:rPr>
        <w:tab/>
        <w:t>Appointments may be by name or office</w:t>
      </w:r>
      <w:bookmarkEnd w:id="69"/>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70" w:name="_Toc155085515"/>
      <w:r>
        <w:rPr>
          <w:rStyle w:val="CharSectno"/>
        </w:rPr>
        <w:t>54</w:t>
      </w:r>
      <w:r>
        <w:rPr>
          <w:snapToGrid w:val="0"/>
        </w:rPr>
        <w:t>.</w:t>
      </w:r>
      <w:r>
        <w:rPr>
          <w:snapToGrid w:val="0"/>
        </w:rPr>
        <w:tab/>
        <w:t>Statutory bodies, majority and quorum provisions</w:t>
      </w:r>
      <w:bookmarkEnd w:id="70"/>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lastRenderedPageBreak/>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71" w:name="_Toc155085516"/>
      <w:r>
        <w:rPr>
          <w:rStyle w:val="CharSectno"/>
        </w:rPr>
        <w:t>55</w:t>
      </w:r>
      <w:r>
        <w:rPr>
          <w:snapToGrid w:val="0"/>
        </w:rPr>
        <w:t>.</w:t>
      </w:r>
      <w:r>
        <w:rPr>
          <w:snapToGrid w:val="0"/>
        </w:rPr>
        <w:tab/>
        <w:t>Errors when exercising certain powers or duties may be corrected</w:t>
      </w:r>
      <w:bookmarkEnd w:id="71"/>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72" w:name="_Toc155085517"/>
      <w:r>
        <w:rPr>
          <w:snapToGrid w:val="0"/>
        </w:rPr>
        <w:t>56.</w:t>
      </w:r>
      <w:r>
        <w:rPr>
          <w:snapToGrid w:val="0"/>
        </w:rPr>
        <w:tab/>
        <w:t>“May” imports a discretion, “shall” is imperative</w:t>
      </w:r>
      <w:bookmarkEnd w:id="72"/>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73" w:name="_Toc155085518"/>
      <w:r>
        <w:rPr>
          <w:rStyle w:val="CharSectno"/>
        </w:rPr>
        <w:lastRenderedPageBreak/>
        <w:t>57</w:t>
      </w:r>
      <w:r>
        <w:rPr>
          <w:snapToGrid w:val="0"/>
        </w:rPr>
        <w:t>.</w:t>
      </w:r>
      <w:r>
        <w:rPr>
          <w:snapToGrid w:val="0"/>
        </w:rPr>
        <w:tab/>
        <w:t>Statutory bodies, powers of not affected by vacancies etc.</w:t>
      </w:r>
      <w:bookmarkEnd w:id="73"/>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74" w:name="_Toc155085519"/>
      <w:r>
        <w:rPr>
          <w:rStyle w:val="CharSectno"/>
        </w:rPr>
        <w:t>58</w:t>
      </w:r>
      <w:r>
        <w:rPr>
          <w:snapToGrid w:val="0"/>
        </w:rPr>
        <w:t>.</w:t>
      </w:r>
      <w:r>
        <w:rPr>
          <w:snapToGrid w:val="0"/>
        </w:rPr>
        <w:tab/>
        <w:t>Delegates, performance of functions by</w:t>
      </w:r>
      <w:bookmarkEnd w:id="74"/>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75" w:name="_Toc155085520"/>
      <w:r>
        <w:rPr>
          <w:rStyle w:val="CharSectno"/>
        </w:rPr>
        <w:t>59</w:t>
      </w:r>
      <w:r>
        <w:rPr>
          <w:snapToGrid w:val="0"/>
        </w:rPr>
        <w:t>.</w:t>
      </w:r>
      <w:r>
        <w:rPr>
          <w:snapToGrid w:val="0"/>
        </w:rPr>
        <w:tab/>
        <w:t>Power to delegate, effect of</w:t>
      </w:r>
      <w:bookmarkEnd w:id="75"/>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lastRenderedPageBreak/>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76" w:name="_Toc155085521"/>
      <w:r>
        <w:rPr>
          <w:rStyle w:val="CharSectno"/>
        </w:rPr>
        <w:t>60</w:t>
      </w:r>
      <w:r>
        <w:rPr>
          <w:snapToGrid w:val="0"/>
        </w:rPr>
        <w:t>.</w:t>
      </w:r>
      <w:r>
        <w:rPr>
          <w:snapToGrid w:val="0"/>
        </w:rPr>
        <w:tab/>
        <w:t>Governor to act with advice of Executive Council</w:t>
      </w:r>
      <w:bookmarkEnd w:id="76"/>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77" w:name="_Toc155085522"/>
      <w:r>
        <w:rPr>
          <w:rStyle w:val="CharPartNo"/>
        </w:rPr>
        <w:lastRenderedPageBreak/>
        <w:t>Part VIII</w:t>
      </w:r>
      <w:r>
        <w:rPr>
          <w:rStyle w:val="CharDivNo"/>
        </w:rPr>
        <w:t> </w:t>
      </w:r>
      <w:r>
        <w:t>—</w:t>
      </w:r>
      <w:r>
        <w:rPr>
          <w:rStyle w:val="CharDivText"/>
        </w:rPr>
        <w:t> </w:t>
      </w:r>
      <w:r>
        <w:rPr>
          <w:rStyle w:val="CharPartText"/>
        </w:rPr>
        <w:t>Provisions regarding time and distance</w:t>
      </w:r>
      <w:bookmarkEnd w:id="77"/>
      <w:r>
        <w:rPr>
          <w:rStyle w:val="CharPartText"/>
        </w:rPr>
        <w:t xml:space="preserve"> </w:t>
      </w:r>
    </w:p>
    <w:p>
      <w:pPr>
        <w:pStyle w:val="Heading5"/>
        <w:rPr>
          <w:snapToGrid w:val="0"/>
        </w:rPr>
      </w:pPr>
      <w:bookmarkStart w:id="78" w:name="_Toc155085523"/>
      <w:r>
        <w:rPr>
          <w:rStyle w:val="CharSectno"/>
        </w:rPr>
        <w:t>61</w:t>
      </w:r>
      <w:r>
        <w:rPr>
          <w:snapToGrid w:val="0"/>
        </w:rPr>
        <w:t>.</w:t>
      </w:r>
      <w:r>
        <w:rPr>
          <w:snapToGrid w:val="0"/>
        </w:rPr>
        <w:tab/>
        <w:t>Time, computation of</w:t>
      </w:r>
      <w:bookmarkEnd w:id="78"/>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lastRenderedPageBreak/>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79" w:name="_Toc155085524"/>
      <w:r>
        <w:rPr>
          <w:rStyle w:val="CharSectno"/>
        </w:rPr>
        <w:t>62</w:t>
      </w:r>
      <w:r>
        <w:rPr>
          <w:snapToGrid w:val="0"/>
        </w:rPr>
        <w:t>.</w:t>
      </w:r>
      <w:r>
        <w:rPr>
          <w:snapToGrid w:val="0"/>
        </w:rPr>
        <w:tab/>
        <w:t>Months, reckoning of</w:t>
      </w:r>
      <w:bookmarkEnd w:id="79"/>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80" w:name="_Toc155085525"/>
      <w:r>
        <w:rPr>
          <w:rStyle w:val="CharSectno"/>
        </w:rPr>
        <w:t>63</w:t>
      </w:r>
      <w:r>
        <w:rPr>
          <w:snapToGrid w:val="0"/>
        </w:rPr>
        <w:t>.</w:t>
      </w:r>
      <w:r>
        <w:rPr>
          <w:snapToGrid w:val="0"/>
        </w:rPr>
        <w:tab/>
        <w:t>Time for doing acts if no time fixed</w:t>
      </w:r>
      <w:bookmarkEnd w:id="80"/>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81" w:name="_Toc155085526"/>
      <w:r>
        <w:rPr>
          <w:rStyle w:val="CharSectno"/>
        </w:rPr>
        <w:lastRenderedPageBreak/>
        <w:t>64</w:t>
      </w:r>
      <w:r>
        <w:rPr>
          <w:snapToGrid w:val="0"/>
        </w:rPr>
        <w:t>.</w:t>
      </w:r>
      <w:r>
        <w:rPr>
          <w:snapToGrid w:val="0"/>
        </w:rPr>
        <w:tab/>
        <w:t>Power to extend time, construction of</w:t>
      </w:r>
      <w:bookmarkEnd w:id="81"/>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82" w:name="_Toc155085527"/>
      <w:r>
        <w:rPr>
          <w:rStyle w:val="CharSectno"/>
        </w:rPr>
        <w:t>65</w:t>
      </w:r>
      <w:r>
        <w:rPr>
          <w:snapToGrid w:val="0"/>
        </w:rPr>
        <w:t>.</w:t>
      </w:r>
      <w:r>
        <w:rPr>
          <w:snapToGrid w:val="0"/>
        </w:rPr>
        <w:tab/>
        <w:t>Distance, measurement of</w:t>
      </w:r>
      <w:bookmarkEnd w:id="82"/>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83" w:name="_Toc155085528"/>
      <w:r>
        <w:rPr>
          <w:rStyle w:val="CharPartNo"/>
        </w:rPr>
        <w:lastRenderedPageBreak/>
        <w:t>Part IX</w:t>
      </w:r>
      <w:r>
        <w:rPr>
          <w:rStyle w:val="CharDivNo"/>
        </w:rPr>
        <w:t> </w:t>
      </w:r>
      <w:r>
        <w:t>—</w:t>
      </w:r>
      <w:r>
        <w:rPr>
          <w:rStyle w:val="CharDivText"/>
        </w:rPr>
        <w:t> </w:t>
      </w:r>
      <w:r>
        <w:rPr>
          <w:rStyle w:val="CharPartText"/>
        </w:rPr>
        <w:t>Procedures and penalties</w:t>
      </w:r>
      <w:bookmarkEnd w:id="83"/>
      <w:r>
        <w:rPr>
          <w:rStyle w:val="CharPartText"/>
        </w:rPr>
        <w:t xml:space="preserve"> </w:t>
      </w:r>
    </w:p>
    <w:p>
      <w:pPr>
        <w:pStyle w:val="Heading5"/>
        <w:spacing w:before="240"/>
        <w:rPr>
          <w:snapToGrid w:val="0"/>
        </w:rPr>
      </w:pPr>
      <w:bookmarkStart w:id="84" w:name="_Toc155085529"/>
      <w:r>
        <w:rPr>
          <w:rStyle w:val="CharSectno"/>
        </w:rPr>
        <w:t>66</w:t>
      </w:r>
      <w:r>
        <w:rPr>
          <w:snapToGrid w:val="0"/>
        </w:rPr>
        <w:t>.</w:t>
      </w:r>
      <w:r>
        <w:rPr>
          <w:snapToGrid w:val="0"/>
        </w:rPr>
        <w:tab/>
        <w:t>Rules of court</w:t>
      </w:r>
      <w:bookmarkEnd w:id="84"/>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85" w:name="_Toc155085530"/>
      <w:r>
        <w:rPr>
          <w:rStyle w:val="CharSectno"/>
        </w:rPr>
        <w:t>67</w:t>
      </w:r>
      <w:r>
        <w:rPr>
          <w:snapToGrid w:val="0"/>
        </w:rPr>
        <w:t>.</w:t>
      </w:r>
      <w:r>
        <w:rPr>
          <w:snapToGrid w:val="0"/>
        </w:rPr>
        <w:tab/>
        <w:t>Offences and proceedings for offences</w:t>
      </w:r>
      <w:bookmarkEnd w:id="85"/>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No. 92 of 1994 s. 15; amended: No. 4 of 2004 s. 58; No. 59 of 2004 s. 141; No. 84 of 2004 s. 78.] </w:t>
      </w:r>
    </w:p>
    <w:p>
      <w:pPr>
        <w:pStyle w:val="Ednotesection"/>
      </w:pPr>
      <w:r>
        <w:lastRenderedPageBreak/>
        <w:t>[</w:t>
      </w:r>
      <w:r>
        <w:rPr>
          <w:b/>
        </w:rPr>
        <w:t>68.</w:t>
      </w:r>
      <w:r>
        <w:tab/>
        <w:t xml:space="preserve">Deleted: No. 78 of 1995 s. 56.] </w:t>
      </w:r>
    </w:p>
    <w:p>
      <w:pPr>
        <w:pStyle w:val="Heading5"/>
        <w:rPr>
          <w:snapToGrid w:val="0"/>
        </w:rPr>
      </w:pPr>
      <w:bookmarkStart w:id="86" w:name="_Toc155085531"/>
      <w:r>
        <w:rPr>
          <w:rStyle w:val="CharSectno"/>
        </w:rPr>
        <w:t>69</w:t>
      </w:r>
      <w:r>
        <w:rPr>
          <w:snapToGrid w:val="0"/>
        </w:rPr>
        <w:t>.</w:t>
      </w:r>
      <w:r>
        <w:rPr>
          <w:snapToGrid w:val="0"/>
        </w:rPr>
        <w:tab/>
        <w:t>Bodies corporate, application of penal laws to</w:t>
      </w:r>
      <w:bookmarkEnd w:id="86"/>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No. 78 of 1995 s. 56.] </w:t>
      </w:r>
    </w:p>
    <w:p>
      <w:pPr>
        <w:pStyle w:val="Ednotesection"/>
      </w:pPr>
      <w:r>
        <w:t>[</w:t>
      </w:r>
      <w:r>
        <w:rPr>
          <w:b/>
        </w:rPr>
        <w:t>70.</w:t>
      </w:r>
      <w:r>
        <w:tab/>
        <w:t xml:space="preserve">Deleted: No. 78 of 1995 s. 56.] </w:t>
      </w:r>
    </w:p>
    <w:p>
      <w:pPr>
        <w:pStyle w:val="Heading5"/>
        <w:rPr>
          <w:snapToGrid w:val="0"/>
        </w:rPr>
      </w:pPr>
      <w:bookmarkStart w:id="87" w:name="_Toc155085532"/>
      <w:r>
        <w:rPr>
          <w:rStyle w:val="CharSectno"/>
        </w:rPr>
        <w:t>71</w:t>
      </w:r>
      <w:r>
        <w:rPr>
          <w:snapToGrid w:val="0"/>
        </w:rPr>
        <w:t>.</w:t>
      </w:r>
      <w:r>
        <w:rPr>
          <w:snapToGrid w:val="0"/>
        </w:rPr>
        <w:tab/>
        <w:t>Continuing offences</w:t>
      </w:r>
      <w:bookmarkEnd w:id="8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 xml:space="preserve">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w:t>
      </w:r>
      <w:r>
        <w:rPr>
          <w:snapToGrid w:val="0"/>
        </w:rPr>
        <w:lastRenderedPageBreak/>
        <w:t>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88" w:name="_Toc155085533"/>
      <w:r>
        <w:rPr>
          <w:rStyle w:val="CharSectno"/>
        </w:rPr>
        <w:t>72</w:t>
      </w:r>
      <w:r>
        <w:rPr>
          <w:snapToGrid w:val="0"/>
        </w:rPr>
        <w:t>.</w:t>
      </w:r>
      <w:r>
        <w:rPr>
          <w:snapToGrid w:val="0"/>
        </w:rPr>
        <w:tab/>
        <w:t>Statutory penalties, construction of</w:t>
      </w:r>
      <w:bookmarkEnd w:id="88"/>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 xml:space="preserve">Where in an Act a penalty is specified as described in subsection (1) in respect of a section or subsection that </w:t>
      </w:r>
      <w:r>
        <w:rPr>
          <w:snapToGrid w:val="0"/>
        </w:rPr>
        <w:lastRenderedPageBreak/>
        <w:t>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No. 78 of 1995 s. 55; amended: No. 10 of 1998 s. 40(2); No. 24 of 2000 s. 19.] </w:t>
      </w:r>
    </w:p>
    <w:p>
      <w:pPr>
        <w:pStyle w:val="Heading2"/>
      </w:pPr>
      <w:bookmarkStart w:id="89" w:name="_Toc155085534"/>
      <w:r>
        <w:rPr>
          <w:rStyle w:val="CharPartNo"/>
        </w:rPr>
        <w:lastRenderedPageBreak/>
        <w:t>Part X</w:t>
      </w:r>
      <w:r>
        <w:rPr>
          <w:rStyle w:val="CharDivNo"/>
        </w:rPr>
        <w:t> </w:t>
      </w:r>
      <w:r>
        <w:t>—</w:t>
      </w:r>
      <w:r>
        <w:rPr>
          <w:rStyle w:val="CharDivText"/>
        </w:rPr>
        <w:t> </w:t>
      </w:r>
      <w:r>
        <w:rPr>
          <w:rStyle w:val="CharPartText"/>
        </w:rPr>
        <w:t>Miscellaneous provisions</w:t>
      </w:r>
      <w:bookmarkEnd w:id="89"/>
      <w:r>
        <w:rPr>
          <w:rStyle w:val="CharPartText"/>
        </w:rPr>
        <w:t xml:space="preserve"> </w:t>
      </w:r>
    </w:p>
    <w:p>
      <w:pPr>
        <w:pStyle w:val="Heading5"/>
        <w:rPr>
          <w:snapToGrid w:val="0"/>
        </w:rPr>
      </w:pPr>
      <w:bookmarkStart w:id="90" w:name="_Toc155085535"/>
      <w:r>
        <w:rPr>
          <w:rStyle w:val="CharSectno"/>
        </w:rPr>
        <w:t>73</w:t>
      </w:r>
      <w:r>
        <w:rPr>
          <w:snapToGrid w:val="0"/>
        </w:rPr>
        <w:t>.</w:t>
      </w:r>
      <w:r>
        <w:rPr>
          <w:snapToGrid w:val="0"/>
        </w:rPr>
        <w:tab/>
        <w:t>State deemed established 1 June 1829</w:t>
      </w:r>
      <w:bookmarkEnd w:id="90"/>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91" w:name="_Toc155085536"/>
      <w:r>
        <w:rPr>
          <w:rStyle w:val="CharSectno"/>
        </w:rPr>
        <w:t>74</w:t>
      </w:r>
      <w:r>
        <w:rPr>
          <w:snapToGrid w:val="0"/>
        </w:rPr>
        <w:t>.</w:t>
      </w:r>
      <w:r>
        <w:rPr>
          <w:snapToGrid w:val="0"/>
        </w:rPr>
        <w:tab/>
        <w:t>Prescribed forms, certain deviations do not invalidate</w:t>
      </w:r>
      <w:bookmarkEnd w:id="91"/>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92" w:name="_Toc155085537"/>
      <w:r>
        <w:rPr>
          <w:rStyle w:val="CharSectno"/>
        </w:rPr>
        <w:t>75</w:t>
      </w:r>
      <w:r>
        <w:rPr>
          <w:snapToGrid w:val="0"/>
        </w:rPr>
        <w:t>.</w:t>
      </w:r>
      <w:r>
        <w:rPr>
          <w:snapToGrid w:val="0"/>
        </w:rPr>
        <w:tab/>
        <w:t>Service of documents by post</w:t>
      </w:r>
      <w:bookmarkEnd w:id="92"/>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93" w:name="_Toc155085538"/>
      <w:r>
        <w:rPr>
          <w:rStyle w:val="CharSectno"/>
        </w:rPr>
        <w:lastRenderedPageBreak/>
        <w:t>76</w:t>
      </w:r>
      <w:r>
        <w:rPr>
          <w:snapToGrid w:val="0"/>
        </w:rPr>
        <w:t>.</w:t>
      </w:r>
      <w:r>
        <w:rPr>
          <w:snapToGrid w:val="0"/>
        </w:rPr>
        <w:tab/>
        <w:t>Service of documents generally</w:t>
      </w:r>
      <w:bookmarkEnd w:id="93"/>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94" w:name="_Toc155085539"/>
      <w:r>
        <w:rPr>
          <w:rStyle w:val="CharSectno"/>
        </w:rPr>
        <w:t>76A</w:t>
      </w:r>
      <w:r>
        <w:rPr>
          <w:snapToGrid w:val="0"/>
        </w:rPr>
        <w:t xml:space="preserve">. </w:t>
      </w:r>
      <w:r>
        <w:rPr>
          <w:snapToGrid w:val="0"/>
        </w:rPr>
        <w:tab/>
        <w:t>Written laws made before Australia Acts, validity of</w:t>
      </w:r>
      <w:bookmarkEnd w:id="94"/>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lastRenderedPageBreak/>
        <w:tab/>
        <w:t>(b)</w:t>
      </w:r>
      <w:r>
        <w:rPr>
          <w:snapToGrid w:val="0"/>
        </w:rPr>
        <w:tab/>
        <w:t>invalidate any Act because it was assented to by the Sovereign rather than the Governor.</w:t>
      </w:r>
    </w:p>
    <w:p>
      <w:pPr>
        <w:pStyle w:val="Footnotesection"/>
      </w:pPr>
      <w:r>
        <w:tab/>
        <w:t xml:space="preserve">[Section 76A inserted: No. 85 of 1994 s. 5.] </w:t>
      </w:r>
    </w:p>
    <w:p>
      <w:pPr>
        <w:pStyle w:val="Heading5"/>
        <w:rPr>
          <w:snapToGrid w:val="0"/>
        </w:rPr>
      </w:pPr>
      <w:bookmarkStart w:id="95" w:name="_Toc155085540"/>
      <w:r>
        <w:rPr>
          <w:rStyle w:val="CharSectno"/>
        </w:rPr>
        <w:t>77</w:t>
      </w:r>
      <w:r>
        <w:rPr>
          <w:snapToGrid w:val="0"/>
        </w:rPr>
        <w:t>.</w:t>
      </w:r>
      <w:r>
        <w:rPr>
          <w:snapToGrid w:val="0"/>
        </w:rPr>
        <w:tab/>
        <w:t>Repeal and saving</w:t>
      </w:r>
      <w:bookmarkEnd w:id="95"/>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r>
        <w:rPr>
          <w:snapToGrid w:val="0"/>
          <w:vertAlign w:val="superscript"/>
        </w:rPr>
        <w:t> 1</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r>
        <w:rPr>
          <w:snapToGrid w:val="0"/>
          <w:vertAlign w:val="superscript"/>
        </w:rPr>
        <w:t> 4</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96" w:name="_Toc155085541"/>
      <w:r>
        <w:lastRenderedPageBreak/>
        <w:t>Notes</w:t>
      </w:r>
      <w:bookmarkEnd w:id="96"/>
    </w:p>
    <w:p>
      <w:pPr>
        <w:pStyle w:val="nStatement"/>
      </w:pPr>
      <w:r>
        <w:t xml:space="preserve">This is a compilation of the </w:t>
      </w:r>
      <w:r>
        <w:rPr>
          <w:i/>
          <w:noProof/>
        </w:rPr>
        <w:t>Interpretation Act 1984</w:t>
      </w:r>
      <w:r>
        <w:t xml:space="preserve"> and includes amendments made by other written laws. For provisions that have come into operation, and for information about any reprints, see the compilation table. </w:t>
      </w:r>
    </w:p>
    <w:p>
      <w:pPr>
        <w:pStyle w:val="nHeading3"/>
      </w:pPr>
      <w:bookmarkStart w:id="97" w:name="_Toc155085542"/>
      <w:r>
        <w:t>Compilation table</w:t>
      </w:r>
      <w:bookmarkEnd w:id="97"/>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lastRenderedPageBreak/>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Sunday Observance Laws Amendment and Repeal Act 1997 </w:t>
            </w:r>
            <w:r>
              <w:t>s. 4</w:t>
            </w:r>
            <w:r>
              <w:rPr>
                <w:vertAlign w:val="superscript"/>
              </w:rPr>
              <w:t xml:space="preserve">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lastRenderedPageBreak/>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lastRenderedPageBreak/>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Statutes (Repeals and Minor Amendments) Act 2014</w:t>
            </w:r>
            <w:r>
              <w:rPr>
                <w:snapToGrid w:val="0"/>
              </w:rPr>
              <w:t xml:space="preserve"> s. 27</w:t>
            </w:r>
          </w:p>
        </w:tc>
        <w:tc>
          <w:tcPr>
            <w:tcW w:w="1134" w:type="dxa"/>
          </w:tcPr>
          <w:p>
            <w:pPr>
              <w:pStyle w:val="nTable"/>
              <w:spacing w:after="40"/>
            </w:pPr>
            <w:r>
              <w:rPr>
                <w:snapToGrid w:val="0"/>
              </w:rPr>
              <w:t>17 of 2014</w:t>
            </w:r>
          </w:p>
        </w:tc>
        <w:tc>
          <w:tcPr>
            <w:tcW w:w="1134" w:type="dxa"/>
          </w:tcPr>
          <w:p>
            <w:pPr>
              <w:pStyle w:val="nTable"/>
              <w:spacing w:after="40"/>
            </w:pPr>
            <w:r>
              <w:t>2 Jul 2014</w:t>
            </w:r>
          </w:p>
        </w:tc>
        <w:tc>
          <w:tcPr>
            <w:tcW w:w="2552" w:type="dxa"/>
          </w:tcPr>
          <w:p>
            <w:pPr>
              <w:pStyle w:val="nTable"/>
              <w:spacing w:after="40"/>
            </w:pPr>
            <w:r>
              <w:rPr>
                <w:snapToGrid w:val="0"/>
              </w:rPr>
              <w:t xml:space="preserve">6 Sep 2014 (see s. 2(b) and </w:t>
            </w:r>
            <w:r>
              <w:rPr>
                <w:i/>
                <w:snapToGrid w:val="0"/>
              </w:rPr>
              <w:t>Gazette</w:t>
            </w:r>
            <w:r>
              <w:rPr>
                <w:snapToGrid w:val="0"/>
              </w:rPr>
              <w:t xml:space="preserve"> 5 Sep 2014 p. 3213)</w:t>
            </w:r>
          </w:p>
        </w:tc>
      </w:tr>
      <w:tr>
        <w:trPr>
          <w:cantSplit/>
        </w:trPr>
        <w:tc>
          <w:tcPr>
            <w:tcW w:w="2269"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19</w:t>
            </w:r>
          </w:p>
        </w:tc>
        <w:tc>
          <w:tcPr>
            <w:tcW w:w="1134" w:type="dxa"/>
            <w:tcBorders>
              <w:top w:val="nil"/>
              <w:bottom w:val="nil"/>
            </w:tcBorders>
          </w:tcPr>
          <w:p>
            <w:pPr>
              <w:pStyle w:val="nTable"/>
              <w:spacing w:after="40"/>
              <w:rPr>
                <w:snapToGrid w:val="0"/>
              </w:rPr>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9" w:type="dxa"/>
            <w:tcBorders>
              <w:top w:val="nil"/>
              <w:bottom w:val="nil"/>
            </w:tcBorders>
          </w:tcPr>
          <w:p>
            <w:pPr>
              <w:pStyle w:val="nTable"/>
              <w:spacing w:after="40"/>
              <w:rPr>
                <w:snapToGrid w:val="0"/>
              </w:rPr>
            </w:pPr>
            <w:r>
              <w:rPr>
                <w:i/>
              </w:rPr>
              <w:t>COVID</w:t>
            </w:r>
            <w:r>
              <w:rPr>
                <w:i/>
              </w:rPr>
              <w:noBreakHyphen/>
              <w:t>19 Response and Economic Recovery Omnibus Act 2020</w:t>
            </w:r>
            <w:r>
              <w:t xml:space="preserve"> Pt. 6 Div. 5 Subdiv. 1</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rPr>
          <w:cantSplit/>
        </w:trPr>
        <w:tc>
          <w:tcPr>
            <w:tcW w:w="2269" w:type="dxa"/>
            <w:tcBorders>
              <w:top w:val="nil"/>
              <w:bottom w:val="nil"/>
            </w:tcBorders>
          </w:tcPr>
          <w:p>
            <w:pPr>
              <w:pStyle w:val="nTable"/>
              <w:spacing w:after="40"/>
              <w:rPr>
                <w:i/>
              </w:rPr>
            </w:pPr>
            <w:r>
              <w:rPr>
                <w:i/>
              </w:rPr>
              <w:t>Legislation Act 2021</w:t>
            </w:r>
            <w:r>
              <w:t xml:space="preserve"> Pt. 6 Div. 1</w:t>
            </w:r>
          </w:p>
        </w:tc>
        <w:tc>
          <w:tcPr>
            <w:tcW w:w="1134" w:type="dxa"/>
            <w:tcBorders>
              <w:top w:val="nil"/>
              <w:bottom w:val="nil"/>
            </w:tcBorders>
          </w:tcPr>
          <w:p>
            <w:pPr>
              <w:pStyle w:val="nTable"/>
              <w:spacing w:after="40"/>
            </w:pPr>
            <w:r>
              <w:t>13 of 2021</w:t>
            </w:r>
          </w:p>
        </w:tc>
        <w:tc>
          <w:tcPr>
            <w:tcW w:w="1134" w:type="dxa"/>
            <w:tcBorders>
              <w:top w:val="nil"/>
              <w:bottom w:val="nil"/>
            </w:tcBorders>
          </w:tcPr>
          <w:p>
            <w:pPr>
              <w:pStyle w:val="nTable"/>
              <w:spacing w:after="40"/>
            </w:pPr>
            <w:r>
              <w:t>24 Aug 2021</w:t>
            </w:r>
          </w:p>
        </w:tc>
        <w:tc>
          <w:tcPr>
            <w:tcW w:w="2552" w:type="dxa"/>
            <w:tcBorders>
              <w:top w:val="nil"/>
              <w:bottom w:val="nil"/>
            </w:tcBorders>
          </w:tcPr>
          <w:p>
            <w:pPr>
              <w:pStyle w:val="nTable"/>
              <w:spacing w:after="40"/>
              <w:rPr>
                <w:snapToGrid w:val="0"/>
              </w:rPr>
            </w:pPr>
            <w:r>
              <w:t>1 Jul 2023 (see s. 2(b) and SL 2023/58 cl. 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rPr>
            </w:pPr>
            <w:r>
              <w:rPr>
                <w:i/>
              </w:rPr>
              <w:t>Legal Profession Uniform Law Application Act 2022</w:t>
            </w:r>
            <w:r>
              <w:t xml:space="preserve"> Pt. 17 Div. 10</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2" w:type="dxa"/>
            <w:tcBorders>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98" w:name="_Toc155085543"/>
      <w:r>
        <w:t>Other notes</w:t>
      </w:r>
      <w:bookmarkEnd w:id="98"/>
    </w:p>
    <w:p>
      <w:pPr>
        <w:pStyle w:val="nNote"/>
        <w:spacing w:before="160"/>
        <w:rPr>
          <w:snapToGrid w:val="0"/>
        </w:rPr>
      </w:pPr>
      <w:r>
        <w:rPr>
          <w:snapToGrid w:val="0"/>
          <w:vertAlign w:val="superscript"/>
        </w:rPr>
        <w:t>1</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zHeading5"/>
        <w:rPr>
          <w:snapToGrid w:val="0"/>
        </w:rPr>
      </w:pPr>
      <w:r>
        <w:rPr>
          <w:snapToGrid w:val="0"/>
        </w:rPr>
        <w:t>11.</w:t>
      </w:r>
      <w:r>
        <w:rPr>
          <w:snapToGrid w:val="0"/>
        </w:rPr>
        <w:tab/>
        <w:t>Exercise of statutory power between passing and coming into operation of an Act or any provision thereof.</w:t>
      </w:r>
    </w:p>
    <w:p>
      <w:pPr>
        <w:pStyle w:val="nzSubsection"/>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zSubsection"/>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zSubsection"/>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Note"/>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Note"/>
        <w:spacing w:before="160"/>
        <w:rPr>
          <w:snapToGrid w:val="0"/>
          <w:vertAlign w:val="superscript"/>
        </w:rPr>
      </w:pPr>
      <w:r>
        <w:rPr>
          <w:snapToGrid w:val="0"/>
          <w:vertAlign w:val="superscript"/>
        </w:rPr>
        <w:t>3</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Note"/>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zHeading5"/>
        <w:rPr>
          <w:snapToGrid w:val="0"/>
        </w:rPr>
      </w:pPr>
      <w:r>
        <w:rPr>
          <w:snapToGrid w:val="0"/>
        </w:rPr>
        <w:t>47.</w:t>
      </w:r>
      <w:r>
        <w:rPr>
          <w:snapToGrid w:val="0"/>
        </w:rPr>
        <w:tab/>
        <w:t>Sections in Second Schedule may be incorporated in Act by reference.</w:t>
      </w:r>
    </w:p>
    <w:p>
      <w:pPr>
        <w:pStyle w:val="nzSubsection"/>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zSubsection"/>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zMiscellaneousHeading"/>
        <w:rPr>
          <w:b/>
        </w:rPr>
      </w:pPr>
      <w:r>
        <w:rPr>
          <w:b/>
        </w:rPr>
        <w:t>The Second Schedule.</w:t>
      </w:r>
    </w:p>
    <w:p>
      <w:pPr>
        <w:pStyle w:val="nzMiscellaneousHeading"/>
        <w:rPr>
          <w:b/>
        </w:rPr>
      </w:pPr>
      <w:r>
        <w:rPr>
          <w:b/>
        </w:rPr>
        <w:t>A.</w:t>
      </w:r>
    </w:p>
    <w:p>
      <w:pPr>
        <w:pStyle w:val="nzMiscellaneousBody"/>
        <w:ind w:left="1418" w:hanging="851"/>
      </w:pP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zMiscellaneousHeading"/>
        <w:rPr>
          <w:b/>
        </w:rPr>
      </w:pPr>
      <w:r>
        <w:rPr>
          <w:b/>
        </w:rPr>
        <w:t>B.</w:t>
      </w:r>
    </w:p>
    <w:p>
      <w:pPr>
        <w:pStyle w:val="nzMiscellaneousBody"/>
        <w:ind w:left="1418" w:hanging="851"/>
      </w:pPr>
      <w:r>
        <w:rPr>
          <w:b/>
          <w:bCs/>
        </w:rPr>
        <w:tab/>
      </w:r>
      <w:r>
        <w:t>The complaint in respect of an offence against this Act shall be made and the proceedings commenced within one month after the offence thereby charged shall have been committed.</w:t>
      </w:r>
    </w:p>
    <w:p>
      <w:pPr>
        <w:pStyle w:val="nzMiscellaneousHeading"/>
        <w:rPr>
          <w:b/>
        </w:rPr>
      </w:pPr>
      <w:r>
        <w:rPr>
          <w:b/>
        </w:rPr>
        <w:t>C.</w:t>
      </w:r>
    </w:p>
    <w:p>
      <w:pPr>
        <w:pStyle w:val="nzMiscellaneousBody"/>
        <w:ind w:left="1418" w:hanging="851"/>
      </w:pPr>
      <w:r>
        <w:rPr>
          <w:b/>
          <w:bCs/>
        </w:rPr>
        <w:tab/>
      </w:r>
      <w:r>
        <w:t>The complaint in respect of an offence against this Act shall be made and the proceedings commenced within three months after the offence thereby charged shall have been committed.</w:t>
      </w:r>
    </w:p>
    <w:p>
      <w:pPr>
        <w:pStyle w:val="nzMiscellaneousHeading"/>
        <w:rPr>
          <w:b/>
        </w:rPr>
      </w:pPr>
      <w:r>
        <w:rPr>
          <w:b/>
        </w:rPr>
        <w:t>D.</w:t>
      </w:r>
    </w:p>
    <w:p>
      <w:pPr>
        <w:pStyle w:val="nzMiscellaneousBody"/>
        <w:ind w:left="1418" w:hanging="851"/>
      </w:pPr>
      <w:r>
        <w:tab/>
        <w:t>The complaint in respect of an offence against this Act shall be made and the proceedings commenced within six months after the offence thereby charged shall have been committed.</w:t>
      </w:r>
    </w:p>
    <w:p>
      <w:pPr>
        <w:pStyle w:val="nzMiscellaneousHeading"/>
        <w:rPr>
          <w:b/>
        </w:rPr>
      </w:pPr>
      <w:r>
        <w:rPr>
          <w:b/>
        </w:rPr>
        <w:t>E.</w:t>
      </w:r>
    </w:p>
    <w:p>
      <w:pPr>
        <w:pStyle w:val="nzMiscellaneousBody"/>
        <w:ind w:left="1418" w:hanging="851"/>
      </w:pPr>
      <w:r>
        <w:tab/>
        <w:t>The complaint in respect of an offence against this Act shall be made and the proceedings commenced within twelve months after the offence thereby charged shall have been committed.</w:t>
      </w:r>
    </w:p>
    <w:p>
      <w:pPr>
        <w:pStyle w:val="nzMiscellaneousHeading"/>
        <w:rPr>
          <w:b/>
        </w:rPr>
      </w:pPr>
      <w:r>
        <w:rPr>
          <w:b/>
        </w:rPr>
        <w:lastRenderedPageBreak/>
        <w:t>F.</w:t>
      </w:r>
    </w:p>
    <w:p>
      <w:pPr>
        <w:pStyle w:val="nzMiscellaneousBody"/>
        <w:ind w:left="1418" w:hanging="851"/>
      </w:pP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zMiscellaneousHeading"/>
        <w:rPr>
          <w:b/>
        </w:rPr>
      </w:pPr>
      <w:r>
        <w:rPr>
          <w:b/>
        </w:rPr>
        <w:t>G.</w:t>
      </w:r>
    </w:p>
    <w:p>
      <w:pPr>
        <w:pStyle w:val="nzMiscellaneousBody"/>
        <w:ind w:left="1418" w:hanging="851"/>
      </w:pP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zMiscellaneousHeading"/>
        <w:rPr>
          <w:b/>
        </w:rPr>
      </w:pPr>
      <w:r>
        <w:rPr>
          <w:b/>
        </w:rPr>
        <w:t>H.</w:t>
      </w:r>
    </w:p>
    <w:p>
      <w:pPr>
        <w:pStyle w:val="nzMiscellaneousBody"/>
        <w:ind w:left="1418" w:hanging="851"/>
      </w:pPr>
      <w:r>
        <w:tab/>
        <w:t xml:space="preserve">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w:t>
      </w:r>
      <w:r>
        <w:lastRenderedPageBreak/>
        <w:t>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Note"/>
      </w:pPr>
      <w:r>
        <w:rPr>
          <w:vertAlign w:val="superscript"/>
        </w:rPr>
        <w:t>5</w:t>
      </w:r>
      <w:r>
        <w:tab/>
        <w:t xml:space="preserve">The </w:t>
      </w:r>
      <w:r>
        <w:rPr>
          <w:i/>
        </w:rPr>
        <w:t>Sunday Observance Laws Amendment and Repeal Act 1997</w:t>
      </w:r>
      <w:r>
        <w:t xml:space="preserve"> s. 4(2) is a transitional provision that is of no further effect.</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00" w:name="_Toc155085544"/>
      <w:r>
        <w:rPr>
          <w:sz w:val="28"/>
        </w:rPr>
        <w:lastRenderedPageBreak/>
        <w:t>Defined terms</w:t>
      </w:r>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5</w:t>
      </w:r>
    </w:p>
    <w:p>
      <w:pPr>
        <w:pStyle w:val="DefinedTerms"/>
      </w:pPr>
      <w:r>
        <w:t>Act</w:t>
      </w:r>
      <w:r>
        <w:tab/>
        <w:t>5</w:t>
      </w:r>
    </w:p>
    <w:p>
      <w:pPr>
        <w:pStyle w:val="DefinedTerms"/>
      </w:pPr>
      <w:r>
        <w:t>Act of the Commonwealth</w:t>
      </w:r>
      <w:r>
        <w:tab/>
        <w:t>5</w:t>
      </w:r>
    </w:p>
    <w:p>
      <w:pPr>
        <w:pStyle w:val="DefinedTerms"/>
      </w:pPr>
      <w:r>
        <w:t>affidavit</w:t>
      </w:r>
      <w:r>
        <w:tab/>
        <w:t>5</w:t>
      </w:r>
    </w:p>
    <w:p>
      <w:pPr>
        <w:pStyle w:val="DefinedTerms"/>
      </w:pPr>
      <w:r>
        <w:t>alternative offence</w:t>
      </w:r>
      <w:r>
        <w:tab/>
        <w:t>5</w:t>
      </w:r>
    </w:p>
    <w:p>
      <w:pPr>
        <w:pStyle w:val="DefinedTerms"/>
      </w:pPr>
      <w:r>
        <w:t>amend</w:t>
      </w:r>
      <w:r>
        <w:tab/>
        <w:t>5</w:t>
      </w:r>
    </w:p>
    <w:p>
      <w:pPr>
        <w:pStyle w:val="DefinedTerms"/>
      </w:pPr>
      <w:r>
        <w:t>ASIC Law</w:t>
      </w:r>
      <w:r>
        <w:tab/>
        <w:t>5</w:t>
      </w:r>
    </w:p>
    <w:p>
      <w:pPr>
        <w:pStyle w:val="DefinedTerms"/>
      </w:pPr>
      <w:r>
        <w:t>ASIC Regulations</w:t>
      </w:r>
      <w:r>
        <w:tab/>
        <w:t>5</w:t>
      </w:r>
    </w:p>
    <w:p>
      <w:pPr>
        <w:pStyle w:val="DefinedTerms"/>
      </w:pPr>
      <w:r>
        <w:t>association</w:t>
      </w:r>
      <w:r>
        <w:tab/>
        <w:t>54(2)</w:t>
      </w:r>
    </w:p>
    <w:p>
      <w:pPr>
        <w:pStyle w:val="DefinedTerms"/>
      </w:pPr>
      <w:r>
        <w:t>Auditor General</w:t>
      </w:r>
      <w:r>
        <w:tab/>
        <w:t>5</w:t>
      </w:r>
    </w:p>
    <w:p>
      <w:pPr>
        <w:pStyle w:val="DefinedTerms"/>
      </w:pPr>
      <w:r>
        <w:t>Australia</w:t>
      </w:r>
      <w:r>
        <w:tab/>
        <w:t>5</w:t>
      </w:r>
    </w:p>
    <w:p>
      <w:pPr>
        <w:pStyle w:val="DefinedTerms"/>
      </w:pPr>
      <w:r>
        <w:t>Australia Acts</w:t>
      </w:r>
      <w:r>
        <w:tab/>
        <w:t>5</w:t>
      </w:r>
    </w:p>
    <w:p>
      <w:pPr>
        <w:pStyle w:val="DefinedTerms"/>
      </w:pPr>
      <w:r>
        <w:t>bank holiday</w:t>
      </w:r>
      <w:r>
        <w:tab/>
        <w:t>5</w:t>
      </w:r>
    </w:p>
    <w:p>
      <w:pPr>
        <w:pStyle w:val="DefinedTerms"/>
      </w:pPr>
      <w:r>
        <w:t>bankrupt and bankrupt or a person whose affairs are under insolvency laws</w:t>
      </w:r>
      <w:r>
        <w:tab/>
        <w:t>5</w:t>
      </w:r>
    </w:p>
    <w:p>
      <w:pPr>
        <w:pStyle w:val="DefinedTerms"/>
      </w:pPr>
      <w:r>
        <w:t>book</w:t>
      </w:r>
      <w:r>
        <w:tab/>
        <w:t>5</w:t>
      </w:r>
    </w:p>
    <w:p>
      <w:pPr>
        <w:pStyle w:val="DefinedTerms"/>
      </w:pPr>
      <w:r>
        <w:t>British possession</w:t>
      </w:r>
      <w:r>
        <w:tab/>
        <w:t>5</w:t>
      </w:r>
    </w:p>
    <w:p>
      <w:pPr>
        <w:pStyle w:val="DefinedTerms"/>
      </w:pPr>
      <w:r>
        <w:t>by-law</w:t>
      </w:r>
      <w:r>
        <w:tab/>
        <w:t>5</w:t>
      </w:r>
    </w:p>
    <w:p>
      <w:pPr>
        <w:pStyle w:val="DefinedTerms"/>
      </w:pPr>
      <w:r>
        <w:t>cause</w:t>
      </w:r>
      <w:r>
        <w:tab/>
        <w:t>52(2)</w:t>
      </w:r>
    </w:p>
    <w:p>
      <w:pPr>
        <w:pStyle w:val="DefinedTerms"/>
      </w:pPr>
      <w:r>
        <w:t>chief executive officer</w:t>
      </w:r>
      <w:r>
        <w:tab/>
        <w:t>5</w:t>
      </w:r>
    </w:p>
    <w:p>
      <w:pPr>
        <w:pStyle w:val="DefinedTerms"/>
      </w:pPr>
      <w:r>
        <w:t>Children’s Court</w:t>
      </w:r>
      <w:r>
        <w:tab/>
        <w:t>5</w:t>
      </w:r>
    </w:p>
    <w:p>
      <w:pPr>
        <w:pStyle w:val="DefinedTerms"/>
      </w:pPr>
      <w:r>
        <w:t>commencement</w:t>
      </w:r>
      <w:r>
        <w:tab/>
        <w:t>5</w:t>
      </w:r>
    </w:p>
    <w:p>
      <w:pPr>
        <w:pStyle w:val="DefinedTerms"/>
      </w:pPr>
      <w:r>
        <w:t>Commissioner of State Revenue</w:t>
      </w:r>
      <w:r>
        <w:tab/>
        <w:t>5</w:t>
      </w:r>
    </w:p>
    <w:p>
      <w:pPr>
        <w:pStyle w:val="DefinedTerms"/>
      </w:pPr>
      <w:r>
        <w:t>Commonwealth</w:t>
      </w:r>
      <w:r>
        <w:tab/>
        <w:t>5</w:t>
      </w:r>
    </w:p>
    <w:p>
      <w:pPr>
        <w:pStyle w:val="DefinedTerms"/>
      </w:pPr>
      <w:r>
        <w:t>Commonwealth Act</w:t>
      </w:r>
      <w:r>
        <w:tab/>
        <w:t>5, 13(1)</w:t>
      </w:r>
    </w:p>
    <w:p>
      <w:pPr>
        <w:pStyle w:val="DefinedTerms"/>
      </w:pPr>
      <w:r>
        <w:t>Consolidated Account</w:t>
      </w:r>
      <w:r>
        <w:tab/>
        <w:t>5</w:t>
      </w:r>
    </w:p>
    <w:p>
      <w:pPr>
        <w:pStyle w:val="DefinedTerms"/>
      </w:pPr>
      <w:r>
        <w:t>contravene</w:t>
      </w:r>
      <w:r>
        <w:tab/>
        <w:t>5</w:t>
      </w:r>
    </w:p>
    <w:p>
      <w:pPr>
        <w:pStyle w:val="DefinedTerms"/>
      </w:pPr>
      <w:r>
        <w:t>Corporations Law</w:t>
      </w:r>
      <w:r>
        <w:tab/>
        <w:t>5</w:t>
      </w:r>
    </w:p>
    <w:p>
      <w:pPr>
        <w:pStyle w:val="DefinedTerms"/>
      </w:pPr>
      <w:r>
        <w:t>Corporations Regulations</w:t>
      </w:r>
      <w:r>
        <w:tab/>
        <w:t>5</w:t>
      </w:r>
    </w:p>
    <w:p>
      <w:pPr>
        <w:pStyle w:val="DefinedTerms"/>
      </w:pPr>
      <w:r>
        <w:t>Court of Appeal</w:t>
      </w:r>
      <w:r>
        <w:tab/>
        <w:t>5</w:t>
      </w:r>
    </w:p>
    <w:p>
      <w:pPr>
        <w:pStyle w:val="DefinedTerms"/>
      </w:pPr>
      <w:r>
        <w:t>court of summary jurisdiction</w:t>
      </w:r>
      <w:r>
        <w:tab/>
        <w:t>5</w:t>
      </w:r>
    </w:p>
    <w:p>
      <w:pPr>
        <w:pStyle w:val="DefinedTerms"/>
      </w:pPr>
      <w:r>
        <w:t>Crown</w:t>
      </w:r>
      <w:r>
        <w:tab/>
        <w:t>5</w:t>
      </w:r>
    </w:p>
    <w:p>
      <w:pPr>
        <w:pStyle w:val="DefinedTerms"/>
      </w:pPr>
      <w:r>
        <w:t>death</w:t>
      </w:r>
      <w:r>
        <w:tab/>
        <w:t>5</w:t>
      </w:r>
    </w:p>
    <w:p>
      <w:pPr>
        <w:pStyle w:val="DefinedTerms"/>
      </w:pPr>
      <w:r>
        <w:t>de facto partner</w:t>
      </w:r>
      <w:r>
        <w:tab/>
        <w:t>5</w:t>
      </w:r>
    </w:p>
    <w:p>
      <w:pPr>
        <w:pStyle w:val="DefinedTerms"/>
      </w:pPr>
      <w:r>
        <w:t>de facto relationship</w:t>
      </w:r>
      <w:r>
        <w:tab/>
        <w:t>5</w:t>
      </w:r>
    </w:p>
    <w:p>
      <w:pPr>
        <w:pStyle w:val="DefinedTerms"/>
      </w:pPr>
      <w:r>
        <w:t>definition</w:t>
      </w:r>
      <w:r>
        <w:tab/>
        <w:t>5</w:t>
      </w:r>
    </w:p>
    <w:p>
      <w:pPr>
        <w:pStyle w:val="DefinedTerms"/>
      </w:pPr>
      <w:r>
        <w:t>District Court</w:t>
      </w:r>
      <w:r>
        <w:tab/>
        <w:t>5</w:t>
      </w:r>
    </w:p>
    <w:p>
      <w:pPr>
        <w:pStyle w:val="DefinedTerms"/>
      </w:pPr>
      <w:r>
        <w:t>District Court judge</w:t>
      </w:r>
      <w:r>
        <w:tab/>
        <w:t>5</w:t>
      </w:r>
    </w:p>
    <w:p>
      <w:pPr>
        <w:pStyle w:val="DefinedTerms"/>
      </w:pPr>
      <w:r>
        <w:t>document</w:t>
      </w:r>
      <w:r>
        <w:tab/>
        <w:t>5</w:t>
      </w:r>
    </w:p>
    <w:p>
      <w:pPr>
        <w:pStyle w:val="DefinedTerms"/>
      </w:pPr>
      <w:r>
        <w:lastRenderedPageBreak/>
        <w:t>enactment</w:t>
      </w:r>
      <w:r>
        <w:tab/>
        <w:t>5</w:t>
      </w:r>
    </w:p>
    <w:p>
      <w:pPr>
        <w:pStyle w:val="DefinedTerms"/>
      </w:pPr>
      <w:r>
        <w:t>estate</w:t>
      </w:r>
      <w:r>
        <w:tab/>
        <w:t>5</w:t>
      </w:r>
    </w:p>
    <w:p>
      <w:pPr>
        <w:pStyle w:val="DefinedTerms"/>
      </w:pPr>
      <w:r>
        <w:t>excluded day</w:t>
      </w:r>
      <w:r>
        <w:tab/>
        <w:t>61(2)</w:t>
      </w:r>
    </w:p>
    <w:p>
      <w:pPr>
        <w:pStyle w:val="DefinedTerms"/>
      </w:pPr>
      <w:r>
        <w:t>Family Court</w:t>
      </w:r>
      <w:r>
        <w:tab/>
        <w:t>5</w:t>
      </w:r>
    </w:p>
    <w:p>
      <w:pPr>
        <w:pStyle w:val="DefinedTerms"/>
      </w:pPr>
      <w:r>
        <w:t>Family Court of Western Australia</w:t>
      </w:r>
      <w:r>
        <w:tab/>
        <w:t>5</w:t>
      </w:r>
    </w:p>
    <w:p>
      <w:pPr>
        <w:pStyle w:val="DefinedTerms"/>
      </w:pPr>
      <w:r>
        <w:t>fee</w:t>
      </w:r>
      <w:r>
        <w:tab/>
        <w:t>45A(4)</w:t>
      </w:r>
    </w:p>
    <w:p>
      <w:pPr>
        <w:pStyle w:val="DefinedTerms"/>
      </w:pPr>
      <w:r>
        <w:t>financial year</w:t>
      </w:r>
      <w:r>
        <w:tab/>
        <w:t>5</w:t>
      </w:r>
    </w:p>
    <w:p>
      <w:pPr>
        <w:pStyle w:val="DefinedTerms"/>
      </w:pPr>
      <w:r>
        <w:t>first person</w:t>
      </w:r>
      <w:r>
        <w:tab/>
        <w:t>13A(5)</w:t>
      </w:r>
    </w:p>
    <w:p>
      <w:pPr>
        <w:pStyle w:val="DefinedTerms"/>
      </w:pPr>
      <w:r>
        <w:t>function</w:t>
      </w:r>
      <w:r>
        <w:tab/>
        <w:t>5</w:t>
      </w:r>
    </w:p>
    <w:p>
      <w:pPr>
        <w:pStyle w:val="DefinedTerms"/>
      </w:pPr>
      <w:r>
        <w:t>Gazette</w:t>
      </w:r>
      <w:r>
        <w:tab/>
        <w:t>5</w:t>
      </w:r>
    </w:p>
    <w:p>
      <w:pPr>
        <w:pStyle w:val="DefinedTerms"/>
      </w:pPr>
      <w:r>
        <w:t>Government</w:t>
      </w:r>
      <w:r>
        <w:tab/>
        <w:t>5</w:t>
      </w:r>
    </w:p>
    <w:p>
      <w:pPr>
        <w:pStyle w:val="DefinedTerms"/>
      </w:pPr>
      <w:r>
        <w:t>Government Gazette</w:t>
      </w:r>
      <w:r>
        <w:tab/>
        <w:t>5</w:t>
      </w:r>
    </w:p>
    <w:p>
      <w:pPr>
        <w:pStyle w:val="DefinedTerms"/>
      </w:pPr>
      <w:r>
        <w:t>Government Printer</w:t>
      </w:r>
      <w:r>
        <w:tab/>
        <w:t>5</w:t>
      </w:r>
    </w:p>
    <w:p>
      <w:pPr>
        <w:pStyle w:val="DefinedTerms"/>
      </w:pPr>
      <w:r>
        <w:t>Governor</w:t>
      </w:r>
      <w:r>
        <w:tab/>
        <w:t>5</w:t>
      </w:r>
    </w:p>
    <w:p>
      <w:pPr>
        <w:pStyle w:val="DefinedTerms"/>
      </w:pPr>
      <w:r>
        <w:t>Her Majesty</w:t>
      </w:r>
      <w:r>
        <w:tab/>
        <w:t>5</w:t>
      </w:r>
    </w:p>
    <w:p>
      <w:pPr>
        <w:pStyle w:val="DefinedTerms"/>
      </w:pPr>
      <w:r>
        <w:t>His Majesty</w:t>
      </w:r>
      <w:r>
        <w:tab/>
        <w:t>5</w:t>
      </w:r>
    </w:p>
    <w:p>
      <w:pPr>
        <w:pStyle w:val="DefinedTerms"/>
      </w:pPr>
      <w:r>
        <w:t>Imperial Act</w:t>
      </w:r>
      <w:r>
        <w:tab/>
        <w:t>5</w:t>
      </w:r>
    </w:p>
    <w:p>
      <w:pPr>
        <w:pStyle w:val="DefinedTerms"/>
      </w:pPr>
      <w:r>
        <w:t>indictable offence</w:t>
      </w:r>
      <w:r>
        <w:tab/>
        <w:t>5</w:t>
      </w:r>
    </w:p>
    <w:p>
      <w:pPr>
        <w:pStyle w:val="DefinedTerms"/>
      </w:pPr>
      <w:r>
        <w:t>individual</w:t>
      </w:r>
      <w:r>
        <w:tab/>
        <w:t>5</w:t>
      </w:r>
    </w:p>
    <w:p>
      <w:pPr>
        <w:pStyle w:val="DefinedTerms"/>
      </w:pPr>
      <w:r>
        <w:t>issue</w:t>
      </w:r>
      <w:r>
        <w:tab/>
        <w:t>45A(4)</w:t>
      </w:r>
    </w:p>
    <w:p>
      <w:pPr>
        <w:pStyle w:val="DefinedTerms"/>
      </w:pPr>
      <w:r>
        <w:t>JP</w:t>
      </w:r>
      <w:r>
        <w:tab/>
        <w:t>5</w:t>
      </w:r>
    </w:p>
    <w:p>
      <w:pPr>
        <w:pStyle w:val="DefinedTerms"/>
      </w:pPr>
      <w:r>
        <w:t>judge</w:t>
      </w:r>
      <w:r>
        <w:tab/>
        <w:t>5</w:t>
      </w:r>
    </w:p>
    <w:p>
      <w:pPr>
        <w:pStyle w:val="DefinedTerms"/>
      </w:pPr>
      <w:r>
        <w:t>justice</w:t>
      </w:r>
      <w:r>
        <w:tab/>
        <w:t>5</w:t>
      </w:r>
    </w:p>
    <w:p>
      <w:pPr>
        <w:pStyle w:val="DefinedTerms"/>
      </w:pPr>
      <w:r>
        <w:t>justice of the peace</w:t>
      </w:r>
      <w:r>
        <w:tab/>
        <w:t>5</w:t>
      </w:r>
    </w:p>
    <w:p>
      <w:pPr>
        <w:pStyle w:val="DefinedTerms"/>
      </w:pPr>
      <w:r>
        <w:t>King</w:t>
      </w:r>
      <w:r>
        <w:tab/>
        <w:t>5</w:t>
      </w:r>
    </w:p>
    <w:p>
      <w:pPr>
        <w:pStyle w:val="DefinedTerms"/>
      </w:pPr>
      <w:r>
        <w:t>land</w:t>
      </w:r>
      <w:r>
        <w:tab/>
        <w:t>5</w:t>
      </w:r>
    </w:p>
    <w:p>
      <w:pPr>
        <w:pStyle w:val="DefinedTerms"/>
      </w:pPr>
      <w:r>
        <w:t>law of the State</w:t>
      </w:r>
      <w:r>
        <w:tab/>
        <w:t>13(1)</w:t>
      </w:r>
    </w:p>
    <w:p>
      <w:pPr>
        <w:pStyle w:val="DefinedTerms"/>
      </w:pPr>
      <w:r>
        <w:t>lawyer</w:t>
      </w:r>
      <w:r>
        <w:tab/>
        <w:t>5</w:t>
      </w:r>
    </w:p>
    <w:p>
      <w:pPr>
        <w:pStyle w:val="DefinedTerms"/>
      </w:pPr>
      <w:r>
        <w:t>legal practitioner</w:t>
      </w:r>
      <w:r>
        <w:tab/>
        <w:t>5</w:t>
      </w:r>
    </w:p>
    <w:p>
      <w:pPr>
        <w:pStyle w:val="DefinedTerms"/>
      </w:pPr>
      <w:r>
        <w:t>licence</w:t>
      </w:r>
      <w:r>
        <w:tab/>
        <w:t>45A(4)</w:t>
      </w:r>
    </w:p>
    <w:p>
      <w:pPr>
        <w:pStyle w:val="DefinedTerms"/>
      </w:pPr>
      <w:r>
        <w:t>local government</w:t>
      </w:r>
      <w:r>
        <w:tab/>
        <w:t>5</w:t>
      </w:r>
    </w:p>
    <w:p>
      <w:pPr>
        <w:pStyle w:val="DefinedTerms"/>
      </w:pPr>
      <w:r>
        <w:t>local government district</w:t>
      </w:r>
      <w:r>
        <w:tab/>
        <w:t>5, 13CA(1)</w:t>
      </w:r>
    </w:p>
    <w:p>
      <w:pPr>
        <w:pStyle w:val="DefinedTerms"/>
      </w:pPr>
      <w:r>
        <w:t>local law</w:t>
      </w:r>
      <w:r>
        <w:tab/>
        <w:t>5</w:t>
      </w:r>
    </w:p>
    <w:p>
      <w:pPr>
        <w:pStyle w:val="DefinedTerms"/>
      </w:pPr>
      <w:r>
        <w:t>magistrate</w:t>
      </w:r>
      <w:r>
        <w:tab/>
        <w:t>5</w:t>
      </w:r>
    </w:p>
    <w:p>
      <w:pPr>
        <w:pStyle w:val="DefinedTerms"/>
      </w:pPr>
      <w:r>
        <w:t>Magistrates Court</w:t>
      </w:r>
      <w:r>
        <w:tab/>
        <w:t>5</w:t>
      </w:r>
    </w:p>
    <w:p>
      <w:pPr>
        <w:pStyle w:val="DefinedTerms"/>
      </w:pPr>
      <w:r>
        <w:t>may</w:t>
      </w:r>
      <w:r>
        <w:tab/>
        <w:t>56(1)</w:t>
      </w:r>
    </w:p>
    <w:p>
      <w:pPr>
        <w:pStyle w:val="DefinedTerms"/>
      </w:pPr>
      <w:r>
        <w:t>Minister</w:t>
      </w:r>
      <w:r>
        <w:tab/>
        <w:t>5</w:t>
      </w:r>
    </w:p>
    <w:p>
      <w:pPr>
        <w:pStyle w:val="DefinedTerms"/>
      </w:pPr>
      <w:r>
        <w:t>Minister for Public Sector Management</w:t>
      </w:r>
      <w:r>
        <w:tab/>
        <w:t>5</w:t>
      </w:r>
    </w:p>
    <w:p>
      <w:pPr>
        <w:pStyle w:val="DefinedTerms"/>
      </w:pPr>
      <w:r>
        <w:t>month</w:t>
      </w:r>
      <w:r>
        <w:tab/>
        <w:t>5, 62(1)</w:t>
      </w:r>
    </w:p>
    <w:p>
      <w:pPr>
        <w:pStyle w:val="DefinedTerms"/>
      </w:pPr>
      <w:r>
        <w:t>oath</w:t>
      </w:r>
      <w:r>
        <w:tab/>
        <w:t>5</w:t>
      </w:r>
    </w:p>
    <w:p>
      <w:pPr>
        <w:pStyle w:val="DefinedTerms"/>
      </w:pPr>
      <w:r>
        <w:t>or</w:t>
      </w:r>
      <w:r>
        <w:tab/>
        <w:t>17</w:t>
      </w:r>
    </w:p>
    <w:p>
      <w:pPr>
        <w:pStyle w:val="DefinedTerms"/>
      </w:pPr>
      <w:r>
        <w:t>other</w:t>
      </w:r>
      <w:r>
        <w:tab/>
        <w:t>17</w:t>
      </w:r>
    </w:p>
    <w:p>
      <w:pPr>
        <w:pStyle w:val="DefinedTerms"/>
      </w:pPr>
      <w:r>
        <w:t>otherwise</w:t>
      </w:r>
      <w:r>
        <w:tab/>
        <w:t>17</w:t>
      </w:r>
    </w:p>
    <w:p>
      <w:pPr>
        <w:pStyle w:val="DefinedTerms"/>
      </w:pPr>
      <w:r>
        <w:t>paragraph</w:t>
      </w:r>
      <w:r>
        <w:tab/>
        <w:t>15A(1)</w:t>
      </w:r>
    </w:p>
    <w:p>
      <w:pPr>
        <w:pStyle w:val="DefinedTerms"/>
      </w:pPr>
      <w:r>
        <w:lastRenderedPageBreak/>
        <w:t>parent</w:t>
      </w:r>
      <w:r>
        <w:tab/>
        <w:t>5</w:t>
      </w:r>
    </w:p>
    <w:p>
      <w:pPr>
        <w:pStyle w:val="DefinedTerms"/>
      </w:pPr>
      <w:r>
        <w:t>Parliament</w:t>
      </w:r>
      <w:r>
        <w:tab/>
        <w:t>5</w:t>
      </w:r>
    </w:p>
    <w:p>
      <w:pPr>
        <w:pStyle w:val="DefinedTerms"/>
      </w:pPr>
      <w:r>
        <w:t>penalty</w:t>
      </w:r>
      <w:r>
        <w:tab/>
        <w:t>5</w:t>
      </w:r>
    </w:p>
    <w:p>
      <w:pPr>
        <w:pStyle w:val="DefinedTerms"/>
      </w:pPr>
      <w:r>
        <w:t>perform</w:t>
      </w:r>
      <w:r>
        <w:tab/>
        <w:t>5</w:t>
      </w:r>
    </w:p>
    <w:p>
      <w:pPr>
        <w:pStyle w:val="DefinedTerms"/>
      </w:pPr>
      <w:r>
        <w:t>person</w:t>
      </w:r>
      <w:r>
        <w:tab/>
        <w:t>5</w:t>
      </w:r>
    </w:p>
    <w:p>
      <w:pPr>
        <w:pStyle w:val="DefinedTerms"/>
      </w:pPr>
      <w:r>
        <w:t>police officer</w:t>
      </w:r>
      <w:r>
        <w:tab/>
        <w:t>5</w:t>
      </w:r>
    </w:p>
    <w:p>
      <w:pPr>
        <w:pStyle w:val="DefinedTerms"/>
      </w:pPr>
      <w:r>
        <w:t>power</w:t>
      </w:r>
      <w:r>
        <w:tab/>
        <w:t>5</w:t>
      </w:r>
    </w:p>
    <w:p>
      <w:pPr>
        <w:pStyle w:val="DefinedTerms"/>
      </w:pPr>
      <w:r>
        <w:t>prescribed</w:t>
      </w:r>
      <w:r>
        <w:tab/>
        <w:t>5</w:t>
      </w:r>
    </w:p>
    <w:p>
      <w:pPr>
        <w:pStyle w:val="DefinedTerms"/>
      </w:pPr>
      <w:r>
        <w:t>proclamation</w:t>
      </w:r>
      <w:r>
        <w:tab/>
        <w:t>5</w:t>
      </w:r>
    </w:p>
    <w:p>
      <w:pPr>
        <w:pStyle w:val="DefinedTerms"/>
      </w:pPr>
      <w:r>
        <w:t>publication</w:t>
      </w:r>
      <w:r>
        <w:tab/>
        <w:t>5</w:t>
      </w:r>
    </w:p>
    <w:p>
      <w:pPr>
        <w:pStyle w:val="DefinedTerms"/>
      </w:pPr>
      <w:r>
        <w:t>public half-holiday</w:t>
      </w:r>
      <w:r>
        <w:tab/>
        <w:t>5</w:t>
      </w:r>
    </w:p>
    <w:p>
      <w:pPr>
        <w:pStyle w:val="DefinedTerms"/>
      </w:pPr>
      <w:r>
        <w:t>public holiday</w:t>
      </w:r>
      <w:r>
        <w:tab/>
        <w:t>5</w:t>
      </w:r>
    </w:p>
    <w:p>
      <w:pPr>
        <w:pStyle w:val="DefinedTerms"/>
      </w:pPr>
      <w:r>
        <w:t>Public Sector Commissioner</w:t>
      </w:r>
      <w:r>
        <w:tab/>
        <w:t>5</w:t>
      </w:r>
    </w:p>
    <w:p>
      <w:pPr>
        <w:pStyle w:val="DefinedTerms"/>
      </w:pPr>
      <w:r>
        <w:t>Public Service</w:t>
      </w:r>
      <w:r>
        <w:tab/>
        <w:t>5</w:t>
      </w:r>
    </w:p>
    <w:p>
      <w:pPr>
        <w:pStyle w:val="DefinedTerms"/>
      </w:pPr>
      <w:r>
        <w:t>public service holiday</w:t>
      </w:r>
      <w:r>
        <w:tab/>
        <w:t>5</w:t>
      </w:r>
    </w:p>
    <w:p>
      <w:pPr>
        <w:pStyle w:val="DefinedTerms"/>
      </w:pPr>
      <w:r>
        <w:t>public service officer</w:t>
      </w:r>
      <w:r>
        <w:tab/>
        <w:t>5</w:t>
      </w:r>
    </w:p>
    <w:p>
      <w:pPr>
        <w:pStyle w:val="DefinedTerms"/>
      </w:pPr>
      <w:r>
        <w:t>Queen</w:t>
      </w:r>
      <w:r>
        <w:tab/>
        <w:t>5</w:t>
      </w:r>
    </w:p>
    <w:p>
      <w:pPr>
        <w:pStyle w:val="DefinedTerms"/>
      </w:pPr>
      <w:r>
        <w:t>regional local government</w:t>
      </w:r>
      <w:r>
        <w:tab/>
        <w:t>5</w:t>
      </w:r>
    </w:p>
    <w:p>
      <w:pPr>
        <w:pStyle w:val="DefinedTerms"/>
      </w:pPr>
      <w:r>
        <w:t>regional subsidiary</w:t>
      </w:r>
      <w:r>
        <w:tab/>
        <w:t>5</w:t>
      </w:r>
    </w:p>
    <w:p>
      <w:pPr>
        <w:pStyle w:val="DefinedTerms"/>
      </w:pPr>
      <w:r>
        <w:t>regulation</w:t>
      </w:r>
      <w:r>
        <w:tab/>
        <w:t>5</w:t>
      </w:r>
    </w:p>
    <w:p>
      <w:pPr>
        <w:pStyle w:val="DefinedTerms"/>
      </w:pPr>
      <w:r>
        <w:t>regulations</w:t>
      </w:r>
      <w:r>
        <w:tab/>
        <w:t>42(8)</w:t>
      </w:r>
    </w:p>
    <w:p>
      <w:pPr>
        <w:pStyle w:val="DefinedTerms"/>
      </w:pPr>
      <w:r>
        <w:t>repeal</w:t>
      </w:r>
      <w:r>
        <w:tab/>
        <w:t>5</w:t>
      </w:r>
    </w:p>
    <w:p>
      <w:pPr>
        <w:pStyle w:val="DefinedTerms"/>
      </w:pPr>
      <w:r>
        <w:t>Royal Assent</w:t>
      </w:r>
      <w:r>
        <w:tab/>
        <w:t>5</w:t>
      </w:r>
    </w:p>
    <w:p>
      <w:pPr>
        <w:pStyle w:val="DefinedTerms"/>
      </w:pPr>
      <w:r>
        <w:t>rule</w:t>
      </w:r>
      <w:r>
        <w:tab/>
        <w:t>5</w:t>
      </w:r>
    </w:p>
    <w:p>
      <w:pPr>
        <w:pStyle w:val="DefinedTerms"/>
      </w:pPr>
      <w:r>
        <w:t>rules of court</w:t>
      </w:r>
      <w:r>
        <w:tab/>
        <w:t>5, 66(1)</w:t>
      </w:r>
    </w:p>
    <w:p>
      <w:pPr>
        <w:pStyle w:val="DefinedTerms"/>
      </w:pPr>
      <w:r>
        <w:t>sell</w:t>
      </w:r>
      <w:r>
        <w:tab/>
        <w:t>5</w:t>
      </w:r>
    </w:p>
    <w:p>
      <w:pPr>
        <w:pStyle w:val="DefinedTerms"/>
      </w:pPr>
      <w:r>
        <w:t>shall</w:t>
      </w:r>
      <w:r>
        <w:tab/>
        <w:t>56(2)</w:t>
      </w:r>
    </w:p>
    <w:p>
      <w:pPr>
        <w:pStyle w:val="DefinedTerms"/>
      </w:pPr>
      <w:r>
        <w:t>sign</w:t>
      </w:r>
      <w:r>
        <w:tab/>
        <w:t>5</w:t>
      </w:r>
    </w:p>
    <w:p>
      <w:pPr>
        <w:pStyle w:val="DefinedTerms"/>
      </w:pPr>
      <w:r>
        <w:t>simple offence</w:t>
      </w:r>
      <w:r>
        <w:tab/>
        <w:t>5</w:t>
      </w:r>
    </w:p>
    <w:p>
      <w:pPr>
        <w:pStyle w:val="DefinedTerms"/>
      </w:pPr>
      <w:r>
        <w:t>sitting days</w:t>
      </w:r>
      <w:r>
        <w:tab/>
        <w:t>5</w:t>
      </w:r>
    </w:p>
    <w:p>
      <w:pPr>
        <w:pStyle w:val="DefinedTerms"/>
      </w:pPr>
      <w:r>
        <w:t>specified</w:t>
      </w:r>
      <w:r>
        <w:tab/>
        <w:t>43(9)</w:t>
      </w:r>
    </w:p>
    <w:p>
      <w:pPr>
        <w:pStyle w:val="DefinedTerms"/>
      </w:pPr>
      <w:r>
        <w:t>spouse</w:t>
      </w:r>
      <w:r>
        <w:tab/>
        <w:t>5</w:t>
      </w:r>
    </w:p>
    <w:p>
      <w:pPr>
        <w:pStyle w:val="DefinedTerms"/>
      </w:pPr>
      <w:r>
        <w:t>Standards Australia</w:t>
      </w:r>
      <w:r>
        <w:tab/>
        <w:t>5</w:t>
      </w:r>
    </w:p>
    <w:p>
      <w:pPr>
        <w:pStyle w:val="DefinedTerms"/>
      </w:pPr>
      <w:r>
        <w:t>State</w:t>
      </w:r>
      <w:r>
        <w:tab/>
        <w:t>5</w:t>
      </w:r>
    </w:p>
    <w:p>
      <w:pPr>
        <w:pStyle w:val="DefinedTerms"/>
      </w:pPr>
      <w:r>
        <w:t>State Administrative Tribunal</w:t>
      </w:r>
      <w:r>
        <w:tab/>
        <w:t>5</w:t>
      </w:r>
    </w:p>
    <w:p>
      <w:pPr>
        <w:pStyle w:val="DefinedTerms"/>
      </w:pPr>
      <w:r>
        <w:t>statutory declaration</w:t>
      </w:r>
      <w:r>
        <w:tab/>
        <w:t>5</w:t>
      </w:r>
    </w:p>
    <w:p>
      <w:pPr>
        <w:pStyle w:val="DefinedTerms"/>
      </w:pPr>
      <w:r>
        <w:t>subsidiary legislation</w:t>
      </w:r>
      <w:r>
        <w:tab/>
        <w:t>5</w:t>
      </w:r>
    </w:p>
    <w:p>
      <w:pPr>
        <w:pStyle w:val="DefinedTerms"/>
      </w:pPr>
      <w:r>
        <w:t>summary conviction</w:t>
      </w:r>
      <w:r>
        <w:tab/>
        <w:t>5</w:t>
      </w:r>
    </w:p>
    <w:p>
      <w:pPr>
        <w:pStyle w:val="DefinedTerms"/>
      </w:pPr>
      <w:r>
        <w:t>summary conviction penalty</w:t>
      </w:r>
      <w:r>
        <w:tab/>
        <w:t>5</w:t>
      </w:r>
    </w:p>
    <w:p>
      <w:pPr>
        <w:pStyle w:val="DefinedTerms"/>
      </w:pPr>
      <w:r>
        <w:t>Supreme Court</w:t>
      </w:r>
      <w:r>
        <w:tab/>
        <w:t>5</w:t>
      </w:r>
    </w:p>
    <w:p>
      <w:pPr>
        <w:pStyle w:val="DefinedTerms"/>
      </w:pPr>
      <w:r>
        <w:t>swear</w:t>
      </w:r>
      <w:r>
        <w:tab/>
        <w:t>5</w:t>
      </w:r>
    </w:p>
    <w:p>
      <w:pPr>
        <w:pStyle w:val="DefinedTerms"/>
      </w:pPr>
      <w:r>
        <w:t>Territory</w:t>
      </w:r>
      <w:r>
        <w:tab/>
        <w:t>5</w:t>
      </w:r>
    </w:p>
    <w:p>
      <w:pPr>
        <w:pStyle w:val="DefinedTerms"/>
      </w:pPr>
      <w:r>
        <w:t>the Act</w:t>
      </w:r>
      <w:r>
        <w:tab/>
        <w:t>44(2)</w:t>
      </w:r>
    </w:p>
    <w:p>
      <w:pPr>
        <w:pStyle w:val="DefinedTerms"/>
      </w:pPr>
      <w:r>
        <w:t>the State</w:t>
      </w:r>
      <w:r>
        <w:tab/>
        <w:t>5</w:t>
      </w:r>
    </w:p>
    <w:p>
      <w:pPr>
        <w:pStyle w:val="DefinedTerms"/>
      </w:pPr>
      <w:r>
        <w:lastRenderedPageBreak/>
        <w:t>this State</w:t>
      </w:r>
      <w:r>
        <w:tab/>
        <w:t>5</w:t>
      </w:r>
    </w:p>
    <w:p>
      <w:pPr>
        <w:pStyle w:val="DefinedTerms"/>
      </w:pPr>
      <w:r>
        <w:t>under</w:t>
      </w:r>
      <w:r>
        <w:tab/>
        <w:t>5</w:t>
      </w:r>
    </w:p>
    <w:p>
      <w:pPr>
        <w:pStyle w:val="DefinedTerms"/>
      </w:pPr>
      <w:r>
        <w:t>United Kingdom</w:t>
      </w:r>
      <w:r>
        <w:tab/>
        <w:t>5</w:t>
      </w:r>
    </w:p>
    <w:p>
      <w:pPr>
        <w:pStyle w:val="DefinedTerms"/>
      </w:pPr>
      <w:r>
        <w:t>Valuer-General</w:t>
      </w:r>
      <w:r>
        <w:tab/>
        <w:t>5</w:t>
      </w:r>
    </w:p>
    <w:p>
      <w:pPr>
        <w:pStyle w:val="DefinedTerms"/>
      </w:pPr>
      <w:r>
        <w:t>WA legislation website</w:t>
      </w:r>
      <w:r>
        <w:tab/>
        <w:t>5</w:t>
      </w:r>
    </w:p>
    <w:p>
      <w:pPr>
        <w:pStyle w:val="DefinedTerms"/>
      </w:pPr>
      <w:r>
        <w:t>will</w:t>
      </w:r>
      <w:r>
        <w:tab/>
        <w:t>5</w:t>
      </w:r>
    </w:p>
    <w:p>
      <w:pPr>
        <w:pStyle w:val="DefinedTerms"/>
      </w:pPr>
      <w:r>
        <w:t>words</w:t>
      </w:r>
      <w:r>
        <w:tab/>
        <w:t>5</w:t>
      </w:r>
    </w:p>
    <w:p>
      <w:pPr>
        <w:pStyle w:val="DefinedTerms"/>
      </w:pPr>
      <w:r>
        <w:t>writing</w:t>
      </w:r>
      <w:r>
        <w:tab/>
        <w:t>5</w:t>
      </w:r>
    </w:p>
    <w:p>
      <w:pPr>
        <w:pStyle w:val="DefinedTerms"/>
      </w:pPr>
      <w:r>
        <w:t>written law</w:t>
      </w:r>
      <w:r>
        <w:tab/>
        <w:t>5</w:t>
      </w:r>
    </w:p>
    <w:p>
      <w:pPr>
        <w:pStyle w:val="DefinedTerms"/>
      </w:pPr>
      <w:r>
        <w:t>year</w:t>
      </w:r>
      <w:r>
        <w:tab/>
        <w:t>5</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95F775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96BD918" w14:textId="5954C205" w:rsidR="00F91174" w:rsidRDefault="00F9117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9741FEB" w14:textId="77777777" w:rsidR="00F91174" w:rsidRDefault="00F9117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6F96F09" w14:textId="4FE7CC71" w:rsidR="00F91174" w:rsidRDefault="00F9117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A257EFE" w14:textId="77777777" w:rsidR="00F91174" w:rsidRDefault="00F9117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07-j0-01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07-j0-01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07-j0-01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07-j0-01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07-j0-01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07-j0-01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1" w:name="DefinedTerms"/>
    <w:bookmarkEnd w:id="1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5EA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A7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9498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F62A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8CC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2745"/>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 w:name="WAFER_2020091111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15_GUID" w:val="d1fc69ae-9d09-419c-8f74-901978e1ffa3"/>
    <w:docVar w:name="WAFER_202108251221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17_GUID" w:val="fec25164-a59e-4e8b-b952-9430f43c2f5b"/>
    <w:docVar w:name="WAFER_2021082512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39_GUID" w:val="cb04cb45-ea3f-4db1-968d-9d495b8b80a7"/>
    <w:docVar w:name="WAFER_20220408160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0509_GUID" w:val="cefe1808-9a4a-4858-9593-b70ea9491964"/>
    <w:docVar w:name="WAFER_202206281540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042_GUID" w:val="33c8e0c3-327e-40e7-ab98-e2d52a74b868"/>
    <w:docVar w:name="WAFER_202206281541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102_GUID" w:val="0315fa35-8b2b-4015-ab6f-ada16592b9cf"/>
    <w:docVar w:name="WAFER_202306011636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01163647_GUID" w:val="197b0af7-067a-48bd-9613-d188c0d78b2d"/>
    <w:docVar w:name="WAFER_202306211105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1110555_GUID" w:val="5901b601-0dfa-4a73-b03c-619449efe580"/>
    <w:docVar w:name="WAFER_202306291102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10208_GUID" w:val="41d5cb7e-3121-414c-9b11-c63b3bebb4da"/>
    <w:docVar w:name="WAFER_202312221127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2745_GUID" w:val="431f9149-e40e-41ae-ad83-62b01b0bea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17952</Words>
  <Characters>84379</Characters>
  <Application>Microsoft Office Word</Application>
  <DocSecurity>0</DocSecurity>
  <Lines>2410</Lines>
  <Paragraphs>1364</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100967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1984 - 07-j0-01</dc:title>
  <dc:subject/>
  <dc:creator/>
  <cp:keywords/>
  <dc:description/>
  <cp:lastModifiedBy>Master Repository Process</cp:lastModifiedBy>
  <cp:revision>4</cp:revision>
  <cp:lastPrinted>2011-02-01T03:30:00Z</cp:lastPrinted>
  <dcterms:created xsi:type="dcterms:W3CDTF">2024-01-02T02:57:00Z</dcterms:created>
  <dcterms:modified xsi:type="dcterms:W3CDTF">2024-01-02T02:57:00Z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DocumentType">
    <vt:lpwstr>Act</vt:lpwstr>
  </property>
  <property fmtid="{D5CDD505-2E9C-101B-9397-08002B2CF9AE}" pid="4" name="OwlsUID">
    <vt:i4>384</vt:i4>
  </property>
  <property fmtid="{D5CDD505-2E9C-101B-9397-08002B2CF9AE}" pid="5" name="ReprintNo">
    <vt:lpwstr>7</vt:lpwstr>
  </property>
  <property fmtid="{D5CDD505-2E9C-101B-9397-08002B2CF9AE}" pid="6" name="ReprintedAsAt">
    <vt:filetime>2011-01-20T16:00:00Z</vt:filetime>
  </property>
  <property fmtid="{D5CDD505-2E9C-101B-9397-08002B2CF9AE}" pid="7" name="AsAtDate">
    <vt:lpwstr>01 Jul 2023</vt:lpwstr>
  </property>
  <property fmtid="{D5CDD505-2E9C-101B-9397-08002B2CF9AE}" pid="8" name="Suffix">
    <vt:lpwstr>07-j0-01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Year">
    <vt:lpwstr>2023</vt:lpwstr>
  </property>
</Properties>
</file>