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Reprints Act 1984</w:t>
      </w:r>
      <w:r>
        <w:fldChar w:fldCharType="end"/>
      </w:r>
    </w:p>
    <w:p>
      <w:pPr>
        <w:pStyle w:val="Subsection"/>
      </w:pPr>
      <w:r>
        <w:tab/>
      </w:r>
      <w:r>
        <w:tab/>
        <w:t xml:space="preserve">This Act was repealed by the </w:t>
      </w:r>
      <w:r>
        <w:rPr>
          <w:i/>
        </w:rPr>
        <w:t>Legislation Act 2021</w:t>
      </w:r>
      <w:r>
        <w:t xml:space="preserve"> s. 45 (No. 13 of 2021) on 1 Jul 2023 (see s. 2(b) and SL 2023/58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Reprints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_Toc155170116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_Toc155170117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_Toc155170118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_Toc155170119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Attorney General may direct reprinting</w:t>
      </w:r>
      <w:r>
        <w:tab/>
      </w:r>
      <w:r>
        <w:fldChar w:fldCharType="begin"/>
      </w:r>
      <w:r>
        <w:instrText xml:space="preserve"> PAGEREF _Toc155170120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Annotations to be included in reprint</w:t>
      </w:r>
      <w:r>
        <w:tab/>
      </w:r>
      <w:r>
        <w:fldChar w:fldCharType="begin"/>
      </w:r>
      <w:r>
        <w:instrText xml:space="preserve"> PAGEREF _Toc155170121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Amendments of a formal nature</w:t>
      </w:r>
      <w:r>
        <w:tab/>
      </w:r>
      <w:r>
        <w:fldChar w:fldCharType="begin"/>
      </w:r>
      <w:r>
        <w:instrText xml:space="preserve"> PAGEREF _Toc155170122 \h </w:instrText>
      </w:r>
      <w:r>
        <w:fldChar w:fldCharType="separate"/>
      </w:r>
      <w:r>
        <w:t>3</w:t>
      </w:r>
      <w:r>
        <w:fldChar w:fldCharType="end"/>
      </w:r>
    </w:p>
    <w:p>
      <w:pPr>
        <w:pStyle w:val="TOC8"/>
        <w:rPr>
          <w:rFonts w:asciiTheme="minorHAnsi" w:eastAsiaTheme="minorEastAsia" w:hAnsiTheme="minorHAnsi" w:cstheme="minorBidi"/>
          <w:szCs w:val="22"/>
        </w:rPr>
      </w:pPr>
      <w:r>
        <w:t>7A.</w:t>
      </w:r>
      <w:r>
        <w:tab/>
        <w:t>Delegation</w:t>
      </w:r>
      <w:r>
        <w:tab/>
      </w:r>
      <w:r>
        <w:fldChar w:fldCharType="begin"/>
      </w:r>
      <w:r>
        <w:instrText xml:space="preserve"> PAGEREF _Toc155170123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Proof of written law as reprinted</w:t>
      </w:r>
      <w:r>
        <w:tab/>
      </w:r>
      <w:r>
        <w:fldChar w:fldCharType="begin"/>
      </w:r>
      <w:r>
        <w:instrText xml:space="preserve"> PAGEREF _Toc155170124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Repeals and savings</w:t>
      </w:r>
      <w:r>
        <w:tab/>
      </w:r>
      <w:r>
        <w:fldChar w:fldCharType="begin"/>
      </w:r>
      <w:r>
        <w:instrText xml:space="preserve"> PAGEREF _Toc155170125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_Toc155170127 \h </w:instrText>
      </w:r>
      <w:r>
        <w:fldChar w:fldCharType="separate"/>
      </w:r>
      <w:r>
        <w:t>10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_Toc155170128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Reprints Act 1984 </w:t>
      </w:r>
    </w:p>
    <w:p>
      <w:pPr>
        <w:pStyle w:val="LongTitle"/>
        <w:rPr>
          <w:snapToGrid w:val="0"/>
        </w:rPr>
      </w:pPr>
      <w:r>
        <w:rPr>
          <w:snapToGrid w:val="0"/>
        </w:rPr>
        <w:t xml:space="preserve">An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3" w:name="_Toc15517011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w:t>
      </w:r>
    </w:p>
    <w:p>
      <w:pPr>
        <w:pStyle w:val="Heading5"/>
        <w:rPr>
          <w:snapToGrid w:val="0"/>
        </w:rPr>
      </w:pPr>
      <w:bookmarkStart w:id="4" w:name="_Toc15517011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55170118"/>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6" w:name="_Toc155170119"/>
      <w:r>
        <w:rPr>
          <w:rStyle w:val="CharSectno"/>
        </w:rPr>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lastRenderedPageBreak/>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p>
    <w:p>
      <w:pPr>
        <w:pStyle w:val="Footnotesection"/>
      </w:pPr>
      <w:r>
        <w:tab/>
        <w:t>[Section 4 amended: No. 15 of 1994 s. 4; No. 10 of 1998 s. 61(1); No. 74 of 2003 s. 102(2)</w:t>
      </w:r>
      <w:r>
        <w:rPr>
          <w:spacing w:val="-4"/>
        </w:rPr>
        <w:t>; No. 47 of 2011 s.</w:t>
      </w:r>
      <w:r>
        <w:t xml:space="preserve"> 27.] </w:t>
      </w:r>
    </w:p>
    <w:p>
      <w:pPr>
        <w:pStyle w:val="Heading5"/>
        <w:rPr>
          <w:snapToGrid w:val="0"/>
        </w:rPr>
      </w:pPr>
      <w:bookmarkStart w:id="7" w:name="_Toc155170120"/>
      <w:r>
        <w:rPr>
          <w:rStyle w:val="CharSectno"/>
        </w:rPr>
        <w:t>5</w:t>
      </w:r>
      <w:r>
        <w:rPr>
          <w:snapToGrid w:val="0"/>
        </w:rPr>
        <w:t>.</w:t>
      </w:r>
      <w:r>
        <w:rPr>
          <w:snapToGrid w:val="0"/>
        </w:rPr>
        <w:tab/>
        <w:t>Attorney General may direct reprinting</w:t>
      </w:r>
      <w:bookmarkEnd w:id="7"/>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lastRenderedPageBreak/>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 </w:t>
      </w:r>
      <w:r>
        <w:rPr>
          <w:snapToGrid w:val="0"/>
          <w:vertAlign w:val="superscript"/>
        </w:rPr>
        <w:t>1</w:t>
      </w:r>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No. 31 of 1993 s. 61; No. 15 of 1994 s. 5.] </w:t>
      </w:r>
    </w:p>
    <w:p>
      <w:pPr>
        <w:pStyle w:val="Heading5"/>
        <w:rPr>
          <w:snapToGrid w:val="0"/>
        </w:rPr>
      </w:pPr>
      <w:bookmarkStart w:id="8" w:name="_Toc155170121"/>
      <w:r>
        <w:rPr>
          <w:rStyle w:val="CharSectno"/>
        </w:rPr>
        <w:t>6</w:t>
      </w:r>
      <w:r>
        <w:rPr>
          <w:snapToGrid w:val="0"/>
        </w:rPr>
        <w:t>.</w:t>
      </w:r>
      <w:r>
        <w:rPr>
          <w:snapToGrid w:val="0"/>
        </w:rPr>
        <w:tab/>
        <w:t>Annotations to be included in reprint</w:t>
      </w:r>
      <w:bookmarkEnd w:id="8"/>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9" w:name="_Toc155170122"/>
      <w:r>
        <w:rPr>
          <w:rStyle w:val="CharSectno"/>
        </w:rPr>
        <w:t>7</w:t>
      </w:r>
      <w:r>
        <w:rPr>
          <w:snapToGrid w:val="0"/>
        </w:rPr>
        <w:t>.</w:t>
      </w:r>
      <w:r>
        <w:rPr>
          <w:snapToGrid w:val="0"/>
        </w:rPr>
        <w:tab/>
        <w:t>Amendments of a formal nature</w:t>
      </w:r>
      <w:bookmarkEnd w:id="9"/>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lastRenderedPageBreak/>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lastRenderedPageBreak/>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lastRenderedPageBreak/>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lastRenderedPageBreak/>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lastRenderedPageBreak/>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 xml:space="preserve">[Section 7 amended: No. 15 of 1994 s. 6; No. 10 of 1998 s. 61(2); No. 24 of 2000 s. 38; No. 74 of 2003 s. 102(3); No. 31 of 2010 s. 9.] </w:t>
      </w:r>
    </w:p>
    <w:p>
      <w:pPr>
        <w:pStyle w:val="Heading5"/>
      </w:pPr>
      <w:bookmarkStart w:id="10" w:name="_Toc155170123"/>
      <w:r>
        <w:rPr>
          <w:rStyle w:val="CharSectno"/>
        </w:rPr>
        <w:t>7A</w:t>
      </w:r>
      <w:r>
        <w:t>.</w:t>
      </w:r>
      <w:r>
        <w:tab/>
        <w:t>Delegation</w:t>
      </w:r>
      <w:bookmarkEnd w:id="10"/>
    </w:p>
    <w:p>
      <w:pPr>
        <w:pStyle w:val="Subsection"/>
        <w:rPr>
          <w:snapToGrid w:val="0"/>
        </w:rPr>
      </w:pPr>
      <w:r>
        <w:rPr>
          <w:snapToGrid w:val="0"/>
        </w:rPr>
        <w:tab/>
      </w:r>
      <w:r>
        <w:rPr>
          <w:snapToGrid w:val="0"/>
        </w:rPr>
        <w:tab/>
        <w:t xml:space="preserve">The Attorney General may, by instrument in writing, delegate to the Parliamentary Counsel the functions and powers conferred </w:t>
      </w:r>
      <w:r>
        <w:rPr>
          <w:snapToGrid w:val="0"/>
        </w:rPr>
        <w:lastRenderedPageBreak/>
        <w:t>on the Attorney General under sections 5(1) and (3), 6(3) and 7(6).</w:t>
      </w:r>
    </w:p>
    <w:p>
      <w:pPr>
        <w:pStyle w:val="Footnotesection"/>
      </w:pPr>
      <w:r>
        <w:tab/>
        <w:t>[Section 7A inserted: No. 10 of 1998 s. 61(3).]</w:t>
      </w:r>
    </w:p>
    <w:p>
      <w:pPr>
        <w:pStyle w:val="Heading5"/>
        <w:rPr>
          <w:snapToGrid w:val="0"/>
        </w:rPr>
      </w:pPr>
      <w:bookmarkStart w:id="11" w:name="_Toc155170124"/>
      <w:r>
        <w:rPr>
          <w:rStyle w:val="CharSectno"/>
        </w:rPr>
        <w:t>8</w:t>
      </w:r>
      <w:r>
        <w:rPr>
          <w:snapToGrid w:val="0"/>
        </w:rPr>
        <w:t>.</w:t>
      </w:r>
      <w:r>
        <w:rPr>
          <w:snapToGrid w:val="0"/>
        </w:rPr>
        <w:tab/>
        <w:t>Proof of written law as reprinted</w:t>
      </w:r>
      <w:bookmarkEnd w:id="11"/>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12" w:name="_Toc155170125"/>
      <w:r>
        <w:rPr>
          <w:rStyle w:val="CharSectno"/>
        </w:rPr>
        <w:t>9</w:t>
      </w:r>
      <w:r>
        <w:rPr>
          <w:snapToGrid w:val="0"/>
        </w:rPr>
        <w:t>.</w:t>
      </w:r>
      <w:r>
        <w:rPr>
          <w:snapToGrid w:val="0"/>
        </w:rPr>
        <w:tab/>
        <w:t>Repeals and savings</w:t>
      </w:r>
      <w:bookmarkEnd w:id="1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3" w:name="_Toc155170126"/>
      <w:r>
        <w:lastRenderedPageBreak/>
        <w:t>Notes</w:t>
      </w:r>
      <w:bookmarkEnd w:id="13"/>
    </w:p>
    <w:p>
      <w:pPr>
        <w:pStyle w:val="nStatement"/>
      </w:pPr>
      <w:r>
        <w:t xml:space="preserve">This is a compilation of the </w:t>
      </w:r>
      <w:r>
        <w:rPr>
          <w:i/>
          <w:noProof/>
        </w:rPr>
        <w:t>Reprints Act 1984</w:t>
      </w:r>
      <w:r>
        <w:t xml:space="preserve"> and includes amendments made by other written laws. For provisions that have come into operation, and for information about any reprints, see the compilation table. </w:t>
      </w:r>
    </w:p>
    <w:p>
      <w:pPr>
        <w:pStyle w:val="nHeading3"/>
      </w:pPr>
      <w:bookmarkStart w:id="14" w:name="_Toc155170127"/>
      <w:r>
        <w:t>Compilation table</w:t>
      </w:r>
      <w:bookmarkEnd w:id="14"/>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2" w:type="dxa"/>
          </w:tcPr>
          <w:p>
            <w:pPr>
              <w:pStyle w:val="nTable"/>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9" w:type="dxa"/>
          </w:tcPr>
          <w:p>
            <w:pPr>
              <w:pStyle w:val="nTable"/>
              <w:spacing w:before="0"/>
              <w:rPr>
                <w:vertAlign w:val="superscript"/>
              </w:rPr>
            </w:pPr>
            <w:r>
              <w:rPr>
                <w:i/>
              </w:rPr>
              <w:t xml:space="preserve">Acts Amendment (Ministry of Justice) Act 1993 </w:t>
            </w:r>
            <w:r>
              <w:t>Pt. 16</w:t>
            </w:r>
            <w:r>
              <w:rPr>
                <w:vertAlign w:val="superscript"/>
              </w:rPr>
              <w:t> 2</w:t>
            </w:r>
          </w:p>
        </w:tc>
        <w:tc>
          <w:tcPr>
            <w:tcW w:w="1134" w:type="dxa"/>
          </w:tcPr>
          <w:p>
            <w:pPr>
              <w:pStyle w:val="nTable"/>
            </w:pPr>
            <w:r>
              <w:t>31 of 1993</w:t>
            </w:r>
          </w:p>
        </w:tc>
        <w:tc>
          <w:tcPr>
            <w:tcW w:w="1134" w:type="dxa"/>
          </w:tcPr>
          <w:p>
            <w:pPr>
              <w:pStyle w:val="nTable"/>
            </w:pPr>
            <w:r>
              <w:t>15 Dec 1993</w:t>
            </w:r>
          </w:p>
        </w:tc>
        <w:tc>
          <w:tcPr>
            <w:tcW w:w="2552" w:type="dxa"/>
          </w:tcPr>
          <w:p>
            <w:pPr>
              <w:pStyle w:val="nTable"/>
            </w:pPr>
            <w:r>
              <w:t>1 Jul 1993 (see s. 2)</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2" w:type="dxa"/>
          </w:tcPr>
          <w:p>
            <w:pPr>
              <w:pStyle w:val="nTable"/>
            </w:pPr>
            <w:r>
              <w:t>22 Apr 1994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2" w:type="dxa"/>
          </w:tcPr>
          <w:p>
            <w:pPr>
              <w:pStyle w:val="nTable"/>
            </w:pPr>
            <w:r>
              <w:t>30 Apr 1998 (see s. 2(1))</w:t>
            </w:r>
          </w:p>
        </w:tc>
      </w:tr>
      <w:tr>
        <w:tblPrEx>
          <w:tblBorders>
            <w:top w:val="none" w:sz="0" w:space="0" w:color="auto"/>
            <w:bottom w:val="none" w:sz="0" w:space="0" w:color="auto"/>
            <w:insideH w:val="none" w:sz="0" w:space="0" w:color="auto"/>
          </w:tblBorders>
        </w:tblPrEx>
        <w:tc>
          <w:tcPr>
            <w:tcW w:w="2269"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2" w:type="dxa"/>
          </w:tcPr>
          <w:p>
            <w:pPr>
              <w:pStyle w:val="nTable"/>
            </w:pPr>
            <w:r>
              <w:t>4 Jul 2000 (see s. 2)</w:t>
            </w:r>
          </w:p>
        </w:tc>
      </w:tr>
      <w:tr>
        <w:tblPrEx>
          <w:tblBorders>
            <w:top w:val="none" w:sz="0" w:space="0" w:color="auto"/>
            <w:bottom w:val="none" w:sz="0" w:space="0" w:color="auto"/>
            <w:insideH w:val="none" w:sz="0" w:space="0" w:color="auto"/>
          </w:tblBorders>
        </w:tblPrEx>
        <w:tc>
          <w:tcPr>
            <w:tcW w:w="2269"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4" w:space="0" w:color="auto"/>
            </w:tcBorders>
          </w:tcPr>
          <w:p>
            <w:pPr>
              <w:pStyle w:val="nTable"/>
              <w:spacing w:after="40"/>
              <w:rPr>
                <w:b/>
                <w:snapToGrid w:val="0"/>
              </w:rPr>
            </w:pPr>
            <w:r>
              <w:rPr>
                <w:b/>
                <w:color w:val="FF0000"/>
              </w:rPr>
              <w:t>This Act was repealed by the</w:t>
            </w:r>
            <w:r>
              <w:rPr>
                <w:b/>
                <w:i/>
                <w:color w:val="FF0000"/>
              </w:rPr>
              <w:t xml:space="preserve"> Legislation Act 2021</w:t>
            </w:r>
            <w:r>
              <w:rPr>
                <w:b/>
                <w:color w:val="FF0000"/>
              </w:rPr>
              <w:t xml:space="preserve"> s. 45 (No. 13 of 2021) on 1 Jul 2023 (see s. 2(b) and SL 2023/58 cl. 2)</w:t>
            </w:r>
          </w:p>
        </w:tc>
      </w:tr>
    </w:tbl>
    <w:p>
      <w:pPr>
        <w:pStyle w:val="nHeading3"/>
      </w:pPr>
      <w:bookmarkStart w:id="15" w:name="_Toc155170128"/>
      <w:r>
        <w:t>Other notes</w:t>
      </w:r>
      <w:bookmarkEnd w:id="15"/>
    </w:p>
    <w:p>
      <w:pPr>
        <w:pStyle w:val="nNote"/>
        <w:spacing w:before="120"/>
        <w:rPr>
          <w:snapToGrid w:val="0"/>
        </w:rPr>
      </w:pPr>
      <w:r>
        <w:rPr>
          <w:snapToGrid w:val="0"/>
          <w:vertAlign w:val="superscript"/>
        </w:rPr>
        <w:t>1</w:t>
      </w:r>
      <w:r>
        <w:rPr>
          <w:snapToGrid w:val="0"/>
        </w:rPr>
        <w:tab/>
        <w:t>The positions of Senior Parliamentary Counsel and Senior Assistant Parliamentary Counsel have been authorised under section 5(3).</w:t>
      </w:r>
    </w:p>
    <w:p>
      <w:pPr>
        <w:pStyle w:val="nNote"/>
        <w:spacing w:before="120"/>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lastRenderedPageBreak/>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 w:name="_Toc155170129"/>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4(1)</w:t>
      </w:r>
    </w:p>
    <w:p>
      <w:pPr>
        <w:pStyle w:val="DefinedTerms"/>
      </w:pPr>
      <w:r>
        <w:t>clerk’s amendment</w:t>
      </w:r>
      <w:r>
        <w:tab/>
        <w:t>7(5c)</w:t>
      </w:r>
    </w:p>
    <w:p>
      <w:pPr>
        <w:pStyle w:val="DefinedTerms"/>
      </w:pPr>
      <w:r>
        <w:t>law</w:t>
      </w:r>
      <w:r>
        <w:tab/>
        <w:t>4(1)</w:t>
      </w:r>
    </w:p>
    <w:p>
      <w:pPr>
        <w:pStyle w:val="DefinedTerms"/>
      </w:pPr>
      <w:r>
        <w:t>paragraph</w:t>
      </w:r>
      <w:r>
        <w:tab/>
        <w:t>7(4D)</w:t>
      </w:r>
    </w:p>
    <w:p>
      <w:pPr>
        <w:pStyle w:val="DefinedTerms"/>
      </w:pPr>
      <w:r>
        <w:t>referential expression</w:t>
      </w:r>
      <w:r>
        <w:tab/>
        <w:t>4(1)</w:t>
      </w:r>
    </w:p>
    <w:p>
      <w:pPr>
        <w:pStyle w:val="DefinedTerms"/>
      </w:pPr>
      <w:r>
        <w:t>relevant conjunction</w:t>
      </w:r>
      <w:r>
        <w:tab/>
        <w:t>7(4A), 7(4B)</w:t>
      </w:r>
    </w:p>
    <w:p>
      <w:pPr>
        <w:pStyle w:val="DefinedTerms"/>
      </w:pPr>
      <w:r>
        <w:t>written law</w:t>
      </w:r>
      <w:r>
        <w:tab/>
        <w:t>4(1)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BEF92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C1DD9E0" w14:textId="31FE5FB1" w:rsidR="00042281" w:rsidRDefault="0004228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03C5B43" w14:textId="77777777" w:rsidR="00042281" w:rsidRDefault="0004228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68600F7" w14:textId="6CE9AB7C" w:rsidR="00042281" w:rsidRDefault="0004228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DDFE596" w14:textId="77777777" w:rsidR="00042281" w:rsidRDefault="0004228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25"/>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 w:name="WAFER_20210825120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0144_GUID" w:val="6ad189ec-fe27-4cde-8f32-35f40f4270d2"/>
    <w:docVar w:name="WAFER_20210825120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20211_GUID" w:val="213d5a5e-d007-4995-98ba-eb8dea0f4c58"/>
    <w:docVar w:name="WAFER_2023060116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1163703_GUID" w:val="d01d5ef4-392a-47b2-a673-e5716718e015"/>
    <w:docVar w:name="WAFER_20230621110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703_GUID" w:val="3b30daeb-3a25-4ff5-8939-024223dafc33"/>
    <w:docVar w:name="WAFER_20231227141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7141325_GUID" w:val="9ea601fe-70ba-482c-bd7a-54a2a89de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13379</Characters>
  <Application>Microsoft Office Word</Application>
  <DocSecurity>0</DocSecurity>
  <Lines>418</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1984 - 02-e0-01</dc:title>
  <dc:subject/>
  <dc:creator/>
  <cp:keywords/>
  <dc:description/>
  <cp:lastModifiedBy>Master Repository Process</cp:lastModifiedBy>
  <cp:revision>4</cp:revision>
  <cp:lastPrinted>2014-06-12T05:59:00Z</cp:lastPrinted>
  <dcterms:created xsi:type="dcterms:W3CDTF">2024-01-03T02:28:00Z</dcterms:created>
  <dcterms:modified xsi:type="dcterms:W3CDTF">2024-01-03T02:28:00Z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DocumentType">
    <vt:lpwstr>Act</vt:lpwstr>
  </property>
  <property fmtid="{D5CDD505-2E9C-101B-9397-08002B2CF9AE}" pid="4" name="OwlsUID">
    <vt:i4>684</vt:i4>
  </property>
  <property fmtid="{D5CDD505-2E9C-101B-9397-08002B2CF9AE}" pid="5" name="AsAtDate">
    <vt:lpwstr>01 Jul 2023</vt:lpwstr>
  </property>
  <property fmtid="{D5CDD505-2E9C-101B-9397-08002B2CF9AE}" pid="6" name="Suffix">
    <vt:lpwstr>02-e0-01</vt:lpwstr>
  </property>
  <property fmtid="{D5CDD505-2E9C-101B-9397-08002B2CF9AE}" pid="7" name="Official">
    <vt:lpwstr/>
  </property>
  <property fmtid="{D5CDD505-2E9C-101B-9397-08002B2CF9AE}" pid="8" name="Status">
    <vt:lpwstr>NIF</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