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_Toc155176145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_Toc155176146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_Toc155176147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_Toc155176148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_Toc155176149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_Toc155176151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15517614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w:t>
      </w:r>
    </w:p>
    <w:p>
      <w:pPr>
        <w:pStyle w:val="Heading5"/>
        <w:rPr>
          <w:snapToGrid w:val="0"/>
        </w:rPr>
      </w:pPr>
      <w:bookmarkStart w:id="4" w:name="_Toc155176146"/>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the </w:t>
      </w:r>
      <w:r>
        <w:rPr>
          <w:i/>
          <w:iCs/>
        </w:rPr>
        <w:t>Health (Miscellaneous Provisions) Act 1911</w:t>
      </w:r>
      <w:r>
        <w:t xml:space="preserve"> Part XII; and</w:t>
      </w:r>
    </w:p>
    <w:p>
      <w:pPr>
        <w:pStyle w:val="Defpara"/>
      </w:pPr>
      <w:r>
        <w:tab/>
        <w:t>(b)</w:t>
      </w:r>
      <w:r>
        <w:tab/>
        <w:t>a mental health hospital;</w:t>
      </w:r>
    </w:p>
    <w:p>
      <w:pPr>
        <w:pStyle w:val="Defstart"/>
      </w:pPr>
      <w:r>
        <w:rPr>
          <w:b/>
        </w:rPr>
        <w:lastRenderedPageBreak/>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No. 21 of 1985 s. 2; No. 103 of 1994 s. 18; No. 69 of 1996 s. 92; No. 11 of 2016 s. 305(2)-(4); No. 19 of 2016 s. 198.] </w:t>
      </w:r>
    </w:p>
    <w:p>
      <w:pPr>
        <w:pStyle w:val="Heading5"/>
        <w:rPr>
          <w:snapToGrid w:val="0"/>
        </w:rPr>
      </w:pPr>
      <w:bookmarkStart w:id="5" w:name="_Toc155176147"/>
      <w:r>
        <w:rPr>
          <w:rStyle w:val="CharSectno"/>
        </w:rPr>
        <w:t>3</w:t>
      </w:r>
      <w:r>
        <w:rPr>
          <w:snapToGrid w:val="0"/>
        </w:rPr>
        <w:t>.</w:t>
      </w:r>
      <w:r>
        <w:rPr>
          <w:snapToGrid w:val="0"/>
        </w:rPr>
        <w:tab/>
        <w:t>Declaration of teaching hospitals</w:t>
      </w:r>
      <w:bookmarkEnd w:id="5"/>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w:t>
      </w:r>
      <w:r>
        <w:rPr>
          <w:snapToGrid w:val="0"/>
        </w:rPr>
        <w:lastRenderedPageBreak/>
        <w:t xml:space="preserve">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No. 21 of 1985 s. 3.] </w:t>
      </w:r>
    </w:p>
    <w:p>
      <w:pPr>
        <w:pStyle w:val="Heading5"/>
        <w:rPr>
          <w:snapToGrid w:val="0"/>
        </w:rPr>
      </w:pPr>
      <w:bookmarkStart w:id="6" w:name="_Toc155176148"/>
      <w:r>
        <w:rPr>
          <w:rStyle w:val="CharSectno"/>
        </w:rPr>
        <w:t>4</w:t>
      </w:r>
      <w:r>
        <w:rPr>
          <w:snapToGrid w:val="0"/>
        </w:rPr>
        <w:t>.</w:t>
      </w:r>
      <w:r>
        <w:rPr>
          <w:snapToGrid w:val="0"/>
        </w:rPr>
        <w:tab/>
        <w:t>Power of managing body or Minister to enter into agreement with Senate</w:t>
      </w:r>
      <w:bookmarkEnd w:id="6"/>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Senate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xml:space="preserve">, the formation of an electoral committee for the teaching hospital charged with the responsibility of making recommendations to the managing body of the teaching hospital or the Minister, as the case requires, concerning the appointment of </w:t>
      </w:r>
      <w:r>
        <w:rPr>
          <w:snapToGrid w:val="0"/>
        </w:rPr>
        <w:lastRenderedPageBreak/>
        <w:t>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No. 21 of 1985 s. 4; amended: No. 11 of 2016 s. 305(5); No. 1 of 2023 s. 99.] </w:t>
      </w:r>
    </w:p>
    <w:p>
      <w:pPr>
        <w:pStyle w:val="Ednotesection"/>
      </w:pPr>
      <w:r>
        <w:rPr>
          <w:b/>
        </w:rPr>
        <w:t>[5, 6.</w:t>
      </w:r>
      <w:r>
        <w:rPr>
          <w:b/>
        </w:rPr>
        <w:tab/>
      </w:r>
      <w:r>
        <w:rPr>
          <w:b/>
        </w:rPr>
        <w:tab/>
      </w:r>
      <w:r>
        <w:t xml:space="preserve">Deleted: No. 11 of 2016 s. 305(6).] </w:t>
      </w:r>
    </w:p>
    <w:p>
      <w:pPr>
        <w:pStyle w:val="Heading5"/>
        <w:spacing w:before="120"/>
        <w:rPr>
          <w:snapToGrid w:val="0"/>
        </w:rPr>
      </w:pPr>
      <w:bookmarkStart w:id="7" w:name="_Toc155176149"/>
      <w:r>
        <w:rPr>
          <w:rStyle w:val="CharSectno"/>
        </w:rPr>
        <w:t>7</w:t>
      </w:r>
      <w:r>
        <w:rPr>
          <w:snapToGrid w:val="0"/>
        </w:rPr>
        <w:t>.</w:t>
      </w:r>
      <w:r>
        <w:rPr>
          <w:snapToGrid w:val="0"/>
        </w:rPr>
        <w:tab/>
        <w:t>Regulations</w:t>
      </w:r>
      <w:bookmarkEnd w:id="7"/>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8" w:name="_Toc155176150"/>
      <w:r>
        <w:lastRenderedPageBreak/>
        <w:t>Notes</w:t>
      </w:r>
      <w:bookmarkEnd w:id="8"/>
    </w:p>
    <w:p>
      <w:pPr>
        <w:pStyle w:val="nStatement"/>
      </w:pPr>
      <w:r>
        <w:t xml:space="preserve">This is a compilation of the </w:t>
      </w:r>
      <w:r>
        <w:rPr>
          <w:i/>
          <w:noProof/>
        </w:rPr>
        <w:t>University Medical School, Teaching Hospitals, Act 1955</w:t>
      </w:r>
      <w:r>
        <w:t xml:space="preserve"> and includes amendments made by other written laws. For provisions that have come into operation, and for information about any reprints, see the compilation table.</w:t>
      </w:r>
    </w:p>
    <w:p>
      <w:pPr>
        <w:pStyle w:val="nHeading3"/>
      </w:pPr>
      <w:bookmarkStart w:id="9" w:name="_Toc155176151"/>
      <w:r>
        <w:t>Compilation table</w:t>
      </w:r>
      <w:bookmarkEnd w:id="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Act 1955</w:t>
            </w:r>
          </w:p>
        </w:tc>
        <w:tc>
          <w:tcPr>
            <w:tcW w:w="1134" w:type="dxa"/>
          </w:tcPr>
          <w:p>
            <w:pPr>
              <w:pStyle w:val="nTable"/>
            </w:pPr>
            <w:r>
              <w:t>31 of 1955</w:t>
            </w:r>
          </w:p>
        </w:tc>
        <w:tc>
          <w:tcPr>
            <w:tcW w:w="1134" w:type="dxa"/>
          </w:tcPr>
          <w:p>
            <w:pPr>
              <w:pStyle w:val="nTable"/>
            </w:pPr>
            <w:r>
              <w:t>24 Nov 1955</w:t>
            </w:r>
          </w:p>
        </w:tc>
        <w:tc>
          <w:tcPr>
            <w:tcW w:w="2552" w:type="dxa"/>
          </w:tcPr>
          <w:p>
            <w:pPr>
              <w:pStyle w:val="nTable"/>
            </w:pPr>
            <w:r>
              <w:t>24 Nov 1955</w:t>
            </w:r>
          </w:p>
        </w:tc>
      </w:tr>
      <w:tr>
        <w:tblPrEx>
          <w:tblBorders>
            <w:top w:val="none" w:sz="0" w:space="0" w:color="auto"/>
            <w:bottom w:val="none" w:sz="0" w:space="0" w:color="auto"/>
            <w:insideH w:val="none" w:sz="0" w:space="0" w:color="auto"/>
          </w:tblBorders>
        </w:tblPrEx>
        <w:tc>
          <w:tcPr>
            <w:tcW w:w="2268" w:type="dxa"/>
          </w:tcPr>
          <w:p>
            <w:pPr>
              <w:pStyle w:val="nTable"/>
            </w:pPr>
            <w:r>
              <w:rPr>
                <w:i/>
              </w:rPr>
              <w:t>Health Legislation Amendment Act 1984</w:t>
            </w:r>
            <w:r>
              <w:t xml:space="preserve"> Pt. XXIII</w:t>
            </w:r>
          </w:p>
        </w:tc>
        <w:tc>
          <w:tcPr>
            <w:tcW w:w="1134" w:type="dxa"/>
          </w:tcPr>
          <w:p>
            <w:pPr>
              <w:pStyle w:val="nTable"/>
            </w:pPr>
            <w:r>
              <w:t>28 of 1984</w:t>
            </w:r>
          </w:p>
        </w:tc>
        <w:tc>
          <w:tcPr>
            <w:tcW w:w="1134" w:type="dxa"/>
          </w:tcPr>
          <w:p>
            <w:pPr>
              <w:pStyle w:val="nTable"/>
            </w:pPr>
            <w:r>
              <w:t>31 May 1984</w:t>
            </w:r>
          </w:p>
        </w:tc>
        <w:tc>
          <w:tcPr>
            <w:tcW w:w="2552" w:type="dxa"/>
          </w:tcPr>
          <w:p>
            <w:pPr>
              <w:pStyle w:val="nTable"/>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Amendment Act 1985</w:t>
            </w:r>
          </w:p>
        </w:tc>
        <w:tc>
          <w:tcPr>
            <w:tcW w:w="1134" w:type="dxa"/>
          </w:tcPr>
          <w:p>
            <w:pPr>
              <w:pStyle w:val="nTable"/>
            </w:pPr>
            <w:r>
              <w:t>21 of 1985</w:t>
            </w:r>
          </w:p>
        </w:tc>
        <w:tc>
          <w:tcPr>
            <w:tcW w:w="1134" w:type="dxa"/>
          </w:tcPr>
          <w:p>
            <w:pPr>
              <w:pStyle w:val="nTable"/>
            </w:pPr>
            <w:r>
              <w:t>19 Apr 1985</w:t>
            </w:r>
          </w:p>
        </w:tc>
        <w:tc>
          <w:tcPr>
            <w:tcW w:w="2552" w:type="dxa"/>
          </w:tcPr>
          <w:p>
            <w:pPr>
              <w:pStyle w:val="nTable"/>
            </w:pPr>
            <w:r>
              <w:t>17 May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pPr>
            <w:r>
              <w:rPr>
                <w:i/>
              </w:rPr>
              <w:t xml:space="preserve">Hospitals Amendment Act 1994 </w:t>
            </w:r>
            <w:r>
              <w:t>s. 18</w:t>
            </w:r>
          </w:p>
        </w:tc>
        <w:tc>
          <w:tcPr>
            <w:tcW w:w="1134" w:type="dxa"/>
          </w:tcPr>
          <w:p>
            <w:pPr>
              <w:pStyle w:val="nTable"/>
            </w:pPr>
            <w:r>
              <w:t>103 of 1994</w:t>
            </w:r>
          </w:p>
        </w:tc>
        <w:tc>
          <w:tcPr>
            <w:tcW w:w="1134" w:type="dxa"/>
          </w:tcPr>
          <w:p>
            <w:pPr>
              <w:pStyle w:val="nTable"/>
            </w:pPr>
            <w:r>
              <w:t>11 Jan 1995</w:t>
            </w:r>
          </w:p>
        </w:tc>
        <w:tc>
          <w:tcPr>
            <w:tcW w:w="2552" w:type="dxa"/>
          </w:tcPr>
          <w:p>
            <w:pPr>
              <w:pStyle w:val="nTable"/>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c>
          <w:tcPr>
            <w:tcW w:w="2268" w:type="dxa"/>
          </w:tcPr>
          <w:p>
            <w:pPr>
              <w:pStyle w:val="nTable"/>
            </w:pPr>
            <w:r>
              <w:rPr>
                <w:i/>
              </w:rPr>
              <w:t>Mental Health (Consequential Provisions) Act 1996</w:t>
            </w:r>
            <w:r>
              <w:t xml:space="preserve"> Pt. 21</w:t>
            </w:r>
          </w:p>
        </w:tc>
        <w:tc>
          <w:tcPr>
            <w:tcW w:w="1134" w:type="dxa"/>
          </w:tcPr>
          <w:p>
            <w:pPr>
              <w:pStyle w:val="nTable"/>
            </w:pPr>
            <w:r>
              <w:t>69 of 1996</w:t>
            </w:r>
          </w:p>
        </w:tc>
        <w:tc>
          <w:tcPr>
            <w:tcW w:w="1134" w:type="dxa"/>
          </w:tcPr>
          <w:p>
            <w:pPr>
              <w:pStyle w:val="nTable"/>
            </w:pPr>
            <w:r>
              <w:t>13 Nov 1996</w:t>
            </w:r>
          </w:p>
        </w:tc>
        <w:tc>
          <w:tcPr>
            <w:tcW w:w="2552" w:type="dxa"/>
          </w:tcPr>
          <w:p>
            <w:pPr>
              <w:pStyle w:val="nTable"/>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CellMar>
            <w:left w:w="57" w:type="dxa"/>
            <w:right w:w="57" w:type="dxa"/>
          </w:tblCellMar>
        </w:tblPrEx>
        <w:tc>
          <w:tcPr>
            <w:tcW w:w="2268" w:type="dxa"/>
            <w:tcBorders>
              <w:top w:val="nil"/>
              <w:bottom w:val="nil"/>
            </w:tcBorders>
          </w:tcPr>
          <w:p>
            <w:pPr>
              <w:pStyle w:val="nTable"/>
              <w:spacing w:after="40"/>
              <w:rPr>
                <w:i/>
              </w:rPr>
            </w:pPr>
            <w:r>
              <w:rPr>
                <w:i/>
                <w:snapToGrid w:val="0"/>
              </w:rPr>
              <w:t>Health Services Act 2016</w:t>
            </w:r>
            <w:r>
              <w:rPr>
                <w:snapToGrid w:val="0"/>
              </w:rPr>
              <w:t xml:space="preserve"> s. 305</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CellMar>
            <w:left w:w="57" w:type="dxa"/>
            <w:right w:w="57" w:type="dxa"/>
          </w:tblCellMar>
        </w:tblPrEx>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Pt. 3 Div. 28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single" w:sz="4" w:space="0" w:color="auto"/>
              <w:right w:val="nil"/>
            </w:tcBorders>
          </w:tcPr>
          <w:p>
            <w:pPr>
              <w:pStyle w:val="nTable"/>
              <w:spacing w:after="40"/>
              <w:rPr>
                <w:i/>
                <w:snapToGrid w:val="0"/>
              </w:rPr>
            </w:pPr>
            <w:r>
              <w:rPr>
                <w:i/>
              </w:rPr>
              <w:t>Health Services Amendment Act 2023</w:t>
            </w:r>
            <w:r>
              <w:t xml:space="preserve"> Pt. 6</w:t>
            </w:r>
          </w:p>
        </w:tc>
        <w:tc>
          <w:tcPr>
            <w:tcW w:w="1134" w:type="dxa"/>
            <w:tcBorders>
              <w:top w:val="nil"/>
              <w:left w:val="nil"/>
              <w:bottom w:val="single" w:sz="4" w:space="0" w:color="auto"/>
              <w:right w:val="nil"/>
            </w:tcBorders>
          </w:tcPr>
          <w:p>
            <w:pPr>
              <w:pStyle w:val="nTable"/>
              <w:spacing w:after="40"/>
            </w:pPr>
            <w:r>
              <w:t>1 of 2023</w:t>
            </w:r>
          </w:p>
        </w:tc>
        <w:tc>
          <w:tcPr>
            <w:tcW w:w="1134" w:type="dxa"/>
            <w:tcBorders>
              <w:top w:val="nil"/>
              <w:left w:val="nil"/>
              <w:bottom w:val="single" w:sz="4" w:space="0" w:color="auto"/>
              <w:right w:val="nil"/>
            </w:tcBorders>
          </w:tcPr>
          <w:p>
            <w:pPr>
              <w:pStyle w:val="nTable"/>
              <w:spacing w:after="40"/>
            </w:pPr>
            <w:r>
              <w:t>22 Feb 2023</w:t>
            </w:r>
          </w:p>
        </w:tc>
        <w:tc>
          <w:tcPr>
            <w:tcW w:w="2552" w:type="dxa"/>
            <w:tcBorders>
              <w:top w:val="nil"/>
              <w:left w:val="nil"/>
              <w:bottom w:val="single" w:sz="4" w:space="0" w:color="auto"/>
            </w:tcBorders>
          </w:tcPr>
          <w:p>
            <w:pPr>
              <w:pStyle w:val="nTable"/>
              <w:spacing w:after="40"/>
              <w:rPr>
                <w:snapToGrid w:val="0"/>
              </w:rPr>
            </w:pPr>
            <w:r>
              <w:rPr>
                <w:snapToGrid w:val="0"/>
              </w:rPr>
              <w:t>1 Jul 2023 (see s. 2(b) and SL 2023/103 cl. 2)</w:t>
            </w:r>
          </w:p>
        </w:tc>
      </w:tr>
    </w:tbl>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1" w:name="_Toc155176152"/>
      <w:r>
        <w:rPr>
          <w:sz w:val="28"/>
        </w:rPr>
        <w:lastRenderedPageBreak/>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service provider</w:t>
      </w:r>
      <w:r>
        <w:tab/>
        <w:t>2</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0FF1F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624AAFB" w14:textId="6D5E7757" w:rsidR="005D57A3" w:rsidRDefault="005D57A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7C00BEA" w14:textId="77777777" w:rsidR="005D57A3" w:rsidRDefault="005D57A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D95FAB5" w14:textId="79EE8710" w:rsidR="005D57A3" w:rsidRDefault="005D57A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DBFBE67" w14:textId="77777777" w:rsidR="005D57A3" w:rsidRDefault="005D57A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348"/>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 w:name="WAFER_20170125094735" w:val="RemoveTocBookmarks,RemoveUnusedBookmarks,RemoveLanguageTags,UsedStyles,ResetPageSize"/>
    <w:docVar w:name="WAFER_20170125094735_GUID" w:val="408c7ece-16e2-45af-8de9-13fe4c84cc07"/>
    <w:docVar w:name="WAFER_2023022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1101629_GUID" w:val="c3f87aab-c8c2-4788-85ac-9ac41da9be10"/>
    <w:docVar w:name="WAFER_20230623124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906_GUID" w:val="53bd2076-97ed-464e-aff0-5f64bda8e82c"/>
    <w:docVar w:name="WAFER_20231227143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48_GUID" w:val="176f2965-d4a0-4197-b2d2-4686a319f5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3E7912-4FF4-4612-9AAE-BD05A186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1495</Words>
  <Characters>7151</Characters>
  <Application>Microsoft Office Word</Application>
  <DocSecurity>0</DocSecurity>
  <Lines>246</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1955 - 02-j0-01</dc:title>
  <dc:subject/>
  <dc:creator/>
  <cp:keywords/>
  <dc:description/>
  <cp:lastModifiedBy>Master Repository Process</cp:lastModifiedBy>
  <cp:revision>4</cp:revision>
  <cp:lastPrinted>2004-04-07T02:17:00Z</cp:lastPrinted>
  <dcterms:created xsi:type="dcterms:W3CDTF">2024-01-03T04:08:00Z</dcterms:created>
  <dcterms:modified xsi:type="dcterms:W3CDTF">2024-01-03T04:08:00Z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AsAtDate">
    <vt:lpwstr>01 Jul 2023</vt:lpwstr>
  </property>
  <property fmtid="{D5CDD505-2E9C-101B-9397-08002B2CF9AE}" pid="6" name="Suffix">
    <vt:lpwstr>02-j0-01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