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Corporations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_Toc155177302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_Toc155177303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_Toc155177304 \h </w:instrText>
      </w:r>
      <w:r>
        <w:fldChar w:fldCharType="separate"/>
      </w:r>
      <w:r>
        <w:t>2</w:t>
      </w:r>
      <w:r>
        <w:fldChar w:fldCharType="end"/>
      </w:r>
    </w:p>
    <w:p>
      <w:pPr>
        <w:pStyle w:val="TOC8"/>
        <w:rPr>
          <w:rFonts w:asciiTheme="minorHAnsi" w:eastAsiaTheme="minorEastAsia" w:hAnsiTheme="minorHAnsi" w:cstheme="minorBidi"/>
          <w:szCs w:val="22"/>
        </w:rPr>
      </w:pPr>
      <w:r>
        <w:t>3A.</w:t>
      </w:r>
      <w:r>
        <w:tab/>
        <w:t>Relationship to GTE Act</w:t>
      </w:r>
      <w:r>
        <w:tab/>
      </w:r>
      <w:r>
        <w:fldChar w:fldCharType="begin"/>
      </w:r>
      <w:r>
        <w:instrText xml:space="preserve"> PAGEREF _Toc155177305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Water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_Toc155177308 \h </w:instrText>
      </w:r>
      <w:r>
        <w:fldChar w:fldCharType="separate"/>
      </w:r>
      <w:r>
        <w:t>4</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_Toc155177309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_Toc155177310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_Toc155177311 \h </w:instrText>
      </w:r>
      <w:r>
        <w:fldChar w:fldCharType="separate"/>
      </w:r>
      <w:r>
        <w:t>5</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_Toc155177312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Regional water corporation board members</w:t>
      </w:r>
    </w:p>
    <w:p>
      <w:pPr>
        <w:pStyle w:val="TOC8"/>
        <w:rPr>
          <w:rFonts w:asciiTheme="minorHAnsi" w:eastAsiaTheme="minorEastAsia" w:hAnsiTheme="minorHAnsi" w:cstheme="minorBidi"/>
          <w:szCs w:val="22"/>
        </w:rPr>
      </w:pPr>
      <w:r>
        <w:t>7.</w:t>
      </w:r>
      <w:r>
        <w:tab/>
        <w:t>Appointing board member: special provision for regional water corporations</w:t>
      </w:r>
      <w:r>
        <w:tab/>
      </w:r>
      <w:r>
        <w:fldChar w:fldCharType="begin"/>
      </w:r>
      <w:r>
        <w:instrText xml:space="preserve"> PAGEREF _Toc155177314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_Toc155177316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_Toc155177317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_Toc155177318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_Toc155177319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Staff codes of conduct</w:t>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_Toc155177321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_Toc155177322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_Toc155177323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Functions and powers of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_Toc155177326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_Toc155177327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_Toc155177328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_Toc155177330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tab/>
        <w:t>Laying documents before Parliament not sitting</w:t>
      </w:r>
      <w:r>
        <w:tab/>
      </w:r>
      <w:r>
        <w:fldChar w:fldCharType="begin"/>
      </w:r>
      <w:r>
        <w:instrText xml:space="preserve"> PAGEREF _Toc155177332 \h </w:instrText>
      </w:r>
      <w:r>
        <w:fldChar w:fldCharType="separate"/>
      </w:r>
      <w:r>
        <w:t>19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_Toc155177333 \h </w:instrText>
      </w:r>
      <w:r>
        <w:fldChar w:fldCharType="separate"/>
      </w:r>
      <w:r>
        <w:t>19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Regulations</w:t>
      </w:r>
      <w:r>
        <w:tab/>
      </w:r>
      <w:r>
        <w:fldChar w:fldCharType="begin"/>
      </w:r>
      <w:r>
        <w:instrText xml:space="preserve"> PAGEREF _Toc155177334 \h </w:instrText>
      </w:r>
      <w:r>
        <w:fldChar w:fldCharType="separate"/>
      </w:r>
      <w:r>
        <w:t>19</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_Toc155177335 \h </w:instrText>
      </w:r>
      <w:r>
        <w:fldChar w:fldCharType="separate"/>
      </w:r>
      <w:r>
        <w:t>20</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_Toc155177336 \h </w:instrText>
      </w:r>
      <w:r>
        <w:fldChar w:fldCharType="separate"/>
      </w:r>
      <w:r>
        <w:t>22</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_Toc155177337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w:t>
      </w:r>
      <w:r>
        <w:rPr>
          <w:i/>
        </w:rPr>
        <w:t>Water Services Legislation Amendment and Repeal Act 2012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_Toc155177341 \h </w:instrText>
      </w:r>
      <w:r>
        <w:fldChar w:fldCharType="separate"/>
      </w:r>
      <w:r>
        <w:t>23</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_Toc155177342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_Toc155177344 \h </w:instrText>
      </w:r>
      <w:r>
        <w:fldChar w:fldCharType="separate"/>
      </w:r>
      <w:r>
        <w:t>24</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_Toc155177345 \h </w:instrText>
      </w:r>
      <w:r>
        <w:fldChar w:fldCharType="separate"/>
      </w:r>
      <w:r>
        <w:t>25</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_Toc155177346 \h </w:instrText>
      </w:r>
      <w:r>
        <w:fldChar w:fldCharType="separate"/>
      </w:r>
      <w:r>
        <w:t>25</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_Toc155177347 \h </w:instrText>
      </w:r>
      <w:r>
        <w:fldChar w:fldCharType="separate"/>
      </w:r>
      <w:r>
        <w:t>25</w:t>
      </w:r>
      <w:r>
        <w:fldChar w:fldCharType="end"/>
      </w:r>
    </w:p>
    <w:p>
      <w:pPr>
        <w:pStyle w:val="TOC8"/>
        <w:rPr>
          <w:rFonts w:asciiTheme="minorHAnsi" w:eastAsiaTheme="minorEastAsia" w:hAnsiTheme="minorHAnsi" w:cstheme="minorBidi"/>
          <w:szCs w:val="22"/>
        </w:rPr>
      </w:pPr>
      <w:r>
        <w:t>7.</w:t>
      </w:r>
      <w:r>
        <w:tab/>
        <w:t xml:space="preserve">Supply of water to Water Corporation under </w:t>
      </w:r>
      <w:r>
        <w:rPr>
          <w:i/>
          <w:iCs/>
        </w:rPr>
        <w:t>Busselton Water Board (Supply of Water to Dunsborough) Act 2009</w:t>
      </w:r>
      <w:r>
        <w:tab/>
      </w:r>
      <w:r>
        <w:fldChar w:fldCharType="begin"/>
      </w:r>
      <w:r>
        <w:instrText xml:space="preserve"> PAGEREF _Toc155177348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_Toc155177350 \h </w:instrText>
      </w:r>
      <w:r>
        <w:fldChar w:fldCharType="separate"/>
      </w:r>
      <w:r>
        <w:t>27</w:t>
      </w:r>
      <w:r>
        <w:fldChar w:fldCharType="end"/>
      </w:r>
    </w:p>
    <w:p>
      <w:pPr>
        <w:pStyle w:val="TOC8"/>
        <w:rPr>
          <w:rFonts w:asciiTheme="minorHAnsi" w:eastAsiaTheme="minorEastAsia" w:hAnsiTheme="minorHAnsi" w:cstheme="minorBidi"/>
          <w:szCs w:val="22"/>
        </w:rPr>
      </w:pPr>
      <w:r>
        <w:lastRenderedPageBreak/>
        <w:t>9.</w:t>
      </w:r>
      <w:r>
        <w:tab/>
        <w:t>Transition of employment</w:t>
      </w:r>
      <w:r>
        <w:tab/>
      </w:r>
      <w:r>
        <w:fldChar w:fldCharType="begin"/>
      </w:r>
      <w:r>
        <w:instrText xml:space="preserve"> PAGEREF _Toc155177351 \h </w:instrText>
      </w:r>
      <w:r>
        <w:fldChar w:fldCharType="separate"/>
      </w:r>
      <w:r>
        <w:t>27</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_Toc155177352 \h </w:instrText>
      </w:r>
      <w:r>
        <w:fldChar w:fldCharType="separate"/>
      </w:r>
      <w:r>
        <w:t>28</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_Toc155177353 \h </w:instrText>
      </w:r>
      <w:r>
        <w:fldChar w:fldCharType="separate"/>
      </w:r>
      <w:r>
        <w:t>28</w:t>
      </w:r>
      <w:r>
        <w:fldChar w:fldCharType="end"/>
      </w:r>
    </w:p>
    <w:p>
      <w:pPr>
        <w:pStyle w:val="TOC8"/>
        <w:rPr>
          <w:rFonts w:asciiTheme="minorHAnsi" w:eastAsiaTheme="minorEastAsia" w:hAnsiTheme="minorHAnsi" w:cstheme="minorBidi"/>
          <w:szCs w:val="22"/>
        </w:rPr>
      </w:pPr>
      <w:r>
        <w:t>12.</w:t>
      </w:r>
      <w:r>
        <w:tab/>
        <w:t>Arrangements for return to Public Sector</w:t>
      </w:r>
      <w:r>
        <w:tab/>
      </w:r>
      <w:r>
        <w:fldChar w:fldCharType="begin"/>
      </w:r>
      <w:r>
        <w:instrText xml:space="preserve"> PAGEREF _Toc155177354 \h </w:instrText>
      </w:r>
      <w:r>
        <w:fldChar w:fldCharType="separate"/>
      </w:r>
      <w:r>
        <w:t>29</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_Toc155177355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_Toc155177357 \h </w:instrText>
      </w:r>
      <w:r>
        <w:fldChar w:fldCharType="separate"/>
      </w:r>
      <w:r>
        <w:t>30</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_Toc155177358 \h </w:instrText>
      </w:r>
      <w:r>
        <w:fldChar w:fldCharType="separate"/>
      </w:r>
      <w:r>
        <w:t>30</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_Toc155177359 \h </w:instrText>
      </w:r>
      <w:r>
        <w:fldChar w:fldCharType="separate"/>
      </w:r>
      <w:r>
        <w:t>31</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_Toc155177360 \h </w:instrText>
      </w:r>
      <w:r>
        <w:fldChar w:fldCharType="separate"/>
      </w:r>
      <w:r>
        <w:t>31</w:t>
      </w:r>
      <w:r>
        <w:fldChar w:fldCharType="end"/>
      </w:r>
    </w:p>
    <w:p>
      <w:pPr>
        <w:pStyle w:val="TOC8"/>
        <w:rPr>
          <w:rFonts w:asciiTheme="minorHAnsi" w:eastAsiaTheme="minorEastAsia" w:hAnsiTheme="minorHAnsi" w:cstheme="minorBidi"/>
          <w:szCs w:val="22"/>
        </w:rPr>
      </w:pPr>
      <w:r>
        <w:t>18.</w:t>
      </w:r>
      <w:r>
        <w:tab/>
        <w:t>Payments to State under Part 5 Div. 2</w:t>
      </w:r>
      <w:r>
        <w:tab/>
      </w:r>
      <w:r>
        <w:fldChar w:fldCharType="begin"/>
      </w:r>
      <w:r>
        <w:instrText xml:space="preserve"> PAGEREF _Toc155177361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_Toc155177363 \h </w:instrText>
      </w:r>
      <w:r>
        <w:fldChar w:fldCharType="separate"/>
      </w:r>
      <w:r>
        <w:t>32</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_Toc155177364 \h </w:instrText>
      </w:r>
      <w:r>
        <w:fldChar w:fldCharType="separate"/>
      </w:r>
      <w:r>
        <w:t>32</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_Toc155177365 \h </w:instrText>
      </w:r>
      <w:r>
        <w:fldChar w:fldCharType="separate"/>
      </w:r>
      <w:r>
        <w:t>32</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_Toc155177366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_Toc155177368 \h </w:instrText>
      </w:r>
      <w:r>
        <w:fldChar w:fldCharType="separate"/>
      </w:r>
      <w:r>
        <w:t>35</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_Toc155177369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8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No. 25 of 2012 s. 111.]</w:t>
      </w:r>
    </w:p>
    <w:p>
      <w:pPr>
        <w:pStyle w:val="Heading2"/>
      </w:pPr>
      <w:bookmarkStart w:id="3" w:name="_Toc155177301"/>
      <w:r>
        <w:rPr>
          <w:rStyle w:val="CharPartNo"/>
        </w:rPr>
        <w:lastRenderedPageBreak/>
        <w:t>Part 1</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15517730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w:t>
      </w:r>
    </w:p>
    <w:p>
      <w:pPr>
        <w:pStyle w:val="Footnotesection"/>
      </w:pPr>
      <w:r>
        <w:tab/>
        <w:t>[Section 1 amended: No. 25 of 2012 s. 112.]</w:t>
      </w:r>
    </w:p>
    <w:p>
      <w:pPr>
        <w:pStyle w:val="Heading5"/>
        <w:rPr>
          <w:snapToGrid w:val="0"/>
        </w:rPr>
      </w:pPr>
      <w:bookmarkStart w:id="5" w:name="_Toc15517730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p>
    <w:p>
      <w:pPr>
        <w:pStyle w:val="Heading5"/>
        <w:rPr>
          <w:snapToGrid w:val="0"/>
        </w:rPr>
      </w:pPr>
      <w:bookmarkStart w:id="6" w:name="_Toc155177304"/>
      <w:r>
        <w:rPr>
          <w:rStyle w:val="CharSectno"/>
        </w:rPr>
        <w:t>3</w:t>
      </w:r>
      <w:r>
        <w:rPr>
          <w:snapToGrid w:val="0"/>
        </w:rPr>
        <w:t>.</w:t>
      </w:r>
      <w:r>
        <w:rPr>
          <w:snapToGrid w:val="0"/>
        </w:rPr>
        <w:tab/>
        <w:t>Terms used</w:t>
      </w:r>
      <w:bookmarkEnd w:id="6"/>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spacing w:before="62"/>
      </w:pPr>
      <w:r>
        <w:rPr>
          <w:b/>
        </w:rPr>
        <w:tab/>
      </w:r>
      <w:r>
        <w:rPr>
          <w:rStyle w:val="CharDefText"/>
        </w:rPr>
        <w:t>function</w:t>
      </w:r>
      <w:r>
        <w:t>, except in sections 27(1), (2) and (4) and 29, includes powers, duties and authorities;</w:t>
      </w:r>
    </w:p>
    <w:p>
      <w:pPr>
        <w:pStyle w:val="Defstart"/>
      </w:pPr>
      <w:r>
        <w:tab/>
      </w:r>
      <w:r>
        <w:rPr>
          <w:rStyle w:val="CharDefText"/>
        </w:rPr>
        <w:t>GTE Act</w:t>
      </w:r>
      <w:r>
        <w:t xml:space="preserve"> means the </w:t>
      </w:r>
      <w:r>
        <w:rPr>
          <w:i/>
        </w:rPr>
        <w:t>Government Trading Enterprises Act 2023</w:t>
      </w:r>
      <w:r>
        <w:t>;</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Ednotesubsection"/>
        <w:keepNext/>
      </w:pPr>
      <w:r>
        <w:lastRenderedPageBreak/>
        <w:tab/>
        <w:t>[(2)</w:t>
      </w:r>
      <w:r>
        <w:tab/>
        <w:t>deleted]</w:t>
      </w:r>
    </w:p>
    <w:p>
      <w:pPr>
        <w:pStyle w:val="Footnotesection"/>
        <w:spacing w:before="100"/>
      </w:pPr>
      <w:r>
        <w:tab/>
        <w:t>[Section 3 amended: No. 10 of 2001 s. 205; No. 74 of 2003 s. 127(2); No. 8 of 2009 s. 132(2) and (3); No. 39 of 2010 s. 87(2); No. 25 of 2012 s. 113; No. 13 of 2023 s. 258.]</w:t>
      </w:r>
    </w:p>
    <w:p>
      <w:pPr>
        <w:pStyle w:val="Heading5"/>
      </w:pPr>
      <w:bookmarkStart w:id="7" w:name="_Toc155177305"/>
      <w:r>
        <w:rPr>
          <w:rStyle w:val="CharSectno"/>
        </w:rPr>
        <w:t>3A</w:t>
      </w:r>
      <w:r>
        <w:t>.</w:t>
      </w:r>
      <w:r>
        <w:tab/>
        <w:t>Relationship to GTE Act</w:t>
      </w:r>
      <w:bookmarkEnd w:id="7"/>
    </w:p>
    <w:p>
      <w:pPr>
        <w:pStyle w:val="Subsection"/>
      </w:pPr>
      <w:r>
        <w:tab/>
      </w:r>
      <w:r>
        <w:tab/>
        <w:t>The GTE Act is to be read with this Act as if they formed a single Act.</w:t>
      </w:r>
    </w:p>
    <w:p>
      <w:pPr>
        <w:pStyle w:val="Footnotesection"/>
        <w:spacing w:before="100"/>
      </w:pPr>
      <w:r>
        <w:tab/>
        <w:t>[Section 3A inserted: No. 13 of 2023 s. 259.]</w:t>
      </w:r>
    </w:p>
    <w:p>
      <w:pPr>
        <w:pStyle w:val="Heading2"/>
      </w:pPr>
      <w:bookmarkStart w:id="8" w:name="_Toc155177306"/>
      <w:r>
        <w:rPr>
          <w:rStyle w:val="CharPartNo"/>
        </w:rPr>
        <w:lastRenderedPageBreak/>
        <w:t>Part 2</w:t>
      </w:r>
      <w:r>
        <w:t> — </w:t>
      </w:r>
      <w:r>
        <w:rPr>
          <w:rStyle w:val="CharPartText"/>
        </w:rPr>
        <w:t>Water corporations</w:t>
      </w:r>
      <w:bookmarkEnd w:id="8"/>
    </w:p>
    <w:p>
      <w:pPr>
        <w:pStyle w:val="Footnoteheading"/>
      </w:pPr>
      <w:r>
        <w:tab/>
        <w:t>[Heading amended: No. 25 of 2012 s. 190.]</w:t>
      </w:r>
    </w:p>
    <w:p>
      <w:pPr>
        <w:pStyle w:val="Heading3"/>
        <w:rPr>
          <w:snapToGrid w:val="0"/>
        </w:rPr>
      </w:pPr>
      <w:bookmarkStart w:id="9" w:name="_Toc155177307"/>
      <w:r>
        <w:rPr>
          <w:rStyle w:val="CharDivNo"/>
        </w:rPr>
        <w:t>Division 1</w:t>
      </w:r>
      <w:r>
        <w:rPr>
          <w:snapToGrid w:val="0"/>
        </w:rPr>
        <w:t> — </w:t>
      </w:r>
      <w:r>
        <w:rPr>
          <w:rStyle w:val="CharDivText"/>
        </w:rPr>
        <w:t>Establishment of water corporations</w:t>
      </w:r>
      <w:bookmarkEnd w:id="9"/>
    </w:p>
    <w:p>
      <w:pPr>
        <w:pStyle w:val="Footnoteheading"/>
      </w:pPr>
      <w:r>
        <w:tab/>
        <w:t>[Heading amended: No. 25 of 2012 s. 190.]</w:t>
      </w:r>
    </w:p>
    <w:p>
      <w:pPr>
        <w:pStyle w:val="Heading5"/>
        <w:rPr>
          <w:snapToGrid w:val="0"/>
        </w:rPr>
      </w:pPr>
      <w:bookmarkStart w:id="10" w:name="_Toc155177308"/>
      <w:r>
        <w:rPr>
          <w:rStyle w:val="CharSectno"/>
        </w:rPr>
        <w:t>4</w:t>
      </w:r>
      <w:r>
        <w:rPr>
          <w:snapToGrid w:val="0"/>
        </w:rPr>
        <w:t>.</w:t>
      </w:r>
      <w:r>
        <w:rPr>
          <w:snapToGrid w:val="0"/>
        </w:rPr>
        <w:tab/>
        <w:t>Water corporations established</w:t>
      </w:r>
      <w:bookmarkEnd w:id="10"/>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No. 25 of 2012 s. 114.]</w:t>
      </w:r>
    </w:p>
    <w:p>
      <w:pPr>
        <w:pStyle w:val="Heading5"/>
      </w:pPr>
      <w:bookmarkStart w:id="11" w:name="_Toc155177309"/>
      <w:r>
        <w:rPr>
          <w:rStyle w:val="CharSectno"/>
        </w:rPr>
        <w:t>5A</w:t>
      </w:r>
      <w:r>
        <w:t>.</w:t>
      </w:r>
      <w:r>
        <w:tab/>
        <w:t>Nature of corporations</w:t>
      </w:r>
      <w:bookmarkEnd w:id="11"/>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No. 25 of 2012 s. 115.]</w:t>
      </w:r>
    </w:p>
    <w:p>
      <w:pPr>
        <w:pStyle w:val="Heading5"/>
        <w:rPr>
          <w:snapToGrid w:val="0"/>
        </w:rPr>
      </w:pPr>
      <w:bookmarkStart w:id="12" w:name="_Toc155177310"/>
      <w:r>
        <w:rPr>
          <w:rStyle w:val="CharSectno"/>
        </w:rPr>
        <w:lastRenderedPageBreak/>
        <w:t>5</w:t>
      </w:r>
      <w:r>
        <w:rPr>
          <w:snapToGrid w:val="0"/>
        </w:rPr>
        <w:t>.</w:t>
      </w:r>
      <w:r>
        <w:rPr>
          <w:snapToGrid w:val="0"/>
        </w:rPr>
        <w:tab/>
        <w:t>Corporations not agents of Crown</w:t>
      </w:r>
      <w:bookmarkEnd w:id="12"/>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No. 25 of 2012 s. 190.]</w:t>
      </w:r>
    </w:p>
    <w:p>
      <w:pPr>
        <w:pStyle w:val="Heading5"/>
        <w:rPr>
          <w:snapToGrid w:val="0"/>
        </w:rPr>
      </w:pPr>
      <w:bookmarkStart w:id="13" w:name="_Toc155177311"/>
      <w:r>
        <w:rPr>
          <w:rStyle w:val="CharSectno"/>
        </w:rPr>
        <w:t>6</w:t>
      </w:r>
      <w:r>
        <w:rPr>
          <w:snapToGrid w:val="0"/>
        </w:rPr>
        <w:t>.</w:t>
      </w:r>
      <w:r>
        <w:rPr>
          <w:snapToGrid w:val="0"/>
        </w:rPr>
        <w:tab/>
        <w:t>Corporations and officers not part of public sector</w:t>
      </w:r>
      <w:bookmarkEnd w:id="13"/>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No. 25 of 2012 s. 116 and 190.]</w:t>
      </w:r>
    </w:p>
    <w:p>
      <w:pPr>
        <w:pStyle w:val="Heading5"/>
      </w:pPr>
      <w:bookmarkStart w:id="14" w:name="_Toc155177312"/>
      <w:r>
        <w:rPr>
          <w:rStyle w:val="CharSectno"/>
        </w:rPr>
        <w:t>7A</w:t>
      </w:r>
      <w:r>
        <w:t>.</w:t>
      </w:r>
      <w:r>
        <w:tab/>
        <w:t>Dissolution of bodies established by Governor</w:t>
      </w:r>
      <w:bookmarkEnd w:id="14"/>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keepLines/>
      </w:pPr>
      <w:r>
        <w:lastRenderedPageBreak/>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the GTE Act Part 7 Division 1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No. 25 of 2012 s. 117; amended: No. 13 of 2023 s. 260.]</w:t>
      </w:r>
    </w:p>
    <w:p>
      <w:pPr>
        <w:pStyle w:val="Heading3"/>
      </w:pPr>
      <w:bookmarkStart w:id="15" w:name="_Toc155177313"/>
      <w:r>
        <w:rPr>
          <w:rStyle w:val="CharDivNo"/>
        </w:rPr>
        <w:lastRenderedPageBreak/>
        <w:t>Division 2</w:t>
      </w:r>
      <w:r>
        <w:t> — </w:t>
      </w:r>
      <w:r>
        <w:rPr>
          <w:rStyle w:val="CharDivText"/>
        </w:rPr>
        <w:t>Regional water corporation board members</w:t>
      </w:r>
      <w:bookmarkEnd w:id="15"/>
    </w:p>
    <w:p>
      <w:pPr>
        <w:pStyle w:val="Footnoteheading"/>
        <w:keepNext/>
      </w:pPr>
      <w:r>
        <w:tab/>
        <w:t>[Heading inserted: No. 13 of 2023 s. 261.]</w:t>
      </w:r>
    </w:p>
    <w:p>
      <w:pPr>
        <w:pStyle w:val="Heading5"/>
      </w:pPr>
      <w:bookmarkStart w:id="16" w:name="_Toc155177314"/>
      <w:r>
        <w:rPr>
          <w:rStyle w:val="CharSectno"/>
        </w:rPr>
        <w:t>7</w:t>
      </w:r>
      <w:r>
        <w:t>.</w:t>
      </w:r>
      <w:r>
        <w:tab/>
        <w:t>Appointing board member: special provision for regional water corporations</w:t>
      </w:r>
      <w:bookmarkEnd w:id="16"/>
    </w:p>
    <w:p>
      <w:pPr>
        <w:pStyle w:val="Subsection"/>
        <w:keepNext/>
      </w:pPr>
      <w:r>
        <w:tab/>
        <w:t>(1)</w:t>
      </w:r>
      <w:r>
        <w:tab/>
        <w:t xml:space="preserve">In this section — </w:t>
      </w:r>
    </w:p>
    <w:p>
      <w:pPr>
        <w:pStyle w:val="Defstart"/>
      </w:pPr>
      <w:r>
        <w:tab/>
      </w:r>
      <w:r>
        <w:rPr>
          <w:rStyle w:val="CharDefText"/>
        </w:rPr>
        <w:t>operating area</w:t>
      </w:r>
      <w:r>
        <w:t xml:space="preserve">, in relation to a regional water corporation, means an operating area of a licence held by the corporation under the </w:t>
      </w:r>
      <w:r>
        <w:rPr>
          <w:i/>
        </w:rPr>
        <w:t>Water Services Act 2012</w:t>
      </w:r>
      <w:r>
        <w:t>;</w:t>
      </w:r>
    </w:p>
    <w:p>
      <w:pPr>
        <w:pStyle w:val="Defstart"/>
      </w:pPr>
      <w:r>
        <w:tab/>
      </w:r>
      <w:r>
        <w:rPr>
          <w:rStyle w:val="CharDefText"/>
        </w:rPr>
        <w:t>regional water corporation</w:t>
      </w:r>
      <w:r>
        <w:t xml:space="preserve"> means the Bunbury Water Corporation and the Busselton Water Corporation.</w:t>
      </w:r>
    </w:p>
    <w:p>
      <w:pPr>
        <w:pStyle w:val="Subsection"/>
      </w:pPr>
      <w:r>
        <w:tab/>
        <w:t>(2)</w:t>
      </w:r>
      <w:r>
        <w:tab/>
        <w:t>In appointing the members of a regional water corporation’s board, the Minister must, to the extent practicable, ensure that, at the time of the appointment, the number of directors who are not ordinarily resident in an operating area of the corporation does not exceed the number of those who are.</w:t>
      </w:r>
    </w:p>
    <w:p>
      <w:pPr>
        <w:pStyle w:val="Footnotesection"/>
      </w:pPr>
      <w:r>
        <w:tab/>
        <w:t>[Section 7 inserted: No. 13 of 2023 s. 261.]</w:t>
      </w:r>
    </w:p>
    <w:p>
      <w:pPr>
        <w:pStyle w:val="Ednotesection"/>
      </w:pPr>
      <w:r>
        <w:t xml:space="preserve"> [</w:t>
      </w:r>
      <w:r>
        <w:rPr>
          <w:b/>
        </w:rPr>
        <w:t>8-12.</w:t>
      </w:r>
      <w:r>
        <w:tab/>
        <w:t>Deleted: No. 13 of 2023 s. 261.]</w:t>
      </w:r>
    </w:p>
    <w:p>
      <w:pPr>
        <w:pStyle w:val="Heading3"/>
        <w:rPr>
          <w:snapToGrid w:val="0"/>
        </w:rPr>
      </w:pPr>
      <w:bookmarkStart w:id="17" w:name="_Toc155177315"/>
      <w:r>
        <w:rPr>
          <w:rStyle w:val="CharDivNo"/>
        </w:rPr>
        <w:t>Division 3</w:t>
      </w:r>
      <w:r>
        <w:rPr>
          <w:snapToGrid w:val="0"/>
        </w:rPr>
        <w:t> — </w:t>
      </w:r>
      <w:r>
        <w:rPr>
          <w:rStyle w:val="CharDivText"/>
        </w:rPr>
        <w:t>Staff</w:t>
      </w:r>
      <w:bookmarkEnd w:id="17"/>
      <w:r>
        <w:rPr>
          <w:rStyle w:val="CharDivText"/>
        </w:rPr>
        <w:t xml:space="preserve"> </w:t>
      </w:r>
    </w:p>
    <w:p>
      <w:pPr>
        <w:pStyle w:val="Ednotesection"/>
      </w:pPr>
      <w:r>
        <w:t>[</w:t>
      </w:r>
      <w:r>
        <w:rPr>
          <w:b/>
        </w:rPr>
        <w:t>13-14.</w:t>
      </w:r>
      <w:r>
        <w:tab/>
        <w:t>Deleted: No. 13 of 2023 s. 262.]</w:t>
      </w:r>
    </w:p>
    <w:p>
      <w:pPr>
        <w:pStyle w:val="Heading5"/>
        <w:keepNext w:val="0"/>
        <w:keepLines w:val="0"/>
        <w:rPr>
          <w:snapToGrid w:val="0"/>
        </w:rPr>
      </w:pPr>
      <w:bookmarkStart w:id="18" w:name="_Toc155177316"/>
      <w:r>
        <w:rPr>
          <w:rStyle w:val="CharSectno"/>
        </w:rPr>
        <w:t>15</w:t>
      </w:r>
      <w:r>
        <w:rPr>
          <w:snapToGrid w:val="0"/>
        </w:rPr>
        <w:t>.</w:t>
      </w:r>
      <w:r>
        <w:rPr>
          <w:snapToGrid w:val="0"/>
        </w:rPr>
        <w:tab/>
        <w:t>Staff</w:t>
      </w:r>
      <w:bookmarkEnd w:id="18"/>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lastRenderedPageBreak/>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No. 20 of 2002 s. 27; Gazette 15 Aug 2003 p. 3692; No. 25 of 2012 s. 121 and 190.]</w:t>
      </w:r>
    </w:p>
    <w:p>
      <w:pPr>
        <w:pStyle w:val="Heading5"/>
        <w:spacing w:before="260"/>
        <w:rPr>
          <w:snapToGrid w:val="0"/>
        </w:rPr>
      </w:pPr>
      <w:bookmarkStart w:id="19" w:name="_Toc155177317"/>
      <w:r>
        <w:rPr>
          <w:rStyle w:val="CharSectno"/>
        </w:rPr>
        <w:t>16</w:t>
      </w:r>
      <w:r>
        <w:rPr>
          <w:snapToGrid w:val="0"/>
        </w:rPr>
        <w:t>.</w:t>
      </w:r>
      <w:r>
        <w:rPr>
          <w:snapToGrid w:val="0"/>
        </w:rPr>
        <w:tab/>
        <w:t>Minimum standards for staff management</w:t>
      </w:r>
      <w:bookmarkEnd w:id="19"/>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pPr>
      <w:r>
        <w:tab/>
        <w:t>(4)</w:t>
      </w:r>
      <w:r>
        <w:tab/>
        <w:t>An instrument issued under subsection (1) may be expressed to apply to the chief executive officer of the corporation as if the chief executive officer were a member of staff.</w:t>
      </w:r>
    </w:p>
    <w:p>
      <w:pPr>
        <w:pStyle w:val="Subsection"/>
      </w:pPr>
      <w:r>
        <w:tab/>
        <w:t>(4A)</w:t>
      </w:r>
      <w:r>
        <w:tab/>
        <w:t>If an instrument issued under subsection (1) applies to the chief executive officer of the corporation, subsection (3) does not affect the operation of the GTE Act section 37(5).</w:t>
      </w:r>
    </w:p>
    <w:p>
      <w:pPr>
        <w:pStyle w:val="Subsection"/>
        <w:rPr>
          <w:snapToGrid w:val="0"/>
        </w:rPr>
      </w:pPr>
      <w:r>
        <w:rPr>
          <w:snapToGrid w:val="0"/>
        </w:rPr>
        <w:lastRenderedPageBreak/>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No. 39 of 2010 s. 87(3); No. 25 of 2012 s. 190; No. 13 of 2023 s. 263.]</w:t>
      </w:r>
    </w:p>
    <w:p>
      <w:pPr>
        <w:pStyle w:val="Heading5"/>
        <w:rPr>
          <w:snapToGrid w:val="0"/>
        </w:rPr>
      </w:pPr>
      <w:bookmarkStart w:id="20" w:name="_Toc155177318"/>
      <w:r>
        <w:rPr>
          <w:rStyle w:val="CharSectno"/>
        </w:rPr>
        <w:t>17</w:t>
      </w:r>
      <w:r>
        <w:rPr>
          <w:snapToGrid w:val="0"/>
        </w:rPr>
        <w:t>.</w:t>
      </w:r>
      <w:r>
        <w:rPr>
          <w:snapToGrid w:val="0"/>
        </w:rPr>
        <w:tab/>
        <w:t>Reports to Public Sector Commissioner</w:t>
      </w:r>
      <w:bookmarkEnd w:id="2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No. 39 of 2010 s. 87(3); No. 25 of 2012 s. 190.]</w:t>
      </w:r>
    </w:p>
    <w:p>
      <w:pPr>
        <w:pStyle w:val="Ednotesection"/>
      </w:pPr>
      <w:r>
        <w:t>[</w:t>
      </w:r>
      <w:r>
        <w:rPr>
          <w:b/>
        </w:rPr>
        <w:t>18.</w:t>
      </w:r>
      <w:r>
        <w:tab/>
        <w:t>Deleted: No. 13 of 2023 s. 264.]</w:t>
      </w:r>
    </w:p>
    <w:p>
      <w:pPr>
        <w:pStyle w:val="Heading5"/>
        <w:rPr>
          <w:snapToGrid w:val="0"/>
        </w:rPr>
      </w:pPr>
      <w:bookmarkStart w:id="21" w:name="_Toc155177319"/>
      <w:r>
        <w:rPr>
          <w:rStyle w:val="CharSectno"/>
        </w:rPr>
        <w:lastRenderedPageBreak/>
        <w:t>19</w:t>
      </w:r>
      <w:r>
        <w:rPr>
          <w:snapToGrid w:val="0"/>
        </w:rPr>
        <w:t>.</w:t>
      </w:r>
      <w:r>
        <w:rPr>
          <w:snapToGrid w:val="0"/>
        </w:rPr>
        <w:tab/>
        <w:t>Superannuation</w:t>
      </w:r>
      <w:bookmarkEnd w:id="21"/>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No. 43 of 2000 s. 70; No. 25 of 2012 s. 190.]</w:t>
      </w:r>
    </w:p>
    <w:p>
      <w:pPr>
        <w:pStyle w:val="Heading3"/>
      </w:pPr>
      <w:bookmarkStart w:id="22" w:name="_Toc155177320"/>
      <w:r>
        <w:rPr>
          <w:rStyle w:val="CharDivNo"/>
        </w:rPr>
        <w:t>Division 4</w:t>
      </w:r>
      <w:r>
        <w:t> — </w:t>
      </w:r>
      <w:r>
        <w:rPr>
          <w:rStyle w:val="CharDivText"/>
        </w:rPr>
        <w:t>Staff codes of conduct</w:t>
      </w:r>
      <w:bookmarkEnd w:id="22"/>
    </w:p>
    <w:p>
      <w:pPr>
        <w:pStyle w:val="Footnoteheading"/>
      </w:pPr>
      <w:r>
        <w:tab/>
        <w:t>[Heading inserted: No. 13 of 2023 s. 265.]</w:t>
      </w:r>
    </w:p>
    <w:p>
      <w:pPr>
        <w:pStyle w:val="Ednotesection"/>
      </w:pPr>
      <w:r>
        <w:t>[</w:t>
      </w:r>
      <w:r>
        <w:rPr>
          <w:b/>
        </w:rPr>
        <w:t>20-23.</w:t>
      </w:r>
      <w:r>
        <w:tab/>
        <w:t>Deleted: No. 13 of 2023 s. 266.]</w:t>
      </w:r>
    </w:p>
    <w:p>
      <w:pPr>
        <w:pStyle w:val="Heading5"/>
        <w:rPr>
          <w:snapToGrid w:val="0"/>
        </w:rPr>
      </w:pPr>
      <w:bookmarkStart w:id="23" w:name="_Toc155177321"/>
      <w:r>
        <w:rPr>
          <w:rStyle w:val="CharSectno"/>
        </w:rPr>
        <w:t>24</w:t>
      </w:r>
      <w:r>
        <w:rPr>
          <w:snapToGrid w:val="0"/>
        </w:rPr>
        <w:t>.</w:t>
      </w:r>
      <w:r>
        <w:rPr>
          <w:snapToGrid w:val="0"/>
        </w:rPr>
        <w:tab/>
        <w:t>Codes of conduct for staff</w:t>
      </w:r>
      <w:bookmarkEnd w:id="23"/>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w:t>
      </w:r>
      <w:r>
        <w:rPr>
          <w:snapToGrid w:val="0"/>
        </w:rPr>
        <w:lastRenderedPageBreak/>
        <w:t xml:space="preserve">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No. 39 of 2010 s. 87(3); No. 25 of 2012 s. 190.]</w:t>
      </w:r>
    </w:p>
    <w:p>
      <w:pPr>
        <w:pStyle w:val="Heading5"/>
        <w:rPr>
          <w:snapToGrid w:val="0"/>
        </w:rPr>
      </w:pPr>
      <w:bookmarkStart w:id="24" w:name="_Toc155177322"/>
      <w:r>
        <w:rPr>
          <w:rStyle w:val="CharSectno"/>
        </w:rPr>
        <w:t>25</w:t>
      </w:r>
      <w:r>
        <w:rPr>
          <w:snapToGrid w:val="0"/>
        </w:rPr>
        <w:t>.</w:t>
      </w:r>
      <w:r>
        <w:rPr>
          <w:snapToGrid w:val="0"/>
        </w:rPr>
        <w:tab/>
        <w:t>Reports to Public Sector Commissioner</w:t>
      </w:r>
      <w:bookmarkEnd w:id="24"/>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No. 39 of 2010 s. 87(3); No. 25 of 2012 s. 190.]</w:t>
      </w:r>
    </w:p>
    <w:p>
      <w:pPr>
        <w:pStyle w:val="Heading5"/>
        <w:rPr>
          <w:snapToGrid w:val="0"/>
        </w:rPr>
      </w:pPr>
      <w:bookmarkStart w:id="25" w:name="_Toc155177323"/>
      <w:r>
        <w:rPr>
          <w:rStyle w:val="CharSectno"/>
        </w:rPr>
        <w:lastRenderedPageBreak/>
        <w:t>26</w:t>
      </w:r>
      <w:r>
        <w:rPr>
          <w:snapToGrid w:val="0"/>
        </w:rPr>
        <w:t>.</w:t>
      </w:r>
      <w:r>
        <w:rPr>
          <w:snapToGrid w:val="0"/>
        </w:rPr>
        <w:tab/>
        <w:t>Reports to Minister</w:t>
      </w:r>
      <w:bookmarkEnd w:id="25"/>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when it delivers to the Minister its annual report under </w:t>
      </w:r>
      <w:r>
        <w:t>the GTE Act section 81,</w:t>
      </w:r>
      <w:r>
        <w:rPr>
          <w:snapToGrid w:val="0"/>
        </w:rPr>
        <w:t xml:space="preserve">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No. 39 of 2010 s. 87(3); No. 25 of 2012 s. 190; No. 13 of 2023 s. 267.]</w:t>
      </w:r>
    </w:p>
    <w:p>
      <w:pPr>
        <w:pStyle w:val="Heading2"/>
      </w:pPr>
      <w:bookmarkStart w:id="26" w:name="_Toc155177324"/>
      <w:r>
        <w:rPr>
          <w:rStyle w:val="CharPartNo"/>
        </w:rPr>
        <w:lastRenderedPageBreak/>
        <w:t>Part 3</w:t>
      </w:r>
      <w:r>
        <w:t> — </w:t>
      </w:r>
      <w:r>
        <w:rPr>
          <w:rStyle w:val="CharPartText"/>
        </w:rPr>
        <w:t>Functions and powers of corporations</w:t>
      </w:r>
      <w:bookmarkEnd w:id="26"/>
    </w:p>
    <w:p>
      <w:pPr>
        <w:pStyle w:val="Footnoteheading"/>
      </w:pPr>
      <w:r>
        <w:tab/>
        <w:t>[Heading amended: No. 25 of 2012 s. 190.]</w:t>
      </w:r>
    </w:p>
    <w:p>
      <w:pPr>
        <w:pStyle w:val="Heading3"/>
        <w:rPr>
          <w:snapToGrid w:val="0"/>
        </w:rPr>
      </w:pPr>
      <w:bookmarkStart w:id="27" w:name="_Toc155177325"/>
      <w:r>
        <w:rPr>
          <w:rStyle w:val="CharDivNo"/>
        </w:rPr>
        <w:t>Division 1</w:t>
      </w:r>
      <w:r>
        <w:rPr>
          <w:snapToGrid w:val="0"/>
        </w:rPr>
        <w:t> — </w:t>
      </w:r>
      <w:r>
        <w:rPr>
          <w:rStyle w:val="CharDivText"/>
        </w:rPr>
        <w:t>Functions, powers and related provisions</w:t>
      </w:r>
      <w:bookmarkEnd w:id="27"/>
      <w:r>
        <w:rPr>
          <w:rStyle w:val="CharDivText"/>
        </w:rPr>
        <w:t xml:space="preserve"> </w:t>
      </w:r>
    </w:p>
    <w:p>
      <w:pPr>
        <w:pStyle w:val="Heading5"/>
        <w:rPr>
          <w:snapToGrid w:val="0"/>
        </w:rPr>
      </w:pPr>
      <w:bookmarkStart w:id="28" w:name="_Toc155177326"/>
      <w:r>
        <w:rPr>
          <w:rStyle w:val="CharSectno"/>
        </w:rPr>
        <w:t>27</w:t>
      </w:r>
      <w:r>
        <w:rPr>
          <w:snapToGrid w:val="0"/>
        </w:rPr>
        <w:t>.</w:t>
      </w:r>
      <w:r>
        <w:rPr>
          <w:snapToGrid w:val="0"/>
        </w:rPr>
        <w:tab/>
        <w:t>Functions of corporation</w:t>
      </w:r>
      <w:bookmarkEnd w:id="28"/>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lastRenderedPageBreak/>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No. 67 of 2003 Sch. 2 cl. 86; No. 25 of 2012 s. 126 and 190.]</w:t>
      </w:r>
    </w:p>
    <w:p>
      <w:pPr>
        <w:pStyle w:val="Ednotesection"/>
      </w:pPr>
      <w:r>
        <w:t>[</w:t>
      </w:r>
      <w:r>
        <w:rPr>
          <w:b/>
        </w:rPr>
        <w:t>28A, 28.</w:t>
      </w:r>
      <w:r>
        <w:tab/>
        <w:t>Deleted: No. 13 of 2023 s. 268.]</w:t>
      </w:r>
    </w:p>
    <w:p>
      <w:pPr>
        <w:pStyle w:val="Heading5"/>
        <w:rPr>
          <w:snapToGrid w:val="0"/>
        </w:rPr>
      </w:pPr>
      <w:bookmarkStart w:id="29" w:name="_Toc155177327"/>
      <w:r>
        <w:rPr>
          <w:rStyle w:val="CharSectno"/>
        </w:rPr>
        <w:t>29</w:t>
      </w:r>
      <w:r>
        <w:rPr>
          <w:snapToGrid w:val="0"/>
        </w:rPr>
        <w:t>.</w:t>
      </w:r>
      <w:r>
        <w:rPr>
          <w:snapToGrid w:val="0"/>
        </w:rPr>
        <w:tab/>
        <w:t>Powers of corporation</w:t>
      </w:r>
      <w:bookmarkEnd w:id="2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lastRenderedPageBreak/>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pPr>
      <w:r>
        <w:tab/>
        <w:t>(2A)</w:t>
      </w:r>
      <w:r>
        <w:tab/>
        <w:t>Subsections (1) and (2) have effect subject to the GTE Act.</w:t>
      </w:r>
    </w:p>
    <w:p>
      <w:pPr>
        <w:pStyle w:val="Subsection"/>
        <w:keepNext/>
        <w:rPr>
          <w:snapToGrid w:val="0"/>
        </w:rPr>
      </w:pPr>
      <w:r>
        <w:rPr>
          <w:snapToGrid w:val="0"/>
        </w:rPr>
        <w:lastRenderedPageBreak/>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No. 10 of 1998 s. 73(2); No. 25 of 2012 s. 128 and 190; No. 13 of 2023 s. 269.]</w:t>
      </w:r>
    </w:p>
    <w:p>
      <w:pPr>
        <w:pStyle w:val="Ednotesection"/>
      </w:pPr>
      <w:r>
        <w:t>[</w:t>
      </w:r>
      <w:r>
        <w:rPr>
          <w:b/>
        </w:rPr>
        <w:t>30-34.</w:t>
      </w:r>
      <w:r>
        <w:tab/>
        <w:t>Deleted: No. 13 of 2023 s. 270.]</w:t>
      </w:r>
    </w:p>
    <w:p>
      <w:pPr>
        <w:pStyle w:val="Heading5"/>
        <w:rPr>
          <w:snapToGrid w:val="0"/>
        </w:rPr>
      </w:pPr>
      <w:bookmarkStart w:id="30" w:name="_Toc155177328"/>
      <w:r>
        <w:rPr>
          <w:rStyle w:val="CharSectno"/>
        </w:rPr>
        <w:t>35</w:t>
      </w:r>
      <w:r>
        <w:rPr>
          <w:snapToGrid w:val="0"/>
        </w:rPr>
        <w:t>.</w:t>
      </w:r>
      <w:r>
        <w:rPr>
          <w:snapToGrid w:val="0"/>
        </w:rPr>
        <w:tab/>
        <w:t>Delegation by corporation</w:t>
      </w:r>
      <w:bookmarkEnd w:id="3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lastRenderedPageBreak/>
        <w:tab/>
        <w:t>(c)</w:t>
      </w:r>
      <w:r>
        <w:rPr>
          <w:snapToGrid w:val="0"/>
        </w:rPr>
        <w:tab/>
        <w:t xml:space="preserve">a committee established under </w:t>
      </w:r>
      <w:r>
        <w:t>the GTE Act section 26;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Subsection"/>
      </w:pPr>
      <w:r>
        <w:tab/>
        <w:t>(7)</w:t>
      </w:r>
      <w:r>
        <w:tab/>
        <w:t>This section does not apply to the execution of documents.</w:t>
      </w:r>
    </w:p>
    <w:p>
      <w:pPr>
        <w:pStyle w:val="PermNoteHeading"/>
      </w:pPr>
      <w:r>
        <w:tab/>
        <w:t>Note for this subsection:</w:t>
      </w:r>
    </w:p>
    <w:p>
      <w:pPr>
        <w:pStyle w:val="PermNoteText"/>
      </w:pPr>
      <w:r>
        <w:tab/>
      </w:r>
      <w:r>
        <w:tab/>
        <w:t>Authority to execute documents on behalf of a corporation can be given under the GTE Act section 156.</w:t>
      </w:r>
    </w:p>
    <w:p>
      <w:pPr>
        <w:pStyle w:val="Footnotesection"/>
      </w:pPr>
      <w:r>
        <w:tab/>
        <w:t>[Section 35 amended: No. 25 of 2012 s. 132 and 190; No. 13 of 2023 s. 271.]</w:t>
      </w:r>
    </w:p>
    <w:p>
      <w:pPr>
        <w:pStyle w:val="Heading3"/>
        <w:rPr>
          <w:snapToGrid w:val="0"/>
        </w:rPr>
      </w:pPr>
      <w:bookmarkStart w:id="31" w:name="_Toc155177329"/>
      <w:r>
        <w:rPr>
          <w:rStyle w:val="CharDivNo"/>
        </w:rPr>
        <w:t>Division 2</w:t>
      </w:r>
      <w:r>
        <w:rPr>
          <w:snapToGrid w:val="0"/>
        </w:rPr>
        <w:t> — </w:t>
      </w:r>
      <w:r>
        <w:rPr>
          <w:rStyle w:val="CharDivText"/>
        </w:rPr>
        <w:t>Arrangements authorised or approved by Governor</w:t>
      </w:r>
      <w:bookmarkEnd w:id="31"/>
    </w:p>
    <w:p>
      <w:pPr>
        <w:pStyle w:val="Heading5"/>
        <w:spacing w:before="180"/>
        <w:rPr>
          <w:snapToGrid w:val="0"/>
        </w:rPr>
      </w:pPr>
      <w:bookmarkStart w:id="32" w:name="_Toc155177330"/>
      <w:r>
        <w:rPr>
          <w:rStyle w:val="CharSectno"/>
        </w:rPr>
        <w:t>36</w:t>
      </w:r>
      <w:r>
        <w:rPr>
          <w:snapToGrid w:val="0"/>
        </w:rPr>
        <w:t>.</w:t>
      </w:r>
      <w:r>
        <w:rPr>
          <w:snapToGrid w:val="0"/>
        </w:rPr>
        <w:tab/>
        <w:t>Governor may make certain regulations</w:t>
      </w:r>
      <w:bookmarkEnd w:id="32"/>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lastRenderedPageBreak/>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No. 25 of 2012 s. 133.]</w:t>
      </w:r>
    </w:p>
    <w:p>
      <w:pPr>
        <w:pStyle w:val="Ednotedivision"/>
      </w:pPr>
      <w:r>
        <w:t>[Division 3 (s. 37-40) deleted: No. 13 of 2023 s. 272.]</w:t>
      </w:r>
    </w:p>
    <w:p>
      <w:pPr>
        <w:pStyle w:val="Ednotepart"/>
      </w:pPr>
      <w:r>
        <w:tab/>
        <w:t>[Parts 4 and 5 (s. 41-86) deleted: No. 13 of 2023 s. 273.]</w:t>
      </w:r>
    </w:p>
    <w:p>
      <w:pPr>
        <w:pStyle w:val="Heading2"/>
      </w:pPr>
      <w:bookmarkStart w:id="33" w:name="_Toc155177331"/>
      <w:r>
        <w:rPr>
          <w:rStyle w:val="CharPartNo"/>
        </w:rPr>
        <w:lastRenderedPageBreak/>
        <w:t>Part 6</w:t>
      </w:r>
      <w:r>
        <w:rPr>
          <w:rStyle w:val="CharDivNo"/>
        </w:rPr>
        <w:t> </w:t>
      </w:r>
      <w:r>
        <w:t>—</w:t>
      </w:r>
      <w:r>
        <w:rPr>
          <w:rStyle w:val="CharDivText"/>
        </w:rPr>
        <w:t> </w:t>
      </w:r>
      <w:r>
        <w:rPr>
          <w:rStyle w:val="CharPartText"/>
        </w:rPr>
        <w:t>Miscellaneous</w:t>
      </w:r>
      <w:bookmarkEnd w:id="33"/>
      <w:r>
        <w:rPr>
          <w:rStyle w:val="CharPartText"/>
        </w:rPr>
        <w:t xml:space="preserve"> </w:t>
      </w:r>
    </w:p>
    <w:p>
      <w:pPr>
        <w:pStyle w:val="Heading5"/>
      </w:pPr>
      <w:bookmarkStart w:id="34" w:name="_Toc155177332"/>
      <w:r>
        <w:rPr>
          <w:rStyle w:val="CharSectno"/>
        </w:rPr>
        <w:t>87</w:t>
      </w:r>
      <w:r>
        <w:t>.</w:t>
      </w:r>
      <w:r>
        <w:tab/>
        <w:t>Laying documents before Parliament not sitting</w:t>
      </w:r>
      <w:bookmarkEnd w:id="34"/>
    </w:p>
    <w:p>
      <w:pPr>
        <w:pStyle w:val="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Footnotesection"/>
        <w:spacing w:before="100"/>
      </w:pPr>
      <w:r>
        <w:tab/>
        <w:t>[Section 87 inserted: No. 13 of 2023 s. 274.]</w:t>
      </w:r>
    </w:p>
    <w:p>
      <w:pPr>
        <w:pStyle w:val="Ednotesection"/>
      </w:pPr>
      <w:r>
        <w:t>[</w:t>
      </w:r>
      <w:r>
        <w:rPr>
          <w:b/>
        </w:rPr>
        <w:t>88-89.</w:t>
      </w:r>
      <w:r>
        <w:tab/>
        <w:t>Deleted: No. 13 of 2023 s. 274.]</w:t>
      </w:r>
    </w:p>
    <w:p>
      <w:pPr>
        <w:pStyle w:val="Heading5"/>
        <w:rPr>
          <w:snapToGrid w:val="0"/>
        </w:rPr>
      </w:pPr>
      <w:bookmarkStart w:id="35" w:name="_Toc155177333"/>
      <w:r>
        <w:rPr>
          <w:rStyle w:val="CharSectno"/>
        </w:rPr>
        <w:t>90</w:t>
      </w:r>
      <w:r>
        <w:rPr>
          <w:snapToGrid w:val="0"/>
        </w:rPr>
        <w:t>.</w:t>
      </w:r>
      <w:r>
        <w:rPr>
          <w:snapToGrid w:val="0"/>
        </w:rPr>
        <w:tab/>
        <w:t>Delegation by Treasurer</w:t>
      </w:r>
      <w:bookmarkEnd w:id="35"/>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6" w:name="_Toc155177334"/>
      <w:r>
        <w:rPr>
          <w:rStyle w:val="CharSectno"/>
        </w:rPr>
        <w:t>91</w:t>
      </w:r>
      <w:r>
        <w:rPr>
          <w:snapToGrid w:val="0"/>
        </w:rPr>
        <w:t>.</w:t>
      </w:r>
      <w:r>
        <w:rPr>
          <w:snapToGrid w:val="0"/>
        </w:rPr>
        <w:tab/>
        <w:t>Regulations</w:t>
      </w:r>
      <w:bookmarkEnd w:id="3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Subsection"/>
      </w:pPr>
      <w:r>
        <w:lastRenderedPageBreak/>
        <w:tab/>
        <w:t>(3)</w:t>
      </w:r>
      <w:r>
        <w:tab/>
        <w:t>Regulations under this Act may be expressed to prevail over regulations made under the GTE Act.</w:t>
      </w:r>
    </w:p>
    <w:p>
      <w:pPr>
        <w:pStyle w:val="Subsection"/>
      </w:pPr>
      <w:r>
        <w:tab/>
        <w:t>(4)</w:t>
      </w:r>
      <w:r>
        <w:tab/>
        <w:t xml:space="preserve">Regulations in reliance on subsection (3) must not be made except on the recommendation of — </w:t>
      </w:r>
    </w:p>
    <w:p>
      <w:pPr>
        <w:pStyle w:val="Indenta"/>
      </w:pPr>
      <w:r>
        <w:tab/>
        <w:t>(a)</w:t>
      </w:r>
      <w:r>
        <w:tab/>
        <w:t>the Minister; and</w:t>
      </w:r>
    </w:p>
    <w:p>
      <w:pPr>
        <w:pStyle w:val="Indenta"/>
      </w:pPr>
      <w:r>
        <w:tab/>
        <w:t>(b)</w:t>
      </w:r>
      <w:r>
        <w:tab/>
        <w:t>the Minister to whom the administration of the GTE Act is committed.</w:t>
      </w:r>
    </w:p>
    <w:p>
      <w:pPr>
        <w:pStyle w:val="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Footnotesection"/>
      </w:pPr>
      <w:r>
        <w:tab/>
        <w:t>[Section 91 amended: No. 67 of 2003 Sch. 2 cl. 87; No. 25 of 2012 s. 162; No. 13 of 2023 s. 275.]</w:t>
      </w:r>
    </w:p>
    <w:p>
      <w:pPr>
        <w:pStyle w:val="Heading5"/>
      </w:pPr>
      <w:bookmarkStart w:id="37" w:name="_Toc155177335"/>
      <w:r>
        <w:rPr>
          <w:rStyle w:val="CharSectno"/>
        </w:rPr>
        <w:t>92</w:t>
      </w:r>
      <w:r>
        <w:t>.</w:t>
      </w:r>
      <w:r>
        <w:tab/>
        <w:t>Minister may vest certain land in Water Corporation and make orders in respect of certain reserves</w:t>
      </w:r>
      <w:bookmarkEnd w:id="37"/>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lastRenderedPageBreak/>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lastRenderedPageBreak/>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No. 25 of 2012 s. 163.]</w:t>
      </w:r>
    </w:p>
    <w:p>
      <w:pPr>
        <w:pStyle w:val="Heading5"/>
      </w:pPr>
      <w:bookmarkStart w:id="38" w:name="_Toc155177336"/>
      <w:r>
        <w:rPr>
          <w:rStyle w:val="CharSectno"/>
        </w:rPr>
        <w:t>93</w:t>
      </w:r>
      <w:r>
        <w:t>.</w:t>
      </w:r>
      <w:r>
        <w:tab/>
        <w:t>Review of Act</w:t>
      </w:r>
      <w:bookmarkEnd w:id="38"/>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No. 25 of 2012 s. 163.]</w:t>
      </w:r>
    </w:p>
    <w:p>
      <w:pPr>
        <w:pStyle w:val="Heading5"/>
      </w:pPr>
      <w:bookmarkStart w:id="39" w:name="_Toc155177337"/>
      <w:r>
        <w:rPr>
          <w:rStyle w:val="CharSectno"/>
        </w:rPr>
        <w:t>94</w:t>
      </w:r>
      <w:r>
        <w:t>.</w:t>
      </w:r>
      <w:r>
        <w:tab/>
        <w:t>Transitional provisions</w:t>
      </w:r>
      <w:bookmarkEnd w:id="39"/>
    </w:p>
    <w:p>
      <w:pPr>
        <w:pStyle w:val="Subsection"/>
      </w:pPr>
      <w:r>
        <w:tab/>
      </w:r>
      <w:r>
        <w:tab/>
        <w:t>Schedule 5 sets out transitional provisions.</w:t>
      </w:r>
    </w:p>
    <w:p>
      <w:pPr>
        <w:pStyle w:val="Footnotesection"/>
      </w:pPr>
      <w:r>
        <w:tab/>
        <w:t>[Section 94 inserted: No. 25 of 2012 s. 163.]</w:t>
      </w:r>
    </w:p>
    <w:p>
      <w:pPr>
        <w:pStyle w:val="yEdnoteschedule"/>
      </w:pPr>
      <w:r>
        <w:t>[Schedules 1-4 deleted: No. 13 of 2023 s. 276.]</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ageBreakBefore w:val="0"/>
      </w:pPr>
      <w:bookmarkStart w:id="40" w:name="_Toc155177338"/>
      <w:r>
        <w:rPr>
          <w:rStyle w:val="CharSchNo"/>
        </w:rPr>
        <w:lastRenderedPageBreak/>
        <w:t>Schedule 5</w:t>
      </w:r>
      <w:r>
        <w:t> — </w:t>
      </w:r>
      <w:r>
        <w:rPr>
          <w:rStyle w:val="CharSchText"/>
        </w:rPr>
        <w:t>Transitional provisions</w:t>
      </w:r>
      <w:bookmarkEnd w:id="40"/>
    </w:p>
    <w:p>
      <w:pPr>
        <w:pStyle w:val="yShoulderClause"/>
      </w:pPr>
      <w:r>
        <w:t>[s. 94]</w:t>
      </w:r>
    </w:p>
    <w:p>
      <w:pPr>
        <w:pStyle w:val="yFootnoteheading"/>
      </w:pPr>
      <w:r>
        <w:tab/>
        <w:t>[Heading inserted: No. 25 of 2012 s. 189.]</w:t>
      </w:r>
    </w:p>
    <w:p>
      <w:pPr>
        <w:pStyle w:val="yHeading3"/>
      </w:pPr>
      <w:bookmarkStart w:id="41" w:name="_Toc155177339"/>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41"/>
    </w:p>
    <w:p>
      <w:pPr>
        <w:pStyle w:val="yFootnoteheading"/>
      </w:pPr>
      <w:r>
        <w:tab/>
        <w:t>[Heading inserted: No. 25 of 2012 s. 189.]</w:t>
      </w:r>
    </w:p>
    <w:p>
      <w:pPr>
        <w:pStyle w:val="Heading4"/>
      </w:pPr>
      <w:bookmarkStart w:id="42" w:name="_Toc155177340"/>
      <w:r>
        <w:t>Subdivision 1 — Preliminary</w:t>
      </w:r>
      <w:bookmarkEnd w:id="42"/>
    </w:p>
    <w:p>
      <w:pPr>
        <w:pStyle w:val="yFootnoteheading"/>
      </w:pPr>
      <w:r>
        <w:tab/>
        <w:t>[Heading inserted: No. 25 of 2012 s. 189.]</w:t>
      </w:r>
    </w:p>
    <w:p>
      <w:pPr>
        <w:pStyle w:val="yHeading5"/>
      </w:pPr>
      <w:bookmarkStart w:id="43" w:name="_Toc155177341"/>
      <w:r>
        <w:rPr>
          <w:rStyle w:val="CharSClsNo"/>
        </w:rPr>
        <w:t>1</w:t>
      </w:r>
      <w:r>
        <w:t>.</w:t>
      </w:r>
      <w:r>
        <w:tab/>
        <w:t>Terms used</w:t>
      </w:r>
      <w:bookmarkEnd w:id="43"/>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No. 25 of 2012 s. 189.]</w:t>
      </w:r>
    </w:p>
    <w:p>
      <w:pPr>
        <w:pStyle w:val="yHeading5"/>
      </w:pPr>
      <w:bookmarkStart w:id="44" w:name="_Toc155177342"/>
      <w:r>
        <w:rPr>
          <w:rStyle w:val="CharSClsNo"/>
        </w:rPr>
        <w:lastRenderedPageBreak/>
        <w:t>2</w:t>
      </w:r>
      <w:r>
        <w:t>.</w:t>
      </w:r>
      <w:r>
        <w:tab/>
        <w:t xml:space="preserve">Application of </w:t>
      </w:r>
      <w:r>
        <w:rPr>
          <w:i/>
          <w:iCs/>
        </w:rPr>
        <w:t>Interpretation Act 1984</w:t>
      </w:r>
      <w:bookmarkEnd w:id="44"/>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No. 25 of 2012 s. 189.]</w:t>
      </w:r>
    </w:p>
    <w:p>
      <w:pPr>
        <w:pStyle w:val="yHeading4"/>
      </w:pPr>
      <w:bookmarkStart w:id="45" w:name="_Toc155177343"/>
      <w:r>
        <w:t>Subdivision 2 — Continuation of former Boards</w:t>
      </w:r>
      <w:bookmarkEnd w:id="45"/>
    </w:p>
    <w:p>
      <w:pPr>
        <w:pStyle w:val="yFootnotesection"/>
      </w:pPr>
      <w:r>
        <w:tab/>
        <w:t>[Heading inserted: No. 25 of 2012 s. 189.]</w:t>
      </w:r>
    </w:p>
    <w:p>
      <w:pPr>
        <w:pStyle w:val="yHeading5"/>
      </w:pPr>
      <w:bookmarkStart w:id="46" w:name="_Toc155177344"/>
      <w:r>
        <w:rPr>
          <w:rStyle w:val="CharSClsNo"/>
        </w:rPr>
        <w:t>3</w:t>
      </w:r>
      <w:r>
        <w:t>.</w:t>
      </w:r>
      <w:r>
        <w:tab/>
        <w:t>Bunbury Water Board continues</w:t>
      </w:r>
      <w:bookmarkEnd w:id="46"/>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No. 25 of 2012 s. 189.]</w:t>
      </w:r>
    </w:p>
    <w:p>
      <w:pPr>
        <w:pStyle w:val="yHeading5"/>
      </w:pPr>
      <w:bookmarkStart w:id="47" w:name="_Toc155177345"/>
      <w:r>
        <w:rPr>
          <w:rStyle w:val="CharSClsNo"/>
        </w:rPr>
        <w:lastRenderedPageBreak/>
        <w:t>4</w:t>
      </w:r>
      <w:r>
        <w:t>.</w:t>
      </w:r>
      <w:r>
        <w:tab/>
        <w:t>Busselton Water Board continues</w:t>
      </w:r>
      <w:bookmarkEnd w:id="47"/>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No. 25 of 2012 s. 189.]</w:t>
      </w:r>
    </w:p>
    <w:p>
      <w:pPr>
        <w:pStyle w:val="yHeading5"/>
        <w:spacing w:before="190"/>
      </w:pPr>
      <w:bookmarkStart w:id="48" w:name="_Toc155177346"/>
      <w:r>
        <w:rPr>
          <w:rStyle w:val="CharSClsNo"/>
        </w:rPr>
        <w:t>5</w:t>
      </w:r>
      <w:r>
        <w:t>.</w:t>
      </w:r>
      <w:r>
        <w:tab/>
        <w:t>Members of former Boards</w:t>
      </w:r>
      <w:bookmarkEnd w:id="48"/>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No. 25 of 2012 s. 189.]</w:t>
      </w:r>
    </w:p>
    <w:p>
      <w:pPr>
        <w:pStyle w:val="yHeading5"/>
        <w:spacing w:before="200"/>
      </w:pPr>
      <w:bookmarkStart w:id="49" w:name="_Toc155177347"/>
      <w:r>
        <w:rPr>
          <w:rStyle w:val="CharSClsNo"/>
        </w:rPr>
        <w:t>6</w:t>
      </w:r>
      <w:r>
        <w:t>.</w:t>
      </w:r>
      <w:r>
        <w:tab/>
        <w:t>Operating licences of former Boards</w:t>
      </w:r>
      <w:bookmarkEnd w:id="49"/>
    </w:p>
    <w:p>
      <w:pPr>
        <w:pStyle w:val="ySubsection"/>
        <w:spacing w:before="120"/>
      </w:pPr>
      <w:r>
        <w:tab/>
        <w:t>(1)</w:t>
      </w:r>
      <w:r>
        <w:tab/>
        <w:t xml:space="preserve">An operating licence held by a former Board under the </w:t>
      </w:r>
      <w:r>
        <w:rPr>
          <w:i/>
          <w:iCs/>
        </w:rPr>
        <w:t>Water Services Licensing Act 1995</w:t>
      </w:r>
      <w:r>
        <w:rPr>
          <w:iCs/>
          <w:vertAlign w:val="superscript"/>
        </w:rPr>
        <w:t> 1</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lastRenderedPageBreak/>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No. 25 of 2012 s. 189.]</w:t>
      </w:r>
    </w:p>
    <w:p>
      <w:pPr>
        <w:pStyle w:val="yHeading5"/>
      </w:pPr>
      <w:bookmarkStart w:id="50" w:name="_Toc155177348"/>
      <w:r>
        <w:rPr>
          <w:rStyle w:val="CharSClsNo"/>
        </w:rPr>
        <w:t>7</w:t>
      </w:r>
      <w:r>
        <w:t>.</w:t>
      </w:r>
      <w:r>
        <w:tab/>
        <w:t xml:space="preserve">Supply of water to Water Corporation under </w:t>
      </w:r>
      <w:r>
        <w:rPr>
          <w:i/>
          <w:iCs/>
        </w:rPr>
        <w:t>Busselton Water Board (Supply of Water to Dunsborough) Act 2009</w:t>
      </w:r>
      <w:bookmarkEnd w:id="50"/>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No. 25 of 2012 s. 189.]</w:t>
      </w:r>
    </w:p>
    <w:p>
      <w:pPr>
        <w:pStyle w:val="yHeading4"/>
      </w:pPr>
      <w:bookmarkStart w:id="51" w:name="_Toc155177349"/>
      <w:r>
        <w:lastRenderedPageBreak/>
        <w:t>Subdivision 3 — Staff of former Boards</w:t>
      </w:r>
      <w:bookmarkEnd w:id="51"/>
    </w:p>
    <w:p>
      <w:pPr>
        <w:pStyle w:val="yFootnotesection"/>
        <w:keepNext/>
      </w:pPr>
      <w:r>
        <w:tab/>
        <w:t>[Heading inserted: No. 25 of 2012 s. 189.]</w:t>
      </w:r>
    </w:p>
    <w:p>
      <w:pPr>
        <w:pStyle w:val="yHeading5"/>
      </w:pPr>
      <w:bookmarkStart w:id="52" w:name="_Toc155177350"/>
      <w:r>
        <w:rPr>
          <w:rStyle w:val="CharSClsNo"/>
        </w:rPr>
        <w:t>8</w:t>
      </w:r>
      <w:r>
        <w:t>.</w:t>
      </w:r>
      <w:r>
        <w:tab/>
        <w:t>Term used: PSM Act</w:t>
      </w:r>
      <w:bookmarkEnd w:id="52"/>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No. 25 of 2012 s. 189.]</w:t>
      </w:r>
    </w:p>
    <w:p>
      <w:pPr>
        <w:pStyle w:val="yHeading5"/>
      </w:pPr>
      <w:bookmarkStart w:id="53" w:name="_Toc155177351"/>
      <w:r>
        <w:rPr>
          <w:rStyle w:val="CharSClsNo"/>
        </w:rPr>
        <w:t>9</w:t>
      </w:r>
      <w:r>
        <w:t>.</w:t>
      </w:r>
      <w:r>
        <w:tab/>
        <w:t>Transition of employment</w:t>
      </w:r>
      <w:bookmarkEnd w:id="53"/>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lastRenderedPageBreak/>
        <w:tab/>
        <w:t>(4)</w:t>
      </w:r>
      <w:r>
        <w:tab/>
        <w:t>Except as provided by clause 11, the PSM Act Part 6 does not apply in relation to the transition of the employment of a person by this clause.</w:t>
      </w:r>
    </w:p>
    <w:p>
      <w:pPr>
        <w:pStyle w:val="yFootnotesection"/>
      </w:pPr>
      <w:r>
        <w:tab/>
        <w:t>[Clause 9 inserted: No. 25 of 2012 s. 189.]</w:t>
      </w:r>
    </w:p>
    <w:p>
      <w:pPr>
        <w:pStyle w:val="yHeading5"/>
      </w:pPr>
      <w:bookmarkStart w:id="54" w:name="_Toc155177352"/>
      <w:r>
        <w:rPr>
          <w:rStyle w:val="CharSClsNo"/>
        </w:rPr>
        <w:t>10</w:t>
      </w:r>
      <w:r>
        <w:t>.</w:t>
      </w:r>
      <w:r>
        <w:tab/>
        <w:t>Election as to employment</w:t>
      </w:r>
      <w:bookmarkEnd w:id="54"/>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No. 25 of 2012 s. 189.]</w:t>
      </w:r>
    </w:p>
    <w:p>
      <w:pPr>
        <w:pStyle w:val="yHeading5"/>
        <w:spacing w:before="200"/>
      </w:pPr>
      <w:bookmarkStart w:id="55" w:name="_Toc155177353"/>
      <w:r>
        <w:rPr>
          <w:rStyle w:val="CharSClsNo"/>
        </w:rPr>
        <w:t>11</w:t>
      </w:r>
      <w:r>
        <w:t>.</w:t>
      </w:r>
      <w:r>
        <w:tab/>
      </w:r>
      <w:r>
        <w:rPr>
          <w:bCs/>
        </w:rPr>
        <w:t xml:space="preserve">Application of </w:t>
      </w:r>
      <w:r>
        <w:t>PSM Act Part 6 to persons who make an election</w:t>
      </w:r>
      <w:bookmarkEnd w:id="55"/>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lastRenderedPageBreak/>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No. 25 of 2012 s. 189.]</w:t>
      </w:r>
    </w:p>
    <w:p>
      <w:pPr>
        <w:pStyle w:val="yHeading5"/>
      </w:pPr>
      <w:bookmarkStart w:id="56" w:name="_Toc155177354"/>
      <w:r>
        <w:rPr>
          <w:rStyle w:val="CharSClsNo"/>
        </w:rPr>
        <w:t>12</w:t>
      </w:r>
      <w:r>
        <w:t>.</w:t>
      </w:r>
      <w:r>
        <w:tab/>
        <w:t>Arrangements for return to Public Sector</w:t>
      </w:r>
      <w:bookmarkEnd w:id="56"/>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keepNext/>
      </w:pPr>
      <w:r>
        <w:lastRenderedPageBreak/>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No. 25 of 2012 s. 189.]</w:t>
      </w:r>
    </w:p>
    <w:p>
      <w:pPr>
        <w:pStyle w:val="yHeading5"/>
      </w:pPr>
      <w:bookmarkStart w:id="57" w:name="_Toc155177355"/>
      <w:r>
        <w:rPr>
          <w:rStyle w:val="CharSClsNo"/>
        </w:rPr>
        <w:t>13</w:t>
      </w:r>
      <w:r>
        <w:t>.</w:t>
      </w:r>
      <w:r>
        <w:tab/>
        <w:t>Contracts for services</w:t>
      </w:r>
      <w:bookmarkEnd w:id="57"/>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No. 25 of 2012 s. 189.]</w:t>
      </w:r>
    </w:p>
    <w:p>
      <w:pPr>
        <w:pStyle w:val="yHeading4"/>
      </w:pPr>
      <w:bookmarkStart w:id="58" w:name="_Toc155177356"/>
      <w:r>
        <w:t>Subdivision 4 — Provisions as to accountability and financial provisions</w:t>
      </w:r>
      <w:bookmarkEnd w:id="58"/>
    </w:p>
    <w:p>
      <w:pPr>
        <w:pStyle w:val="yFootnotesection"/>
      </w:pPr>
      <w:r>
        <w:tab/>
        <w:t>[Heading inserted: No. 25 of 2012 s. 189.]</w:t>
      </w:r>
    </w:p>
    <w:p>
      <w:pPr>
        <w:pStyle w:val="yHeading5"/>
      </w:pPr>
      <w:bookmarkStart w:id="59" w:name="_Toc155177357"/>
      <w:r>
        <w:rPr>
          <w:rStyle w:val="CharSClsNo"/>
        </w:rPr>
        <w:t>14</w:t>
      </w:r>
      <w:r>
        <w:t>.</w:t>
      </w:r>
      <w:r>
        <w:tab/>
        <w:t>Strategic development plans</w:t>
      </w:r>
      <w:bookmarkEnd w:id="59"/>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No. 25 of 2012 s. 189.]</w:t>
      </w:r>
    </w:p>
    <w:p>
      <w:pPr>
        <w:pStyle w:val="yHeading5"/>
      </w:pPr>
      <w:bookmarkStart w:id="60" w:name="_Toc155177358"/>
      <w:r>
        <w:rPr>
          <w:rStyle w:val="CharSClsNo"/>
        </w:rPr>
        <w:t>15</w:t>
      </w:r>
      <w:r>
        <w:t>.</w:t>
      </w:r>
      <w:r>
        <w:tab/>
        <w:t>Statements of corporate intent</w:t>
      </w:r>
      <w:bookmarkEnd w:id="60"/>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No. 25 of 2012 s. 189.]</w:t>
      </w:r>
    </w:p>
    <w:p>
      <w:pPr>
        <w:pStyle w:val="yHeading5"/>
      </w:pPr>
      <w:bookmarkStart w:id="61" w:name="_Toc155177359"/>
      <w:r>
        <w:rPr>
          <w:rStyle w:val="CharSClsNo"/>
        </w:rPr>
        <w:lastRenderedPageBreak/>
        <w:t>16</w:t>
      </w:r>
      <w:r>
        <w:t>.</w:t>
      </w:r>
      <w:r>
        <w:tab/>
        <w:t>Financial reporting</w:t>
      </w:r>
      <w:bookmarkEnd w:id="61"/>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No. 25 of 2012 s. 189.]</w:t>
      </w:r>
    </w:p>
    <w:p>
      <w:pPr>
        <w:pStyle w:val="yHeading5"/>
      </w:pPr>
      <w:bookmarkStart w:id="62" w:name="_Toc155177360"/>
      <w:r>
        <w:rPr>
          <w:rStyle w:val="CharSClsNo"/>
        </w:rPr>
        <w:t>17</w:t>
      </w:r>
      <w:r>
        <w:t>.</w:t>
      </w:r>
      <w:r>
        <w:tab/>
        <w:t>Water funds</w:t>
      </w:r>
      <w:bookmarkEnd w:id="62"/>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No. 25 of 2012 s. 189.]</w:t>
      </w:r>
    </w:p>
    <w:p>
      <w:pPr>
        <w:pStyle w:val="yHeading5"/>
      </w:pPr>
      <w:bookmarkStart w:id="63" w:name="_Toc155177361"/>
      <w:r>
        <w:rPr>
          <w:rStyle w:val="CharSClsNo"/>
        </w:rPr>
        <w:t>18</w:t>
      </w:r>
      <w:r>
        <w:t>.</w:t>
      </w:r>
      <w:r>
        <w:tab/>
        <w:t>Payments to State under Part 5 Div. 2</w:t>
      </w:r>
      <w:bookmarkEnd w:id="63"/>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No. 25 of 2012 s. 189.]</w:t>
      </w:r>
    </w:p>
    <w:p>
      <w:pPr>
        <w:pStyle w:val="yHeading4"/>
      </w:pPr>
      <w:bookmarkStart w:id="64" w:name="_Toc155177362"/>
      <w:r>
        <w:lastRenderedPageBreak/>
        <w:t>Subdivision 5 — Miscellaneous</w:t>
      </w:r>
      <w:bookmarkEnd w:id="64"/>
    </w:p>
    <w:p>
      <w:pPr>
        <w:pStyle w:val="yFootnotesection"/>
        <w:keepNext/>
      </w:pPr>
      <w:r>
        <w:tab/>
        <w:t>[Heading inserted: No. 25 of 2012 s. 189.]</w:t>
      </w:r>
    </w:p>
    <w:p>
      <w:pPr>
        <w:pStyle w:val="yHeading5"/>
      </w:pPr>
      <w:bookmarkStart w:id="65" w:name="_Toc155177363"/>
      <w:r>
        <w:rPr>
          <w:rStyle w:val="CharSClsNo"/>
        </w:rPr>
        <w:t>19</w:t>
      </w:r>
      <w:r>
        <w:t>.</w:t>
      </w:r>
      <w:r>
        <w:tab/>
        <w:t>References to former Boards</w:t>
      </w:r>
      <w:bookmarkEnd w:id="65"/>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No. 25 of 2012 s. 189.]</w:t>
      </w:r>
    </w:p>
    <w:p>
      <w:pPr>
        <w:pStyle w:val="yHeading5"/>
      </w:pPr>
      <w:bookmarkStart w:id="66" w:name="_Toc155177364"/>
      <w:r>
        <w:rPr>
          <w:rStyle w:val="CharSClsNo"/>
        </w:rPr>
        <w:t>20</w:t>
      </w:r>
      <w:r>
        <w:t>.</w:t>
      </w:r>
      <w:r>
        <w:tab/>
        <w:t>References to repealed Act</w:t>
      </w:r>
      <w:bookmarkEnd w:id="66"/>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No. 25 of 2012 s. 189.]</w:t>
      </w:r>
    </w:p>
    <w:p>
      <w:pPr>
        <w:pStyle w:val="yHeading5"/>
      </w:pPr>
      <w:bookmarkStart w:id="67" w:name="_Toc155177365"/>
      <w:r>
        <w:rPr>
          <w:rStyle w:val="CharSClsNo"/>
        </w:rPr>
        <w:t>21</w:t>
      </w:r>
      <w:r>
        <w:t>.</w:t>
      </w:r>
      <w:r>
        <w:tab/>
        <w:t>Transitional regulations</w:t>
      </w:r>
      <w:bookmarkEnd w:id="67"/>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keepNext/>
      </w:pPr>
      <w:r>
        <w:lastRenderedPageBreak/>
        <w:tab/>
        <w:t>(2)</w:t>
      </w:r>
      <w:r>
        <w:tab/>
        <w:t xml:space="preserve">Regulations made for the purposes of this clause may — </w:t>
      </w:r>
    </w:p>
    <w:p>
      <w:pPr>
        <w:pStyle w:val="yIndenta"/>
        <w:keepNext/>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No. 25 of 2012 s. 189.]</w:t>
      </w:r>
    </w:p>
    <w:p>
      <w:pPr>
        <w:pStyle w:val="yHeading5"/>
      </w:pPr>
      <w:bookmarkStart w:id="68" w:name="_Toc155177366"/>
      <w:r>
        <w:rPr>
          <w:rStyle w:val="CharSClsNo"/>
        </w:rPr>
        <w:lastRenderedPageBreak/>
        <w:t>22</w:t>
      </w:r>
      <w:r>
        <w:t>.</w:t>
      </w:r>
      <w:r>
        <w:tab/>
        <w:t>Relationship of provisions of this Division to transitional regulations</w:t>
      </w:r>
      <w:bookmarkEnd w:id="68"/>
    </w:p>
    <w:p>
      <w:pPr>
        <w:pStyle w:val="ySubsection"/>
        <w:keepNext/>
      </w:pPr>
      <w:r>
        <w:tab/>
      </w:r>
      <w:r>
        <w:tab/>
        <w:t>The provisions of the regulations made for the purposes of this Division prevail over the provisions of this Division to the extent of any inconsistency.</w:t>
      </w:r>
    </w:p>
    <w:p>
      <w:pPr>
        <w:pStyle w:val="yFootnotesection"/>
      </w:pPr>
      <w:r>
        <w:tab/>
        <w:t>[Clause 22 inserted: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Heading2"/>
      </w:pPr>
      <w:bookmarkStart w:id="69" w:name="_Toc155177367"/>
      <w:r>
        <w:lastRenderedPageBreak/>
        <w:t>Notes</w:t>
      </w:r>
      <w:bookmarkEnd w:id="69"/>
    </w:p>
    <w:p>
      <w:pPr>
        <w:pStyle w:val="nStatement"/>
      </w:pPr>
      <w:r>
        <w:t xml:space="preserve">This is a compilation of the </w:t>
      </w:r>
      <w:r>
        <w:rPr>
          <w:i/>
          <w:noProof/>
        </w:rPr>
        <w:t>Water Corporations Act 1995</w:t>
      </w:r>
      <w:r>
        <w:t xml:space="preserve"> and includes amendments made by other written laws. For provisions that have come into operation, and for information about any reprints, see the compilation table. </w:t>
      </w:r>
    </w:p>
    <w:p>
      <w:pPr>
        <w:pStyle w:val="nHeading3"/>
      </w:pPr>
      <w:bookmarkStart w:id="70" w:name="_Toc155177368"/>
      <w:r>
        <w:t>Compilation table</w:t>
      </w:r>
      <w:bookmarkEnd w:id="70"/>
    </w:p>
    <w:tbl>
      <w:tblPr>
        <w:tblW w:w="7080"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 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Water Corporation Act 1995</w:t>
            </w:r>
            <w:r>
              <w:rPr>
                <w:vertAlign w:val="superscript"/>
              </w:rPr>
              <w:t> 2</w:t>
            </w:r>
          </w:p>
        </w:tc>
        <w:tc>
          <w:tcPr>
            <w:tcW w:w="1080" w:type="dxa"/>
          </w:tcPr>
          <w:p>
            <w:pPr>
              <w:pStyle w:val="nTable"/>
              <w:spacing w:before="60" w:after="60"/>
            </w:pPr>
            <w:r>
              <w:t>70 of 1995</w:t>
            </w:r>
          </w:p>
        </w:tc>
        <w:tc>
          <w:tcPr>
            <w:tcW w:w="1200" w:type="dxa"/>
          </w:tcPr>
          <w:p>
            <w:pPr>
              <w:pStyle w:val="nTable"/>
              <w:spacing w:before="60" w:after="60"/>
            </w:pPr>
            <w:r>
              <w:t>27 Dec 1995</w:t>
            </w:r>
          </w:p>
        </w:tc>
        <w:tc>
          <w:tcPr>
            <w:tcW w:w="2520" w:type="dxa"/>
          </w:tcPr>
          <w:p>
            <w:pPr>
              <w:pStyle w:val="nTable"/>
              <w:spacing w:before="60" w:after="60"/>
            </w:pPr>
            <w:r>
              <w:t xml:space="preserve">1 Jan 1996 (see s. 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State Enterprises (Commonwealth Tax Equivalents) Act 1996</w:t>
            </w:r>
            <w:r>
              <w:t xml:space="preserve"> s. 10(4)</w:t>
            </w:r>
          </w:p>
        </w:tc>
        <w:tc>
          <w:tcPr>
            <w:tcW w:w="1080" w:type="dxa"/>
          </w:tcPr>
          <w:p>
            <w:pPr>
              <w:pStyle w:val="nTable"/>
              <w:spacing w:before="60" w:after="60"/>
            </w:pPr>
            <w:r>
              <w:t>55 of 1996</w:t>
            </w:r>
          </w:p>
        </w:tc>
        <w:tc>
          <w:tcPr>
            <w:tcW w:w="1200" w:type="dxa"/>
          </w:tcPr>
          <w:p>
            <w:pPr>
              <w:pStyle w:val="nTable"/>
              <w:spacing w:before="60" w:after="60"/>
            </w:pPr>
            <w:r>
              <w:t>11 Nov 1996</w:t>
            </w:r>
          </w:p>
        </w:tc>
        <w:tc>
          <w:tcPr>
            <w:tcW w:w="2520" w:type="dxa"/>
          </w:tcPr>
          <w:p>
            <w:pPr>
              <w:pStyle w:val="nTable"/>
              <w:spacing w:before="60" w:after="60"/>
            </w:pPr>
            <w:r>
              <w:t>1 Jul 1996 (see s. 2 and 3(3))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Statutes (Repeals and Minor Amendments) Act (No. 2) 1998</w:t>
            </w:r>
            <w:r>
              <w:t xml:space="preserve"> s. 73</w:t>
            </w:r>
          </w:p>
        </w:tc>
        <w:tc>
          <w:tcPr>
            <w:tcW w:w="1080" w:type="dxa"/>
          </w:tcPr>
          <w:p>
            <w:pPr>
              <w:pStyle w:val="nTable"/>
              <w:spacing w:before="60" w:after="60"/>
            </w:pPr>
            <w:r>
              <w:t>10 of 1998</w:t>
            </w:r>
          </w:p>
        </w:tc>
        <w:tc>
          <w:tcPr>
            <w:tcW w:w="1200" w:type="dxa"/>
          </w:tcPr>
          <w:p>
            <w:pPr>
              <w:pStyle w:val="nTable"/>
              <w:spacing w:before="60" w:after="60"/>
            </w:pPr>
            <w:r>
              <w:t>30 Apr 1998</w:t>
            </w:r>
          </w:p>
        </w:tc>
        <w:tc>
          <w:tcPr>
            <w:tcW w:w="2520" w:type="dxa"/>
          </w:tcPr>
          <w:p>
            <w:pPr>
              <w:pStyle w:val="nTable"/>
              <w:spacing w:before="60" w:after="60"/>
            </w:pPr>
            <w:r>
              <w:t>30 Apr 1998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Acts Amendment and Repeal (Financial Sector Reform) Act 1999</w:t>
            </w:r>
            <w:r>
              <w:t xml:space="preserve"> s. 110</w:t>
            </w:r>
          </w:p>
        </w:tc>
        <w:tc>
          <w:tcPr>
            <w:tcW w:w="1080" w:type="dxa"/>
          </w:tcPr>
          <w:p>
            <w:pPr>
              <w:pStyle w:val="nTable"/>
              <w:spacing w:before="60" w:after="60"/>
            </w:pPr>
            <w:r>
              <w:t>26 of 1999</w:t>
            </w:r>
          </w:p>
        </w:tc>
        <w:tc>
          <w:tcPr>
            <w:tcW w:w="1200" w:type="dxa"/>
          </w:tcPr>
          <w:p>
            <w:pPr>
              <w:pStyle w:val="nTable"/>
              <w:spacing w:before="60" w:after="60"/>
            </w:pPr>
            <w:r>
              <w:t>29 Jun 1999</w:t>
            </w:r>
          </w:p>
        </w:tc>
        <w:tc>
          <w:tcPr>
            <w:tcW w:w="2520" w:type="dxa"/>
          </w:tcPr>
          <w:p>
            <w:pPr>
              <w:pStyle w:val="nTable"/>
              <w:spacing w:before="60" w:after="6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State Superannuation (Transitional and Consequential Provisions) Act 2000</w:t>
            </w:r>
            <w:r>
              <w:t xml:space="preserve"> s. 70</w:t>
            </w:r>
          </w:p>
        </w:tc>
        <w:tc>
          <w:tcPr>
            <w:tcW w:w="1080" w:type="dxa"/>
          </w:tcPr>
          <w:p>
            <w:pPr>
              <w:pStyle w:val="nTable"/>
              <w:spacing w:before="60" w:after="60"/>
            </w:pPr>
            <w:r>
              <w:t>43 of 2000</w:t>
            </w:r>
          </w:p>
        </w:tc>
        <w:tc>
          <w:tcPr>
            <w:tcW w:w="1200" w:type="dxa"/>
          </w:tcPr>
          <w:p>
            <w:pPr>
              <w:pStyle w:val="nTable"/>
              <w:spacing w:before="60" w:after="60"/>
            </w:pPr>
            <w:r>
              <w:t>2 Nov 2000</w:t>
            </w:r>
          </w:p>
        </w:tc>
        <w:tc>
          <w:tcPr>
            <w:tcW w:w="2520" w:type="dxa"/>
          </w:tcPr>
          <w:p>
            <w:pPr>
              <w:pStyle w:val="nTable"/>
              <w:spacing w:before="60" w:after="6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Corporations (Consequential Amendments) Act 2001</w:t>
            </w:r>
            <w:r>
              <w:t xml:space="preserve"> Pt. 54</w:t>
            </w:r>
          </w:p>
        </w:tc>
        <w:tc>
          <w:tcPr>
            <w:tcW w:w="1080" w:type="dxa"/>
          </w:tcPr>
          <w:p>
            <w:pPr>
              <w:pStyle w:val="nTable"/>
              <w:spacing w:before="60" w:after="60"/>
            </w:pPr>
            <w:r>
              <w:t>10 of 2001</w:t>
            </w:r>
          </w:p>
        </w:tc>
        <w:tc>
          <w:tcPr>
            <w:tcW w:w="1200" w:type="dxa"/>
          </w:tcPr>
          <w:p>
            <w:pPr>
              <w:pStyle w:val="nTable"/>
              <w:spacing w:before="60" w:after="60"/>
            </w:pPr>
            <w:r>
              <w:t>28 Jun 2001</w:t>
            </w:r>
          </w:p>
        </w:tc>
        <w:tc>
          <w:tcPr>
            <w:tcW w:w="2520"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20" w:type="dxa"/>
          </w:tcPr>
          <w:p>
            <w:pPr>
              <w:pStyle w:val="nTable"/>
              <w:spacing w:before="60" w:after="60"/>
            </w:pPr>
            <w:r>
              <w:t>1 Jul 2002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Labour Relations Reform Act 2002</w:t>
            </w:r>
            <w:r>
              <w:t xml:space="preserve"> s. 27</w:t>
            </w:r>
          </w:p>
        </w:tc>
        <w:tc>
          <w:tcPr>
            <w:tcW w:w="1080" w:type="dxa"/>
          </w:tcPr>
          <w:p>
            <w:pPr>
              <w:pStyle w:val="nTable"/>
              <w:spacing w:before="60" w:after="60"/>
            </w:pPr>
            <w:r>
              <w:t>20 of 2002</w:t>
            </w:r>
          </w:p>
        </w:tc>
        <w:tc>
          <w:tcPr>
            <w:tcW w:w="1200" w:type="dxa"/>
          </w:tcPr>
          <w:p>
            <w:pPr>
              <w:pStyle w:val="nTable"/>
              <w:spacing w:before="60" w:after="60"/>
            </w:pPr>
            <w:r>
              <w:t>8 Jul 2002</w:t>
            </w:r>
          </w:p>
        </w:tc>
        <w:tc>
          <w:tcPr>
            <w:tcW w:w="2520" w:type="dxa"/>
          </w:tcPr>
          <w:p>
            <w:pPr>
              <w:pStyle w:val="nTable"/>
              <w:spacing w:before="60" w:after="6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rPr>
            </w:pPr>
            <w:r>
              <w:rPr>
                <w:i/>
              </w:rPr>
              <w:t>Corporations (Consequential Amendments) Act (No. 3) 2003</w:t>
            </w:r>
            <w:r>
              <w:t xml:space="preserve"> Pt. 16</w:t>
            </w:r>
            <w:r>
              <w:rPr>
                <w:vertAlign w:val="superscript"/>
              </w:rPr>
              <w:t xml:space="preserve"> 3</w:t>
            </w:r>
          </w:p>
        </w:tc>
        <w:tc>
          <w:tcPr>
            <w:tcW w:w="1080" w:type="dxa"/>
          </w:tcPr>
          <w:p>
            <w:pPr>
              <w:pStyle w:val="nTable"/>
              <w:spacing w:before="60" w:after="60"/>
            </w:pPr>
            <w:r>
              <w:t>21 of 2003</w:t>
            </w:r>
          </w:p>
        </w:tc>
        <w:tc>
          <w:tcPr>
            <w:tcW w:w="1200" w:type="dxa"/>
          </w:tcPr>
          <w:p>
            <w:pPr>
              <w:pStyle w:val="nTable"/>
              <w:spacing w:before="60" w:after="60"/>
            </w:pPr>
            <w:r>
              <w:t>23 Apr 2003</w:t>
            </w:r>
          </w:p>
        </w:tc>
        <w:tc>
          <w:tcPr>
            <w:tcW w:w="2520" w:type="dxa"/>
          </w:tcPr>
          <w:p>
            <w:pPr>
              <w:pStyle w:val="nTable"/>
              <w:spacing w:before="60" w:after="6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lastRenderedPageBreak/>
              <w:t>Acts Amendment (Equality of Status) Act 2003</w:t>
            </w:r>
            <w:r>
              <w:t xml:space="preserve"> Pt. 59</w:t>
            </w:r>
          </w:p>
        </w:tc>
        <w:tc>
          <w:tcPr>
            <w:tcW w:w="1080" w:type="dxa"/>
          </w:tcPr>
          <w:p>
            <w:pPr>
              <w:pStyle w:val="nTable"/>
              <w:spacing w:before="60" w:after="60"/>
            </w:pPr>
            <w:r>
              <w:t>28 of 2003</w:t>
            </w:r>
          </w:p>
        </w:tc>
        <w:tc>
          <w:tcPr>
            <w:tcW w:w="1200" w:type="dxa"/>
          </w:tcPr>
          <w:p>
            <w:pPr>
              <w:pStyle w:val="nTable"/>
              <w:spacing w:before="60" w:after="60"/>
            </w:pPr>
            <w:r>
              <w:t>22 May 2003</w:t>
            </w:r>
          </w:p>
        </w:tc>
        <w:tc>
          <w:tcPr>
            <w:tcW w:w="2520" w:type="dxa"/>
          </w:tcPr>
          <w:p>
            <w:pPr>
              <w:pStyle w:val="nTable"/>
              <w:spacing w:before="60" w:after="6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Sentencing Legislation Amendment and Repeal Act 2003 </w:t>
            </w:r>
            <w:r>
              <w:t>s. 103</w:t>
            </w:r>
          </w:p>
        </w:tc>
        <w:tc>
          <w:tcPr>
            <w:tcW w:w="1080" w:type="dxa"/>
          </w:tcPr>
          <w:p>
            <w:pPr>
              <w:pStyle w:val="nTable"/>
              <w:spacing w:before="60" w:after="60"/>
            </w:pPr>
            <w:r>
              <w:t>50 of 2003</w:t>
            </w:r>
          </w:p>
        </w:tc>
        <w:tc>
          <w:tcPr>
            <w:tcW w:w="1200" w:type="dxa"/>
          </w:tcPr>
          <w:p>
            <w:pPr>
              <w:pStyle w:val="nTable"/>
              <w:spacing w:before="60" w:after="60"/>
            </w:pPr>
            <w:r>
              <w:t>9 Jul 2003</w:t>
            </w:r>
          </w:p>
        </w:tc>
        <w:tc>
          <w:tcPr>
            <w:tcW w:w="2520" w:type="dxa"/>
          </w:tcPr>
          <w:p>
            <w:pPr>
              <w:pStyle w:val="nTable"/>
              <w:spacing w:before="60" w:after="6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20" w:type="dxa"/>
          </w:tcPr>
          <w:p>
            <w:pPr>
              <w:pStyle w:val="nTable"/>
              <w:spacing w:before="60" w:after="60"/>
            </w:pPr>
            <w: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Economic Regulation Authority Act 2003 </w:t>
            </w:r>
            <w:r>
              <w:t>Sch. 2 Div. 17</w:t>
            </w:r>
          </w:p>
        </w:tc>
        <w:tc>
          <w:tcPr>
            <w:tcW w:w="1080" w:type="dxa"/>
          </w:tcPr>
          <w:p>
            <w:pPr>
              <w:pStyle w:val="nTable"/>
              <w:spacing w:before="60" w:after="60"/>
            </w:pPr>
            <w:r>
              <w:t>67 of 2003</w:t>
            </w:r>
          </w:p>
        </w:tc>
        <w:tc>
          <w:tcPr>
            <w:tcW w:w="1200" w:type="dxa"/>
          </w:tcPr>
          <w:p>
            <w:pPr>
              <w:pStyle w:val="nTable"/>
              <w:spacing w:before="60" w:after="60"/>
            </w:pPr>
            <w:r>
              <w:t>5 Dec 2003</w:t>
            </w:r>
          </w:p>
        </w:tc>
        <w:tc>
          <w:tcPr>
            <w:tcW w:w="2520" w:type="dxa"/>
          </w:tcPr>
          <w:p>
            <w:pPr>
              <w:pStyle w:val="nTable"/>
              <w:spacing w:before="60" w:after="6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vertAlign w:val="superscript"/>
              </w:rPr>
            </w:pPr>
            <w:r>
              <w:rPr>
                <w:i/>
              </w:rPr>
              <w:t>Statutes (Repeals and Minor Amendments) Act 2003</w:t>
            </w:r>
            <w:r>
              <w:t xml:space="preserve"> s. 127</w:t>
            </w:r>
            <w:r>
              <w:rPr>
                <w:vertAlign w:val="superscript"/>
              </w:rPr>
              <w:t xml:space="preserve"> 4</w:t>
            </w:r>
          </w:p>
        </w:tc>
        <w:tc>
          <w:tcPr>
            <w:tcW w:w="1080" w:type="dxa"/>
          </w:tcPr>
          <w:p>
            <w:pPr>
              <w:pStyle w:val="nTable"/>
              <w:spacing w:before="60" w:after="60"/>
            </w:pPr>
            <w:r>
              <w:t>74 of 2003</w:t>
            </w:r>
          </w:p>
        </w:tc>
        <w:tc>
          <w:tcPr>
            <w:tcW w:w="1200" w:type="dxa"/>
          </w:tcPr>
          <w:p>
            <w:pPr>
              <w:pStyle w:val="nTable"/>
              <w:spacing w:before="60" w:after="60"/>
            </w:pPr>
            <w:r>
              <w:t>15 Dec 2003</w:t>
            </w:r>
          </w:p>
        </w:tc>
        <w:tc>
          <w:tcPr>
            <w:tcW w:w="2520" w:type="dxa"/>
          </w:tcPr>
          <w:p>
            <w:pPr>
              <w:pStyle w:val="nTable"/>
              <w:spacing w:before="60" w:after="60"/>
            </w:pPr>
            <w: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080" w:type="dxa"/>
          </w:tcPr>
          <w:p>
            <w:pPr>
              <w:pStyle w:val="nTable"/>
              <w:spacing w:before="60" w:after="60"/>
            </w:pPr>
            <w:r>
              <w:rPr>
                <w:snapToGrid w:val="0"/>
              </w:rPr>
              <w:t>28 of 2006</w:t>
            </w:r>
          </w:p>
        </w:tc>
        <w:tc>
          <w:tcPr>
            <w:tcW w:w="1200" w:type="dxa"/>
          </w:tcPr>
          <w:p>
            <w:pPr>
              <w:pStyle w:val="nTable"/>
              <w:spacing w:before="60" w:after="60"/>
            </w:pPr>
            <w:r>
              <w:t>26 Jun 2006</w:t>
            </w:r>
          </w:p>
        </w:tc>
        <w:tc>
          <w:tcPr>
            <w:tcW w:w="2520" w:type="dxa"/>
          </w:tcPr>
          <w:p>
            <w:pPr>
              <w:pStyle w:val="nTable"/>
              <w:spacing w:before="60" w:after="6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snapToGrid w:val="0"/>
              </w:rPr>
            </w:pPr>
            <w:r>
              <w:rPr>
                <w:i/>
              </w:rPr>
              <w:t>Financial Legislation Amendment and Repeal Act 2006</w:t>
            </w:r>
            <w:r>
              <w:rPr>
                <w:iCs/>
              </w:rPr>
              <w:t xml:space="preserve"> s. 4, 5(1), 14 and Sch. 1 cl. 177</w:t>
            </w:r>
          </w:p>
        </w:tc>
        <w:tc>
          <w:tcPr>
            <w:tcW w:w="1080" w:type="dxa"/>
          </w:tcPr>
          <w:p>
            <w:pPr>
              <w:pStyle w:val="nTable"/>
              <w:spacing w:before="60" w:after="60"/>
              <w:rPr>
                <w:snapToGrid w:val="0"/>
              </w:rPr>
            </w:pPr>
            <w:r>
              <w:t>77 of 2006</w:t>
            </w:r>
          </w:p>
        </w:tc>
        <w:tc>
          <w:tcPr>
            <w:tcW w:w="1200" w:type="dxa"/>
          </w:tcPr>
          <w:p>
            <w:pPr>
              <w:pStyle w:val="nTable"/>
              <w:spacing w:before="60" w:after="60"/>
            </w:pPr>
            <w:r>
              <w:t>21 Dec 2006</w:t>
            </w:r>
          </w:p>
        </w:tc>
        <w:tc>
          <w:tcPr>
            <w:tcW w:w="2520" w:type="dxa"/>
          </w:tcPr>
          <w:p>
            <w:pPr>
              <w:pStyle w:val="nTable"/>
              <w:spacing w:before="60" w:after="6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rPr>
            </w:pPr>
            <w:r>
              <w:rPr>
                <w:i/>
                <w:snapToGrid w:val="0"/>
              </w:rPr>
              <w:t>Water Resources Legislation Amendment Act 2007</w:t>
            </w:r>
            <w:r>
              <w:rPr>
                <w:iCs/>
                <w:snapToGrid w:val="0"/>
              </w:rPr>
              <w:t xml:space="preserve"> Pt. 7</w:t>
            </w:r>
            <w:r>
              <w:rPr>
                <w:iCs/>
                <w:snapToGrid w:val="0"/>
                <w:vertAlign w:val="superscript"/>
              </w:rPr>
              <w:t> 5</w:t>
            </w:r>
          </w:p>
        </w:tc>
        <w:tc>
          <w:tcPr>
            <w:tcW w:w="1080" w:type="dxa"/>
          </w:tcPr>
          <w:p>
            <w:pPr>
              <w:pStyle w:val="nTable"/>
              <w:spacing w:before="60" w:after="60"/>
            </w:pPr>
            <w:r>
              <w:rPr>
                <w:snapToGrid w:val="0"/>
              </w:rPr>
              <w:t>38 of 2007</w:t>
            </w:r>
          </w:p>
        </w:tc>
        <w:tc>
          <w:tcPr>
            <w:tcW w:w="1200" w:type="dxa"/>
          </w:tcPr>
          <w:p>
            <w:pPr>
              <w:pStyle w:val="nTable"/>
              <w:spacing w:before="60" w:after="60"/>
            </w:pPr>
            <w:r>
              <w:t>21 Dec 2007</w:t>
            </w:r>
          </w:p>
        </w:tc>
        <w:tc>
          <w:tcPr>
            <w:tcW w:w="2520" w:type="dxa"/>
          </w:tcPr>
          <w:p>
            <w:pPr>
              <w:pStyle w:val="nTable"/>
              <w:spacing w:before="60" w:after="6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rPr>
            </w:pPr>
            <w:r>
              <w:rPr>
                <w:i/>
              </w:rPr>
              <w:t>Statutes (Repeals and Miscellaneous Amendments) Act 2009</w:t>
            </w:r>
            <w:r>
              <w:rPr>
                <w:iCs/>
              </w:rPr>
              <w:t xml:space="preserve"> s. 132</w:t>
            </w:r>
          </w:p>
        </w:tc>
        <w:tc>
          <w:tcPr>
            <w:tcW w:w="1080" w:type="dxa"/>
          </w:tcPr>
          <w:p>
            <w:pPr>
              <w:pStyle w:val="nTable"/>
              <w:spacing w:before="60" w:after="60"/>
            </w:pPr>
            <w:r>
              <w:t xml:space="preserve">8 of 2009 </w:t>
            </w:r>
          </w:p>
        </w:tc>
        <w:tc>
          <w:tcPr>
            <w:tcW w:w="1200" w:type="dxa"/>
          </w:tcPr>
          <w:p>
            <w:pPr>
              <w:pStyle w:val="nTable"/>
              <w:spacing w:before="60" w:after="60"/>
            </w:pPr>
            <w:r>
              <w:t>21 May 2009</w:t>
            </w:r>
          </w:p>
        </w:tc>
        <w:tc>
          <w:tcPr>
            <w:tcW w:w="2520" w:type="dxa"/>
          </w:tcPr>
          <w:p>
            <w:pPr>
              <w:pStyle w:val="nTable"/>
              <w:spacing w:before="60" w:after="60"/>
            </w:pPr>
            <w:r>
              <w:t>22 May 2009 (see s. 2(b))</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080" w:type="dxa"/>
          </w:tcPr>
          <w:p>
            <w:pPr>
              <w:pStyle w:val="nTable"/>
              <w:spacing w:before="60" w:after="60"/>
              <w:rPr>
                <w:snapToGrid w:val="0"/>
              </w:rPr>
            </w:pPr>
            <w:r>
              <w:rPr>
                <w:snapToGrid w:val="0"/>
              </w:rPr>
              <w:t>19 of 2010</w:t>
            </w:r>
          </w:p>
        </w:tc>
        <w:tc>
          <w:tcPr>
            <w:tcW w:w="1200" w:type="dxa"/>
          </w:tcPr>
          <w:p>
            <w:pPr>
              <w:pStyle w:val="nTable"/>
              <w:spacing w:before="60" w:after="60"/>
              <w:rPr>
                <w:snapToGrid w:val="0"/>
              </w:rPr>
            </w:pPr>
            <w:r>
              <w:rPr>
                <w:snapToGrid w:val="0"/>
              </w:rPr>
              <w:t>28 Jun 2010</w:t>
            </w:r>
          </w:p>
        </w:tc>
        <w:tc>
          <w:tcPr>
            <w:tcW w:w="2520"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080" w:type="dxa"/>
          </w:tcPr>
          <w:p>
            <w:pPr>
              <w:pStyle w:val="nTable"/>
              <w:spacing w:before="60" w:after="60"/>
              <w:rPr>
                <w:snapToGrid w:val="0"/>
              </w:rPr>
            </w:pPr>
            <w:r>
              <w:rPr>
                <w:snapToGrid w:val="0"/>
              </w:rPr>
              <w:t>39 of 2010</w:t>
            </w:r>
          </w:p>
        </w:tc>
        <w:tc>
          <w:tcPr>
            <w:tcW w:w="1200" w:type="dxa"/>
          </w:tcPr>
          <w:p>
            <w:pPr>
              <w:pStyle w:val="nTable"/>
              <w:spacing w:before="60" w:after="60"/>
              <w:rPr>
                <w:snapToGrid w:val="0"/>
              </w:rPr>
            </w:pPr>
            <w:r>
              <w:t>1 Oct 2010</w:t>
            </w:r>
          </w:p>
        </w:tc>
        <w:tc>
          <w:tcPr>
            <w:tcW w:w="2520"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snapToGrid w:val="0"/>
              </w:rPr>
              <w:lastRenderedPageBreak/>
              <w:t>Water Services Legislation Amendment and Repeal Act 2012</w:t>
            </w:r>
            <w:r>
              <w:rPr>
                <w:snapToGrid w:val="0"/>
              </w:rPr>
              <w:t xml:space="preserve"> Pt. 7</w:t>
            </w:r>
          </w:p>
        </w:tc>
        <w:tc>
          <w:tcPr>
            <w:tcW w:w="1080" w:type="dxa"/>
            <w:shd w:val="clear" w:color="auto" w:fill="auto"/>
          </w:tcPr>
          <w:p>
            <w:pPr>
              <w:pStyle w:val="nTable"/>
              <w:spacing w:before="60" w:after="60"/>
              <w:rPr>
                <w:snapToGrid w:val="0"/>
              </w:rPr>
            </w:pPr>
            <w:r>
              <w:rPr>
                <w:snapToGrid w:val="0"/>
              </w:rPr>
              <w:t>25 of 2012</w:t>
            </w:r>
          </w:p>
        </w:tc>
        <w:tc>
          <w:tcPr>
            <w:tcW w:w="1200" w:type="dxa"/>
            <w:shd w:val="clear" w:color="auto" w:fill="auto"/>
          </w:tcPr>
          <w:p>
            <w:pPr>
              <w:pStyle w:val="nTable"/>
              <w:spacing w:before="60" w:after="60"/>
              <w:rPr>
                <w:snapToGrid w:val="0"/>
              </w:rPr>
            </w:pPr>
            <w:r>
              <w:t>3 Sep 2012</w:t>
            </w:r>
          </w:p>
        </w:tc>
        <w:tc>
          <w:tcPr>
            <w:tcW w:w="2520"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0" w:type="dxa"/>
            <w:gridSpan w:val="4"/>
            <w:shd w:val="clear" w:color="auto" w:fill="auto"/>
          </w:tcPr>
          <w:p>
            <w:pPr>
              <w:pStyle w:val="nTable"/>
              <w:spacing w:before="60" w:after="60"/>
              <w:rPr>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noProof/>
              </w:rPr>
              <w:t xml:space="preserve">Associations Incorporation Act 2015 </w:t>
            </w:r>
            <w:r>
              <w:rPr>
                <w:noProof/>
              </w:rPr>
              <w:t>s. 231</w:t>
            </w:r>
          </w:p>
        </w:tc>
        <w:tc>
          <w:tcPr>
            <w:tcW w:w="1080" w:type="dxa"/>
            <w:shd w:val="clear" w:color="auto" w:fill="auto"/>
          </w:tcPr>
          <w:p>
            <w:pPr>
              <w:pStyle w:val="nTable"/>
              <w:spacing w:before="60" w:after="60"/>
              <w:rPr>
                <w:snapToGrid w:val="0"/>
              </w:rPr>
            </w:pPr>
            <w:r>
              <w:t>30 of 2015</w:t>
            </w:r>
          </w:p>
        </w:tc>
        <w:tc>
          <w:tcPr>
            <w:tcW w:w="1200" w:type="dxa"/>
            <w:shd w:val="clear" w:color="auto" w:fill="auto"/>
          </w:tcPr>
          <w:p>
            <w:pPr>
              <w:pStyle w:val="nTable"/>
              <w:spacing w:before="60" w:after="60"/>
              <w:rPr>
                <w:snapToGrid w:val="0"/>
              </w:rPr>
            </w:pPr>
            <w:r>
              <w:t>2 Nov 2015</w:t>
            </w:r>
          </w:p>
        </w:tc>
        <w:tc>
          <w:tcPr>
            <w:tcW w:w="2520" w:type="dxa"/>
            <w:shd w:val="clear" w:color="auto" w:fill="auto"/>
          </w:tcPr>
          <w:p>
            <w:pPr>
              <w:pStyle w:val="nTable"/>
              <w:spacing w:before="60" w:after="6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280" w:type="dxa"/>
            <w:tcBorders>
              <w:top w:val="nil"/>
              <w:bottom w:val="nil"/>
            </w:tcBorders>
            <w:shd w:val="clear" w:color="auto" w:fill="auto"/>
          </w:tcPr>
          <w:p>
            <w:pPr>
              <w:pStyle w:val="nTable"/>
              <w:spacing w:before="60" w:after="60"/>
              <w:rPr>
                <w:i/>
                <w:noProof/>
              </w:rPr>
            </w:pPr>
            <w:r>
              <w:rPr>
                <w:i/>
                <w:noProof/>
              </w:rPr>
              <w:t>Executive Officer Remuneration (Government Entities) Legislation Amendment Act 2016</w:t>
            </w:r>
            <w:r>
              <w:rPr>
                <w:noProof/>
              </w:rPr>
              <w:t xml:space="preserve"> Pt. 3 Div. 6</w:t>
            </w:r>
          </w:p>
        </w:tc>
        <w:tc>
          <w:tcPr>
            <w:tcW w:w="1080" w:type="dxa"/>
            <w:tcBorders>
              <w:top w:val="nil"/>
              <w:bottom w:val="nil"/>
            </w:tcBorders>
            <w:shd w:val="clear" w:color="auto" w:fill="auto"/>
          </w:tcPr>
          <w:p>
            <w:pPr>
              <w:pStyle w:val="nTable"/>
              <w:spacing w:before="60" w:after="60"/>
            </w:pPr>
            <w:r>
              <w:t>46 of 2016</w:t>
            </w:r>
          </w:p>
        </w:tc>
        <w:tc>
          <w:tcPr>
            <w:tcW w:w="1200" w:type="dxa"/>
            <w:tcBorders>
              <w:top w:val="nil"/>
              <w:bottom w:val="nil"/>
            </w:tcBorders>
            <w:shd w:val="clear" w:color="auto" w:fill="auto"/>
          </w:tcPr>
          <w:p>
            <w:pPr>
              <w:pStyle w:val="nTable"/>
              <w:spacing w:before="60" w:after="60"/>
            </w:pPr>
            <w:r>
              <w:t>7 Dec 2016</w:t>
            </w:r>
          </w:p>
        </w:tc>
        <w:tc>
          <w:tcPr>
            <w:tcW w:w="2520" w:type="dxa"/>
            <w:tcBorders>
              <w:top w:val="nil"/>
              <w:bottom w:val="nil"/>
            </w:tcBorders>
            <w:shd w:val="clear" w:color="auto" w:fill="auto"/>
          </w:tcPr>
          <w:p>
            <w:pPr>
              <w:pStyle w:val="nTable"/>
              <w:spacing w:before="60" w:after="60"/>
              <w:rPr>
                <w:snapToGrid w:val="0"/>
              </w:rPr>
            </w:pPr>
            <w:r>
              <w:rPr>
                <w:snapToGrid w:val="0"/>
              </w:rPr>
              <w:t>8 Dec 2016 (see s. 2(b))</w:t>
            </w:r>
          </w:p>
        </w:tc>
      </w:tr>
      <w:tr>
        <w:tblPrEx>
          <w:tblBorders>
            <w:top w:val="none" w:sz="0" w:space="0" w:color="auto"/>
            <w:bottom w:val="none" w:sz="0" w:space="0" w:color="auto"/>
            <w:insideH w:val="none" w:sz="0" w:space="0" w:color="auto"/>
          </w:tblBorders>
        </w:tblPrEx>
        <w:trPr>
          <w:cantSplit/>
        </w:trPr>
        <w:tc>
          <w:tcPr>
            <w:tcW w:w="2280" w:type="dxa"/>
            <w:tcBorders>
              <w:bottom w:val="single" w:sz="4" w:space="0" w:color="auto"/>
            </w:tcBorders>
            <w:shd w:val="clear" w:color="auto" w:fill="auto"/>
          </w:tcPr>
          <w:p>
            <w:pPr>
              <w:pStyle w:val="nTable"/>
              <w:spacing w:before="60" w:after="60"/>
              <w:rPr>
                <w:i/>
                <w:noProof/>
              </w:rPr>
            </w:pPr>
            <w:r>
              <w:rPr>
                <w:i/>
              </w:rPr>
              <w:t>Government Trading Enterprises Act 2023</w:t>
            </w:r>
            <w:r>
              <w:t xml:space="preserve"> Pt. 12 Div. 9</w:t>
            </w:r>
          </w:p>
        </w:tc>
        <w:tc>
          <w:tcPr>
            <w:tcW w:w="1080" w:type="dxa"/>
            <w:tcBorders>
              <w:bottom w:val="single" w:sz="4" w:space="0" w:color="auto"/>
            </w:tcBorders>
            <w:shd w:val="clear" w:color="auto" w:fill="auto"/>
          </w:tcPr>
          <w:p>
            <w:pPr>
              <w:pStyle w:val="nTable"/>
              <w:spacing w:before="60" w:after="60"/>
            </w:pPr>
            <w:r>
              <w:t>13 of 2023</w:t>
            </w:r>
          </w:p>
        </w:tc>
        <w:tc>
          <w:tcPr>
            <w:tcW w:w="1200" w:type="dxa"/>
            <w:tcBorders>
              <w:bottom w:val="single" w:sz="4" w:space="0" w:color="auto"/>
            </w:tcBorders>
            <w:shd w:val="clear" w:color="auto" w:fill="auto"/>
          </w:tcPr>
          <w:p>
            <w:pPr>
              <w:pStyle w:val="nTable"/>
              <w:spacing w:before="60" w:after="60"/>
            </w:pPr>
            <w:r>
              <w:t>22 Jun 2023</w:t>
            </w:r>
          </w:p>
        </w:tc>
        <w:tc>
          <w:tcPr>
            <w:tcW w:w="2520" w:type="dxa"/>
            <w:tcBorders>
              <w:bottom w:val="single" w:sz="4" w:space="0" w:color="auto"/>
            </w:tcBorders>
            <w:shd w:val="clear" w:color="auto" w:fill="auto"/>
          </w:tcPr>
          <w:p>
            <w:pPr>
              <w:pStyle w:val="nTable"/>
              <w:spacing w:before="60" w:after="60"/>
              <w:rPr>
                <w:snapToGrid w:val="0"/>
              </w:rPr>
            </w:pPr>
            <w:r>
              <w:t>1 Jul 2023 (see s. 2(b) and SL 2023/89 cl. 2)</w:t>
            </w:r>
          </w:p>
        </w:tc>
      </w:tr>
    </w:tbl>
    <w:p>
      <w:pPr>
        <w:pStyle w:val="nHeading3"/>
      </w:pPr>
      <w:bookmarkStart w:id="71" w:name="_Toc155177369"/>
      <w:r>
        <w:t>Other notes</w:t>
      </w:r>
      <w:bookmarkEnd w:id="71"/>
    </w:p>
    <w:p>
      <w:pPr>
        <w:pStyle w:val="nNote"/>
        <w:keepNext/>
        <w:keepLines/>
        <w:spacing w:before="120"/>
      </w:pPr>
      <w:r>
        <w:rPr>
          <w:vertAlign w:val="superscript"/>
        </w:rPr>
        <w:t>1</w:t>
      </w:r>
      <w:r>
        <w:tab/>
        <w:t xml:space="preserve">Now known as the </w:t>
      </w:r>
      <w:r>
        <w:rPr>
          <w:i/>
        </w:rPr>
        <w:t>Plumbers Licensing Act 1995</w:t>
      </w:r>
      <w:r>
        <w:t>.</w:t>
      </w:r>
    </w:p>
    <w:p>
      <w:pPr>
        <w:pStyle w:val="nNote"/>
        <w:keepNext/>
        <w:spacing w:before="120"/>
        <w:rPr>
          <w:snapToGrid w:val="0"/>
        </w:rPr>
      </w:pPr>
      <w:r>
        <w:rPr>
          <w:snapToGrid w:val="0"/>
          <w:vertAlign w:val="superscript"/>
        </w:rPr>
        <w:t>2</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Note"/>
        <w:keepNext/>
        <w:keepLines/>
        <w:spacing w:before="120"/>
      </w:pPr>
      <w:r>
        <w:rPr>
          <w:vertAlign w:val="superscript"/>
        </w:rPr>
        <w:t>3</w:t>
      </w:r>
      <w:r>
        <w:tab/>
        <w:t xml:space="preserve">The </w:t>
      </w:r>
      <w:r>
        <w:rPr>
          <w:i/>
        </w:rPr>
        <w:t>Corporations (Consequential Amendments) Act (No. 3) 2003</w:t>
      </w:r>
      <w:r>
        <w:t xml:space="preserve"> s. 4 is a validation provision.</w:t>
      </w:r>
    </w:p>
    <w:p>
      <w:pPr>
        <w:pStyle w:val="nNote"/>
        <w:spacing w:before="120"/>
        <w:rPr>
          <w:snapToGrid w:val="0"/>
        </w:rPr>
      </w:pPr>
      <w:r>
        <w:rPr>
          <w:snapToGrid w:val="0"/>
          <w:vertAlign w:val="superscript"/>
        </w:rPr>
        <w:t>4</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Note"/>
        <w:keepNext/>
        <w:spacing w:before="120"/>
        <w:rPr>
          <w:snapToGrid w:val="0"/>
        </w:rPr>
      </w:pPr>
      <w:r>
        <w:rPr>
          <w:snapToGrid w:val="0"/>
          <w:vertAlign w:val="superscript"/>
        </w:rPr>
        <w:t>5</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73" w:name="_Toc155177370"/>
      <w:r>
        <w:rPr>
          <w:sz w:val="28"/>
        </w:rPr>
        <w:lastRenderedPageBreak/>
        <w:t>Defined terms</w:t>
      </w:r>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Act</w:t>
      </w:r>
      <w:r>
        <w:tab/>
        <w:t>Sch. 5 cl. 1</w:t>
      </w:r>
    </w:p>
    <w:p>
      <w:pPr>
        <w:pStyle w:val="DefinedTerms"/>
      </w:pPr>
      <w:r>
        <w:t>arrangement</w:t>
      </w:r>
      <w:r>
        <w:tab/>
        <w:t>36(2)</w:t>
      </w:r>
    </w:p>
    <w:p>
      <w:pPr>
        <w:pStyle w:val="DefinedTerms"/>
      </w:pPr>
      <w:r>
        <w:t>bank</w:t>
      </w:r>
      <w:r>
        <w:tab/>
        <w:t>Sch. 5 cl. 17(1)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commencement day</w:t>
      </w:r>
      <w:r>
        <w:tab/>
        <w:t>Sch. 5 cl. 1</w:t>
      </w:r>
    </w:p>
    <w:p>
      <w:pPr>
        <w:pStyle w:val="DefinedTerms"/>
      </w:pPr>
      <w:r>
        <w:t>corporation</w:t>
      </w:r>
      <w:r>
        <w:tab/>
        <w:t>3(1), Sch. 5 cl. 1</w:t>
      </w:r>
    </w:p>
    <w:p>
      <w:pPr>
        <w:pStyle w:val="DefinedTerms"/>
      </w:pPr>
      <w:r>
        <w:t>former Board</w:t>
      </w:r>
      <w:r>
        <w:tab/>
        <w:t>Sch. 5 cl. 1</w:t>
      </w:r>
    </w:p>
    <w:p>
      <w:pPr>
        <w:pStyle w:val="DefinedTerms"/>
      </w:pPr>
      <w:r>
        <w:t>former licence</w:t>
      </w:r>
      <w:r>
        <w:tab/>
        <w:t>Sch. 5 cl. 6(1)</w:t>
      </w:r>
    </w:p>
    <w:p>
      <w:pPr>
        <w:pStyle w:val="DefinedTerms"/>
      </w:pPr>
      <w:r>
        <w:t>former water authority</w:t>
      </w:r>
      <w:r>
        <w:tab/>
        <w:t>92(1)</w:t>
      </w:r>
    </w:p>
    <w:p>
      <w:pPr>
        <w:pStyle w:val="DefinedTerms"/>
      </w:pPr>
      <w:r>
        <w:t>function</w:t>
      </w:r>
      <w:r>
        <w:tab/>
        <w:t>3(1)</w:t>
      </w:r>
    </w:p>
    <w:p>
      <w:pPr>
        <w:pStyle w:val="DefinedTerms"/>
      </w:pPr>
      <w:r>
        <w:t>GTE Act</w:t>
      </w:r>
      <w:r>
        <w:tab/>
        <w:t>3(1)</w:t>
      </w:r>
    </w:p>
    <w:p>
      <w:pPr>
        <w:pStyle w:val="DefinedTerms"/>
      </w:pPr>
      <w:r>
        <w:t>management</w:t>
      </w:r>
      <w:r>
        <w:tab/>
        <w:t>16(2)</w:t>
      </w:r>
    </w:p>
    <w:p>
      <w:pPr>
        <w:pStyle w:val="DefinedTerms"/>
      </w:pPr>
      <w:r>
        <w:t xml:space="preserve">members of staff </w:t>
      </w:r>
      <w:r>
        <w:tab/>
        <w:t>19(3), 24(4)</w:t>
      </w:r>
    </w:p>
    <w:p>
      <w:pPr>
        <w:pStyle w:val="DefinedTerms"/>
      </w:pPr>
      <w:r>
        <w:t>new provision</w:t>
      </w:r>
      <w:r>
        <w:tab/>
        <w:t>Sch. 5 cl. 20(2)</w:t>
      </w:r>
    </w:p>
    <w:p>
      <w:pPr>
        <w:pStyle w:val="DefinedTerms"/>
      </w:pPr>
      <w:r>
        <w:t>old provision</w:t>
      </w:r>
      <w:r>
        <w:tab/>
        <w:t>Sch. 5 cl. 20(2)</w:t>
      </w:r>
    </w:p>
    <w:p>
      <w:pPr>
        <w:pStyle w:val="DefinedTerms"/>
      </w:pPr>
      <w:r>
        <w:t>operating area</w:t>
      </w:r>
      <w:r>
        <w:tab/>
        <w:t>7(1)</w:t>
      </w:r>
    </w:p>
    <w:p>
      <w:pPr>
        <w:pStyle w:val="DefinedTerms"/>
      </w:pPr>
      <w:r>
        <w:t>order</w:t>
      </w:r>
      <w:r>
        <w:tab/>
        <w:t>92(1)</w:t>
      </w:r>
    </w:p>
    <w:p>
      <w:pPr>
        <w:pStyle w:val="DefinedTerms"/>
      </w:pPr>
      <w:r>
        <w:t>participate</w:t>
      </w:r>
      <w:r>
        <w:tab/>
        <w:t>29(5)</w:t>
      </w:r>
    </w:p>
    <w:p>
      <w:pPr>
        <w:pStyle w:val="DefinedTerms"/>
      </w:pPr>
      <w:r>
        <w:t>PSM Act</w:t>
      </w:r>
      <w:r>
        <w:tab/>
        <w:t>Sch. 5 cl. 8(1)</w:t>
      </w:r>
    </w:p>
    <w:p>
      <w:pPr>
        <w:pStyle w:val="DefinedTerms"/>
      </w:pPr>
      <w:r>
        <w:t>regional water corporation</w:t>
      </w:r>
      <w:r>
        <w:tab/>
        <w:t>7(1)</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specified</w:t>
      </w:r>
      <w:r>
        <w:tab/>
        <w:t>7A(3)</w:t>
      </w:r>
    </w:p>
    <w:p>
      <w:pPr>
        <w:pStyle w:val="DefinedTerms"/>
      </w:pPr>
      <w:r>
        <w:t>surplus water</w:t>
      </w:r>
      <w:r>
        <w:tab/>
        <w:t>27(7)</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03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C7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E1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6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2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3357"/>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 w:name="WAFER_20230623103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17_GUID" w:val="efa66b74-8d12-4069-a69a-d02b5f87ae0b"/>
    <w:docVar w:name="WAFER_20230628094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094510_GUID" w:val="d1793f03-915b-4ed5-8e3d-753275fe9738"/>
    <w:docVar w:name="WAFER_202312271433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3357_GUID" w:val="58280355-4324-4dd2-9101-a597475698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023A-B871-4F9C-8817-892C8537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9316</Words>
  <Characters>44256</Characters>
  <Application>Microsoft Office Word</Application>
  <DocSecurity>0</DocSecurity>
  <Lines>1301</Lines>
  <Paragraphs>837</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52735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1995 - 04-f0-01</dc:title>
  <dc:subject/>
  <dc:creator/>
  <cp:keywords/>
  <dc:description/>
  <cp:lastModifiedBy>Master Repository Process</cp:lastModifiedBy>
  <cp:revision>4</cp:revision>
  <cp:lastPrinted>2014-02-14T03:23:00Z</cp:lastPrinted>
  <dcterms:created xsi:type="dcterms:W3CDTF">2024-01-03T04:28:00Z</dcterms:created>
  <dcterms:modified xsi:type="dcterms:W3CDTF">2024-01-03T04:28:00Z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AsAtDate">
    <vt:lpwstr>01 Jul 2023</vt:lpwstr>
  </property>
  <property fmtid="{D5CDD505-2E9C-101B-9397-08002B2CF9AE}" pid="8" name="Suffix">
    <vt:lpwstr>04-f0-01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