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_Toc155084503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_Toc155084504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_Toc155084505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Schedule 1 — Land subject of Memorandum of Understanding</w:t>
      </w:r>
    </w:p>
    <w:p>
      <w:pPr>
        <w:pStyle w:val="TOC2"/>
        <w:tabs>
          <w:tab w:val="right" w:pos="7077"/>
        </w:tabs>
        <w:rPr>
          <w:rFonts w:asciiTheme="minorHAnsi" w:eastAsiaTheme="minorEastAsia" w:hAnsiTheme="minorHAnsi" w:cstheme="minorBidi"/>
          <w:b w:val="0"/>
          <w:sz w:val="22"/>
          <w:szCs w:val="22"/>
        </w:rPr>
      </w:pPr>
      <w:r>
        <w:t>Schedule 2 — </w:t>
      </w:r>
      <w:r>
        <w:rPr>
          <w:i/>
        </w:rPr>
        <w:t>Health Services (Health Service Provider Land) Amendment Order 2023</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_Toc155084509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(Health Service Provider Land) Order 2016</w:t>
      </w:r>
    </w:p>
    <w:p>
      <w:pPr>
        <w:pStyle w:val="Heading5"/>
      </w:pPr>
      <w:bookmarkStart w:id="3" w:name="_Toc155084503"/>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155084504"/>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155084505"/>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 and</w:t>
      </w:r>
    </w:p>
    <w:p>
      <w:pPr>
        <w:pStyle w:val="Indenta"/>
      </w:pPr>
      <w:r>
        <w:tab/>
        <w:t>(c)</w:t>
      </w:r>
      <w:r>
        <w:tab/>
        <w:t>the land described in Schedule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2"/>
        <w:gridCol w:w="1377"/>
        <w:gridCol w:w="138"/>
        <w:gridCol w:w="1247"/>
        <w:gridCol w:w="825"/>
        <w:gridCol w:w="826"/>
        <w:gridCol w:w="95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lastRenderedPageBreak/>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lastRenderedPageBreak/>
              <w:t>Fremantle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nil"/>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top w:val="nil"/>
              <w:bottom w:val="nil"/>
              <w:right w:val="single" w:sz="4" w:space="0" w:color="auto"/>
            </w:tcBorders>
          </w:tcPr>
          <w:p>
            <w:pPr>
              <w:pStyle w:val="TableNAm"/>
              <w:rPr>
                <w:sz w:val="16"/>
                <w:szCs w:val="16"/>
              </w:rPr>
            </w:pPr>
          </w:p>
        </w:tc>
        <w:tc>
          <w:tcPr>
            <w:tcW w:w="10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 Alma Street, Fremantle</w:t>
            </w:r>
          </w:p>
        </w:tc>
        <w:tc>
          <w:tcPr>
            <w:tcW w:w="1006" w:type="pct"/>
            <w:gridSpan w:val="2"/>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w:t>
            </w:r>
          </w:p>
        </w:tc>
        <w:tc>
          <w:tcPr>
            <w:tcW w:w="599"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938</w:t>
            </w:r>
          </w:p>
        </w:tc>
        <w:tc>
          <w:tcPr>
            <w:tcW w:w="696"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p>
        </w:tc>
      </w:tr>
      <w:tr>
        <w:trPr>
          <w:cantSplit/>
        </w:trPr>
        <w:tc>
          <w:tcPr>
            <w:tcW w:w="1099" w:type="pct"/>
            <w:vMerge/>
            <w:tcBorders>
              <w:top w:val="single" w:sz="4" w:space="0" w:color="auto"/>
              <w:bottom w:val="nil"/>
              <w:right w:val="single" w:sz="4" w:space="0" w:color="auto"/>
            </w:tcBorders>
          </w:tcPr>
          <w:p>
            <w:pPr>
              <w:pStyle w:val="TableNAm"/>
              <w:rPr>
                <w:sz w:val="16"/>
                <w:szCs w:val="16"/>
              </w:rPr>
            </w:pPr>
          </w:p>
        </w:tc>
        <w:tc>
          <w:tcPr>
            <w:tcW w:w="1000" w:type="pct"/>
            <w:tcBorders>
              <w:top w:val="nil"/>
              <w:left w:val="single" w:sz="4" w:space="0" w:color="auto"/>
              <w:bottom w:val="nil"/>
              <w:right w:val="single" w:sz="4" w:space="0" w:color="auto"/>
            </w:tcBorders>
          </w:tcPr>
          <w:p>
            <w:pPr>
              <w:pStyle w:val="TableNAm"/>
              <w:rPr>
                <w:sz w:val="16"/>
                <w:szCs w:val="16"/>
              </w:rPr>
            </w:pPr>
            <w:r>
              <w:rPr>
                <w:rFonts w:ascii="Times New Roman" w:hAnsi="Times New Roman" w:cs="Times New Roman"/>
                <w:sz w:val="16"/>
                <w:szCs w:val="16"/>
              </w:rPr>
              <w:t>134 South Terrace, Fremantle</w:t>
            </w:r>
          </w:p>
        </w:tc>
        <w:tc>
          <w:tcPr>
            <w:tcW w:w="1006" w:type="pct"/>
            <w:gridSpan w:val="2"/>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76</w:t>
            </w:r>
          </w:p>
        </w:tc>
        <w:tc>
          <w:tcPr>
            <w:tcW w:w="599"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696" w:type="pct"/>
            <w:tcBorders>
              <w:top w:val="nil"/>
              <w:left w:val="single" w:sz="4" w:space="0" w:color="auto"/>
              <w:bottom w:val="nil"/>
              <w:right w:val="single" w:sz="4" w:space="0" w:color="auto"/>
            </w:tcBorders>
          </w:tcPr>
          <w:p>
            <w:pPr>
              <w:pStyle w:val="TableNAm"/>
              <w:rPr>
                <w:rFonts w:ascii="Times New Roman" w:hAnsi="Times New Roman" w:cs="Times New Roman"/>
                <w:sz w:val="16"/>
                <w:szCs w:val="16"/>
              </w:rPr>
            </w:pPr>
          </w:p>
        </w:tc>
      </w:tr>
      <w:tr>
        <w:trPr>
          <w:cantSplit/>
        </w:trPr>
        <w:tc>
          <w:tcPr>
            <w:tcW w:w="1099" w:type="pct"/>
            <w:tcBorders>
              <w:top w:val="nil"/>
              <w:right w:val="single" w:sz="4" w:space="0" w:color="auto"/>
            </w:tcBorders>
          </w:tcPr>
          <w:p>
            <w:pPr>
              <w:pStyle w:val="TableNAm"/>
              <w:rPr>
                <w:rFonts w:ascii="Times New Roman" w:hAnsi="Times New Roman" w:cs="Times New Roman"/>
                <w:sz w:val="16"/>
                <w:szCs w:val="16"/>
              </w:rPr>
            </w:pPr>
          </w:p>
        </w:tc>
        <w:tc>
          <w:tcPr>
            <w:tcW w:w="1000"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136 South Terrace, Fremantle</w:t>
            </w:r>
          </w:p>
        </w:tc>
        <w:tc>
          <w:tcPr>
            <w:tcW w:w="1006" w:type="pct"/>
            <w:gridSpan w:val="2"/>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599"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2064</w:t>
            </w:r>
          </w:p>
        </w:tc>
        <w:tc>
          <w:tcPr>
            <w:tcW w:w="600"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Borders>
              <w:top w:val="nil"/>
              <w:left w:val="single" w:sz="4" w:space="0" w:color="auto"/>
              <w:bottom w:val="single" w:sz="4" w:space="0" w:color="auto"/>
              <w:right w:val="single" w:sz="4" w:space="0" w:color="auto"/>
            </w:tcBorders>
          </w:tcPr>
          <w:p>
            <w:pPr>
              <w:pStyle w:val="TableNAm"/>
              <w:rPr>
                <w:rFonts w:ascii="Times New Roman" w:hAnsi="Times New Roman" w:cs="Times New Roman"/>
                <w:sz w:val="16"/>
                <w:szCs w:val="16"/>
              </w:rPr>
            </w:pP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1097" w:type="pct"/>
            <w:tcBorders>
              <w:top w:val="nil"/>
              <w:bottom w:val="single" w:sz="2" w:space="0" w:color="auto"/>
            </w:tcBorders>
          </w:tcPr>
          <w:p>
            <w:pPr>
              <w:pStyle w:val="TableNAm"/>
              <w:rPr>
                <w:rFonts w:ascii="Times New Roman" w:hAnsi="Times New Roman" w:cs="Times New Roman"/>
                <w:sz w:val="16"/>
                <w:szCs w:val="16"/>
              </w:rPr>
            </w:pPr>
          </w:p>
        </w:tc>
        <w:tc>
          <w:tcPr>
            <w:tcW w:w="1098"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70 Murray Street, Perth</w:t>
            </w:r>
          </w:p>
        </w:tc>
        <w:tc>
          <w:tcPr>
            <w:tcW w:w="904"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790</w:t>
            </w:r>
          </w:p>
        </w:tc>
        <w:tc>
          <w:tcPr>
            <w:tcW w:w="598"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623</w:t>
            </w:r>
          </w:p>
        </w:tc>
        <w:tc>
          <w:tcPr>
            <w:tcW w:w="695"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30365</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sz w:val="16"/>
                <w:szCs w:val="16"/>
              </w:rPr>
            </w:pPr>
            <w:r>
              <w:rPr>
                <w:rFonts w:ascii="Times New Roman" w:hAnsi="Times New Roman" w:cs="Times New Roman"/>
                <w:sz w:val="16"/>
                <w:szCs w:val="16"/>
              </w:rPr>
              <w:t>Cunderdin Health Centre</w:t>
            </w:r>
          </w:p>
        </w:tc>
        <w:tc>
          <w:tcPr>
            <w:tcW w:w="1100" w:type="pct"/>
            <w:gridSpan w:val="2"/>
          </w:tcPr>
          <w:p>
            <w:pPr>
              <w:pStyle w:val="TableNAm"/>
              <w:rPr>
                <w:sz w:val="16"/>
                <w:szCs w:val="16"/>
              </w:rPr>
            </w:pPr>
            <w:r>
              <w:rPr>
                <w:rFonts w:ascii="Times New Roman" w:hAnsi="Times New Roman" w:cs="Times New Roman"/>
                <w:sz w:val="16"/>
                <w:szCs w:val="16"/>
              </w:rPr>
              <w:t>Lundy Avenue, Cunderdin</w:t>
            </w:r>
          </w:p>
        </w:tc>
        <w:tc>
          <w:tcPr>
            <w:tcW w:w="906" w:type="pct"/>
          </w:tcPr>
          <w:p>
            <w:pPr>
              <w:pStyle w:val="TableNAm"/>
              <w:rPr>
                <w:sz w:val="16"/>
                <w:szCs w:val="16"/>
              </w:rPr>
            </w:pPr>
            <w:r>
              <w:rPr>
                <w:rFonts w:ascii="Times New Roman" w:hAnsi="Times New Roman" w:cs="Times New Roman"/>
                <w:sz w:val="16"/>
                <w:szCs w:val="16"/>
              </w:rPr>
              <w:t>801</w:t>
            </w:r>
          </w:p>
        </w:tc>
        <w:tc>
          <w:tcPr>
            <w:tcW w:w="599" w:type="pct"/>
          </w:tcPr>
          <w:p>
            <w:pPr>
              <w:pStyle w:val="TableNAm"/>
              <w:rPr>
                <w:sz w:val="16"/>
                <w:szCs w:val="16"/>
              </w:rPr>
            </w:pPr>
            <w:r>
              <w:rPr>
                <w:rFonts w:ascii="Times New Roman" w:hAnsi="Times New Roman" w:cs="Times New Roman"/>
                <w:sz w:val="16"/>
                <w:szCs w:val="16"/>
              </w:rPr>
              <w:t>2932</w:t>
            </w:r>
          </w:p>
        </w:tc>
        <w:tc>
          <w:tcPr>
            <w:tcW w:w="600" w:type="pct"/>
          </w:tcPr>
          <w:p>
            <w:pPr>
              <w:pStyle w:val="TableNAm"/>
              <w:rPr>
                <w:sz w:val="16"/>
                <w:szCs w:val="16"/>
              </w:rPr>
            </w:pPr>
            <w:r>
              <w:rPr>
                <w:rFonts w:ascii="Times New Roman" w:hAnsi="Times New Roman" w:cs="Times New Roman"/>
                <w:sz w:val="16"/>
                <w:szCs w:val="16"/>
              </w:rPr>
              <w:t>641</w:t>
            </w:r>
          </w:p>
        </w:tc>
        <w:tc>
          <w:tcPr>
            <w:tcW w:w="696" w:type="pct"/>
          </w:tcPr>
          <w:p>
            <w:pPr>
              <w:pStyle w:val="TableNAm"/>
              <w:rPr>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lastRenderedPageBreak/>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lastRenderedPageBreak/>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Gazette 6 Jun 2017 p. 2774</w:t>
      </w:r>
      <w:r>
        <w:noBreakHyphen/>
        <w:t>6; 12 Jun 2018 p. 1893</w:t>
      </w:r>
      <w:r>
        <w:noBreakHyphen/>
        <w:t>4; 14 Sep 2018 p. 3313; 30 Nov 2018 p. 4595; 15 Jan 2019 p. 58; SL 2021/23 cl. 4; Gazette 30 Jun 2023 p. 2213</w:t>
      </w:r>
      <w:r>
        <w:noBreakHyphen/>
        <w:t>20.]</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7" w:name="_Toc155084506"/>
      <w:r>
        <w:rPr>
          <w:rStyle w:val="CharSchNo"/>
        </w:rPr>
        <w:lastRenderedPageBreak/>
        <w:t>Schedule 1</w:t>
      </w:r>
      <w:r>
        <w:t> — </w:t>
      </w:r>
      <w:r>
        <w:rPr>
          <w:rStyle w:val="CharSchText"/>
        </w:rPr>
        <w:t>Land subject of Memorandum of Understanding</w:t>
      </w:r>
      <w:bookmarkEnd w:id="7"/>
    </w:p>
    <w:p>
      <w:pPr>
        <w:pStyle w:val="yShoulderClause"/>
      </w:pPr>
      <w:r>
        <w:t>[cl. 3(3)]</w:t>
      </w:r>
    </w:p>
    <w:p>
      <w:pPr>
        <w:pStyle w:val="yFootnoteheading"/>
      </w:pPr>
      <w:r>
        <w:tab/>
        <w:t>[Heading inserted: Gazette 6 Jun 2017 p. 2776.]</w:t>
      </w:r>
    </w:p>
    <w:p>
      <w:pPr>
        <w:pStyle w:val="yFootnotesection"/>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Gazette 6 Jun 2017 p. 2776.]</w:t>
      </w:r>
    </w:p>
    <w:p>
      <w:pPr>
        <w:pStyle w:val="yScheduleHeading"/>
      </w:pPr>
      <w:bookmarkStart w:id="8" w:name="_Toc155084507"/>
      <w:r>
        <w:rPr>
          <w:rStyle w:val="CharSchNo"/>
        </w:rPr>
        <w:lastRenderedPageBreak/>
        <w:t>Schedule 2</w:t>
      </w:r>
      <w:r>
        <w:t> — </w:t>
      </w:r>
      <w:r>
        <w:rPr>
          <w:rStyle w:val="CharSchText"/>
          <w:i/>
        </w:rPr>
        <w:t>Health Services (Health Service Provider Land) Amendment Order 2023</w:t>
      </w:r>
      <w:bookmarkEnd w:id="8"/>
    </w:p>
    <w:p>
      <w:pPr>
        <w:pStyle w:val="yFootnoteheading"/>
        <w:spacing w:after="120"/>
      </w:pPr>
      <w:r>
        <w:tab/>
        <w:t>[Heading inserted: Gazette 30 Jun 2023 p. 2213</w:t>
      </w:r>
      <w:r>
        <w:noBreakHyphen/>
        <w:t>20.]</w:t>
      </w:r>
    </w:p>
    <w:tbl>
      <w:tblPr>
        <w:tblW w:w="5000" w:type="pct"/>
        <w:tblLayout w:type="fixed"/>
        <w:tblLook w:val="04A0" w:firstRow="1" w:lastRow="0" w:firstColumn="1" w:lastColumn="0" w:noHBand="0" w:noVBand="1"/>
      </w:tblPr>
      <w:tblGrid>
        <w:gridCol w:w="1985"/>
        <w:gridCol w:w="850"/>
        <w:gridCol w:w="1419"/>
        <w:gridCol w:w="710"/>
        <w:gridCol w:w="707"/>
        <w:gridCol w:w="618"/>
        <w:gridCol w:w="798"/>
      </w:tblGrid>
      <w:tr>
        <w:trPr>
          <w:cantSplit/>
          <w:trHeight w:val="529"/>
          <w:tblHeader/>
        </w:trPr>
        <w:tc>
          <w:tcPr>
            <w:tcW w:w="1400" w:type="pct"/>
            <w:tcBorders>
              <w:top w:val="nil"/>
              <w:left w:val="nil"/>
              <w:bottom w:val="nil"/>
              <w:right w:val="nil"/>
            </w:tcBorders>
            <w:shd w:val="clear" w:color="auto" w:fill="auto"/>
            <w:noWrap/>
            <w:vAlign w:val="center"/>
            <w:hideMark/>
          </w:tcPr>
          <w:p>
            <w:pPr>
              <w:pStyle w:val="yTableNAm"/>
              <w:ind w:left="-66" w:right="-83"/>
              <w:rPr>
                <w:szCs w:val="22"/>
              </w:rPr>
            </w:pPr>
          </w:p>
        </w:tc>
        <w:tc>
          <w:tcPr>
            <w:tcW w:w="600" w:type="pct"/>
            <w:tcBorders>
              <w:top w:val="nil"/>
              <w:left w:val="nil"/>
              <w:bottom w:val="nil"/>
              <w:right w:val="nil"/>
            </w:tcBorders>
            <w:shd w:val="clear" w:color="auto" w:fill="auto"/>
            <w:noWrap/>
            <w:vAlign w:val="center"/>
            <w:hideMark/>
          </w:tcPr>
          <w:p>
            <w:pPr>
              <w:pStyle w:val="yTableNAm"/>
              <w:tabs>
                <w:tab w:val="clear" w:pos="567"/>
              </w:tabs>
              <w:ind w:right="-54"/>
              <w:rPr>
                <w:szCs w:val="22"/>
              </w:rPr>
            </w:pPr>
          </w:p>
        </w:tc>
        <w:tc>
          <w:tcPr>
            <w:tcW w:w="1001" w:type="pct"/>
            <w:tcBorders>
              <w:top w:val="nil"/>
              <w:left w:val="nil"/>
              <w:bottom w:val="nil"/>
              <w:right w:val="nil"/>
            </w:tcBorders>
            <w:shd w:val="clear" w:color="auto" w:fill="auto"/>
            <w:noWrap/>
            <w:vAlign w:val="center"/>
            <w:hideMark/>
          </w:tcPr>
          <w:p>
            <w:pPr>
              <w:pStyle w:val="yTableNAm"/>
              <w:ind w:left="-20" w:right="-108"/>
              <w:rPr>
                <w:szCs w:val="22"/>
              </w:rPr>
            </w:pPr>
          </w:p>
        </w:tc>
        <w:tc>
          <w:tcPr>
            <w:tcW w:w="501" w:type="pct"/>
            <w:tcBorders>
              <w:top w:val="nil"/>
              <w:left w:val="nil"/>
              <w:bottom w:val="nil"/>
              <w:right w:val="nil"/>
            </w:tcBorders>
            <w:shd w:val="clear" w:color="auto" w:fill="auto"/>
            <w:noWrap/>
            <w:vAlign w:val="center"/>
            <w:hideMark/>
          </w:tcPr>
          <w:p>
            <w:pPr>
              <w:pStyle w:val="yTableNAm"/>
              <w:tabs>
                <w:tab w:val="clear" w:pos="567"/>
              </w:tabs>
              <w:ind w:left="-23" w:right="-122"/>
              <w:rPr>
                <w:szCs w:val="22"/>
              </w:rPr>
            </w:pPr>
          </w:p>
        </w:tc>
        <w:tc>
          <w:tcPr>
            <w:tcW w:w="935" w:type="pct"/>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pPr>
              <w:pStyle w:val="yTableNAm"/>
              <w:spacing w:before="0"/>
              <w:jc w:val="center"/>
              <w:rPr>
                <w:b/>
                <w:bCs/>
                <w:color w:val="000000"/>
                <w:sz w:val="20"/>
                <w:szCs w:val="22"/>
              </w:rPr>
            </w:pPr>
            <w:r>
              <w:rPr>
                <w:b/>
                <w:bCs/>
                <w:color w:val="000000"/>
                <w:sz w:val="20"/>
                <w:szCs w:val="22"/>
              </w:rPr>
              <w:t>Certificate of Title</w:t>
            </w:r>
          </w:p>
        </w:tc>
        <w:tc>
          <w:tcPr>
            <w:tcW w:w="563" w:type="pct"/>
            <w:tcBorders>
              <w:top w:val="nil"/>
              <w:left w:val="nil"/>
              <w:bottom w:val="nil"/>
              <w:right w:val="nil"/>
            </w:tcBorders>
            <w:shd w:val="clear" w:color="auto" w:fill="auto"/>
            <w:noWrap/>
            <w:vAlign w:val="center"/>
            <w:hideMark/>
          </w:tcPr>
          <w:p>
            <w:pPr>
              <w:pStyle w:val="yTableNAm"/>
              <w:rPr>
                <w:b/>
                <w:bCs/>
                <w:color w:val="000000"/>
                <w:szCs w:val="22"/>
              </w:rPr>
            </w:pPr>
          </w:p>
        </w:tc>
      </w:tr>
      <w:tr>
        <w:trPr>
          <w:cantSplit/>
          <w:trHeight w:val="820"/>
          <w:tblHeader/>
        </w:trPr>
        <w:tc>
          <w:tcPr>
            <w:tcW w:w="1400" w:type="pct"/>
            <w:tcBorders>
              <w:top w:val="single" w:sz="8" w:space="0" w:color="auto"/>
              <w:left w:val="single" w:sz="4" w:space="0" w:color="auto"/>
              <w:bottom w:val="single" w:sz="8" w:space="0" w:color="auto"/>
              <w:right w:val="single" w:sz="4" w:space="0" w:color="auto"/>
            </w:tcBorders>
            <w:shd w:val="clear" w:color="000000" w:fill="D9D9D9"/>
            <w:noWrap/>
            <w:vAlign w:val="center"/>
            <w:hideMark/>
          </w:tcPr>
          <w:p>
            <w:pPr>
              <w:pStyle w:val="yTableNAm"/>
              <w:spacing w:before="0"/>
              <w:ind w:left="-66" w:right="-83"/>
              <w:jc w:val="center"/>
              <w:rPr>
                <w:b/>
                <w:bCs/>
                <w:color w:val="000000"/>
                <w:sz w:val="18"/>
                <w:szCs w:val="22"/>
              </w:rPr>
            </w:pPr>
            <w:r>
              <w:rPr>
                <w:b/>
                <w:bCs/>
                <w:color w:val="000000"/>
                <w:sz w:val="18"/>
                <w:szCs w:val="22"/>
              </w:rPr>
              <w:t>Site Name</w:t>
            </w:r>
            <w:r>
              <w:rPr>
                <w:b/>
                <w:bCs/>
                <w:color w:val="000000"/>
                <w:sz w:val="18"/>
                <w:szCs w:val="22"/>
              </w:rPr>
              <w:br/>
            </w:r>
          </w:p>
        </w:tc>
        <w:tc>
          <w:tcPr>
            <w:tcW w:w="600"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right="-54"/>
              <w:jc w:val="center"/>
              <w:rPr>
                <w:b/>
                <w:bCs/>
                <w:color w:val="000000"/>
                <w:sz w:val="18"/>
                <w:szCs w:val="22"/>
              </w:rPr>
            </w:pPr>
            <w:r>
              <w:rPr>
                <w:b/>
                <w:bCs/>
                <w:color w:val="000000"/>
                <w:sz w:val="18"/>
                <w:szCs w:val="22"/>
              </w:rPr>
              <w:t>Relevant HSP</w:t>
            </w:r>
          </w:p>
        </w:tc>
        <w:tc>
          <w:tcPr>
            <w:tcW w:w="1001"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spacing w:before="0"/>
              <w:ind w:left="-20" w:right="-108"/>
              <w:jc w:val="center"/>
              <w:rPr>
                <w:b/>
                <w:bCs/>
                <w:color w:val="000000"/>
                <w:sz w:val="18"/>
                <w:szCs w:val="22"/>
              </w:rPr>
            </w:pPr>
            <w:r>
              <w:rPr>
                <w:b/>
                <w:bCs/>
                <w:color w:val="000000"/>
                <w:sz w:val="18"/>
                <w:szCs w:val="22"/>
              </w:rPr>
              <w:t>Address</w:t>
            </w:r>
            <w:r>
              <w:rPr>
                <w:b/>
                <w:bCs/>
                <w:color w:val="000000"/>
                <w:sz w:val="18"/>
                <w:szCs w:val="22"/>
              </w:rPr>
              <w:br/>
            </w:r>
          </w:p>
        </w:tc>
        <w:tc>
          <w:tcPr>
            <w:tcW w:w="501"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02" w:right="-122"/>
              <w:jc w:val="center"/>
              <w:rPr>
                <w:b/>
                <w:bCs/>
                <w:color w:val="000000"/>
                <w:sz w:val="18"/>
                <w:szCs w:val="22"/>
              </w:rPr>
            </w:pPr>
            <w:r>
              <w:rPr>
                <w:b/>
                <w:bCs/>
                <w:color w:val="000000"/>
                <w:sz w:val="18"/>
                <w:szCs w:val="22"/>
              </w:rPr>
              <w:t>Lot Number</w:t>
            </w:r>
          </w:p>
        </w:tc>
        <w:tc>
          <w:tcPr>
            <w:tcW w:w="499" w:type="pct"/>
            <w:tcBorders>
              <w:top w:val="nil"/>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08" w:right="-115"/>
              <w:jc w:val="center"/>
              <w:rPr>
                <w:b/>
                <w:bCs/>
                <w:color w:val="000000"/>
                <w:sz w:val="18"/>
                <w:szCs w:val="22"/>
              </w:rPr>
            </w:pPr>
            <w:r>
              <w:rPr>
                <w:b/>
                <w:bCs/>
                <w:color w:val="000000"/>
                <w:sz w:val="18"/>
                <w:szCs w:val="22"/>
              </w:rPr>
              <w:t>Volume</w:t>
            </w:r>
            <w:r>
              <w:rPr>
                <w:b/>
                <w:bCs/>
                <w:color w:val="000000"/>
                <w:sz w:val="18"/>
                <w:szCs w:val="22"/>
              </w:rPr>
              <w:br/>
            </w:r>
          </w:p>
        </w:tc>
        <w:tc>
          <w:tcPr>
            <w:tcW w:w="436" w:type="pct"/>
            <w:tcBorders>
              <w:top w:val="nil"/>
              <w:left w:val="nil"/>
              <w:bottom w:val="single" w:sz="8" w:space="0" w:color="auto"/>
              <w:right w:val="single" w:sz="4" w:space="0" w:color="auto"/>
            </w:tcBorders>
            <w:shd w:val="clear" w:color="000000" w:fill="D9D9D9"/>
            <w:noWrap/>
            <w:vAlign w:val="center"/>
            <w:hideMark/>
          </w:tcPr>
          <w:p>
            <w:pPr>
              <w:pStyle w:val="yTableNAm"/>
              <w:spacing w:before="0"/>
              <w:jc w:val="center"/>
              <w:rPr>
                <w:b/>
                <w:bCs/>
                <w:color w:val="000000"/>
                <w:sz w:val="18"/>
                <w:szCs w:val="22"/>
              </w:rPr>
            </w:pPr>
            <w:r>
              <w:rPr>
                <w:b/>
                <w:bCs/>
                <w:color w:val="000000"/>
                <w:sz w:val="18"/>
                <w:szCs w:val="22"/>
              </w:rPr>
              <w:t>Folio</w:t>
            </w:r>
            <w:r>
              <w:rPr>
                <w:b/>
                <w:bCs/>
                <w:color w:val="000000"/>
                <w:sz w:val="18"/>
                <w:szCs w:val="22"/>
              </w:rPr>
              <w:br/>
            </w:r>
          </w:p>
        </w:tc>
        <w:tc>
          <w:tcPr>
            <w:tcW w:w="563" w:type="pct"/>
            <w:tcBorders>
              <w:top w:val="single" w:sz="8" w:space="0" w:color="auto"/>
              <w:left w:val="nil"/>
              <w:bottom w:val="single" w:sz="8" w:space="0" w:color="auto"/>
              <w:right w:val="single" w:sz="4" w:space="0" w:color="auto"/>
            </w:tcBorders>
            <w:shd w:val="clear" w:color="000000" w:fill="D9D9D9"/>
            <w:noWrap/>
            <w:vAlign w:val="center"/>
            <w:hideMark/>
          </w:tcPr>
          <w:p>
            <w:pPr>
              <w:pStyle w:val="yTableNAm"/>
              <w:tabs>
                <w:tab w:val="clear" w:pos="567"/>
              </w:tabs>
              <w:spacing w:before="0"/>
              <w:ind w:left="-157" w:right="-107"/>
              <w:jc w:val="center"/>
              <w:rPr>
                <w:b/>
                <w:bCs/>
                <w:color w:val="000000"/>
                <w:sz w:val="18"/>
                <w:szCs w:val="22"/>
              </w:rPr>
            </w:pPr>
            <w:r>
              <w:rPr>
                <w:b/>
                <w:bCs/>
                <w:color w:val="000000"/>
                <w:sz w:val="18"/>
                <w:szCs w:val="22"/>
              </w:rPr>
              <w:t>Reserve</w:t>
            </w:r>
            <w:r>
              <w:rPr>
                <w:b/>
                <w:bCs/>
                <w:color w:val="000000"/>
                <w:sz w:val="18"/>
                <w:szCs w:val="22"/>
              </w:rPr>
              <w:br/>
            </w:r>
          </w:p>
        </w:tc>
      </w:tr>
      <w:tr>
        <w:trPr>
          <w:cantSplit/>
          <w:trHeight w:val="394"/>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Midvale Community Health School Nursing</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27 Victoria Parade, Midvale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196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1407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974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Bentley Community Health (Aboriginal Health Team)</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22 Coolgardie Street, Bentley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1382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266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6"/>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Lockridge Community Health and Child Development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32 Weddall Road, Lockridge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11094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LR3140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40724</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Kwinana Community Health and Child Development Centre (incl. Immunisation)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Lot 25 Peel Row, Kwinana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LR3154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903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36301</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Fremantle Child and Adolescent Mental Health Service (CAMHS)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 Stirling Street, Fremantle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2077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3081</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605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25970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Belmont Community Health (Aboriginal Health Team)</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240 Hardey Road, Belmont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9231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2119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Family Pathways (CAMHS) + Shenton Community CAMHS (On GVH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233 Stubbs Terrace, Shenton Park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526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53001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East Perth Child Health Clinic (CACH)</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40 Moore Street, East Perth</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1085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3109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665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45125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Karrinyup Child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20 Klein Street, Karrinyup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449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3153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708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27984</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Hilton Child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3/34 Paget St, Hilton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3171</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485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38196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Balcatta Child Health Centre (Balcatta House)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338 Albert Street, Balcatta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11227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LR3010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581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41068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Vacant Land - for Perth Hospice Construction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61 Clement Street, Swanbourne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53745</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Ambulatory Care Facility (Hospital in the Home) - Part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144A Queens Road, South Guildford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701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1468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774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South Guildford Day Therapy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144 Queens Road, South Guildford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702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1468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775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Royal Perth Hospital (Eastern Precinct) - Tunnel Access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No Street Address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1273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3127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616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46884</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Jarrah Road Clinic - Bentley</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89 Jarrah Road, Bentley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3625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3155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621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28967</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Armadale Kelmscott Memorial Hospital - Antonia Bagshaw Training Facility, Armadale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 Ecko Road, Mount, Nasura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3537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2635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599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Forrestfield Adult Day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 Anderson Road, Forrestfield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12237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2209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933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St John of God Midland Public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 Clayton Street, Midland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3172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387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51207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St John of God Midland Public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No Street Address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51207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Bentley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32 Mills Street, Bentley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2826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3057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648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43211</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 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 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 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 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Facility - Mt Hawthorn (former Hawthorn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 Woodstock Street, Mount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675"/>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Bunbury Public Dental Clinic - On Hospital Site -  Bunbury (South West)</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No Street Address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3171</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256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44281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Osborne Park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26 Osborne Place, Stirling</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513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3173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29439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Avro Community Health Centre, Subiaco</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 Nicholson Road, Subiaco</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333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3032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36490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Dental Clinic, Boulder (Goldfields)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114 Burt Street, Street Boulder</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3159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3034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770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26507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Joondalup Health Campus (Includes Dental Clinic)</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No Street Address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14373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LR3125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36696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Dental Health Services - Head Office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43 Mt Henry Road, Salter Point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4096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LR3107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25439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Warwick Dental Services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316 Erindale Road, Warwick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9280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3147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33351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Joondalup Health Campus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60 Shenton Avenue, Joondalup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3157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563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36696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Swan Dental Clinic</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 Eveline Road, Middle Swan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567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328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52651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Cockburn Government Dental Clinic</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0" w:right="-108"/>
              <w:rPr>
                <w:color w:val="000000"/>
                <w:sz w:val="16"/>
                <w:szCs w:val="16"/>
              </w:rPr>
            </w:pPr>
            <w:r>
              <w:rPr>
                <w:color w:val="000000"/>
                <w:sz w:val="16"/>
                <w:szCs w:val="16"/>
              </w:rPr>
              <w:t xml:space="preserve">1 Coleville Crescent, Spearwood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121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2583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655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83 Fairfield Street , Mt Hawthorn  - Office Part Site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83 Fairfield Street, Mt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2708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xml:space="preserve">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Duplexes, Graylands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44 Mooro Drive, Mt Claremont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1737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xml:space="preserve">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Duplexes, Graylands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42 Mooro Drive, Mt Claremont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1737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xml:space="preserve">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Office, Part Site, Mt Hawthorn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83 Fairfield Street, Mt Hawthorn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2708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xml:space="preserve">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Adolescent Clinical Care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365 Bagot Road, Subiaco</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13746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2786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xml:space="preserve">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Vacant Land - Lot 512</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26 Osborne Place, Stirling</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512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3173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53903</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Morley Dental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 xml:space="preserve">NMHS </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145 Russell Street, Morley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14071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2210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Vacant Office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33 Moss Street, East Fremantle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10306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3150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973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37909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Peel Health Campus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110 Lakes Road, Greenfields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3135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302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40505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Peel Health Campus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112 Lakes Road, Greenfields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3135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301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40505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Mental Health Services, Rockingham</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 Goddard Street, Rockingham</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2107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692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Fiona Stanley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 xml:space="preserve">11 Robin Warren Drive, Murdoch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125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LR3170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353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42037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Patient Relative Short Stay</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11 Alma Street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1938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540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Renal Hostel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65 Porter Street, Kalgoorlie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5014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LR3132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236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22687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Covid Clinic</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 Mill Road, West Busselton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LR3167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372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38006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Boulder Child Health Clinic</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108 Burt Street, Boulder</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658</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3169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510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52951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New Mukinbuddin Health Centre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 Calder Street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LR3168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867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53141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New Mukinbuddin Health Centre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10 Calder Street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LR3168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868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53141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Tambellup Nursing Post</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30 Norrish Street, Tambellup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1026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Rural Paediatric Research Service, Kalgoorlie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56 Piccadilly Street, Kalgoorlie (Picadilly)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R10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504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135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Goldfields Regional Office / Mental Health, The Palms, Kalgoorlie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Lot 12 Piccadilly Street. Kalgoorlie (Picadilly)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R12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216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133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Leeuwin Frail Aged Lodge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192 Blackwood Avenue, Augusta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494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1482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Mt Barker (Plantagenet) District Hospital (part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47 Langton Road, Mount Baker</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470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Lake Varley Nursing Post</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 Arthur Street, Varley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LR3055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641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22873</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Bunbury Community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24A Hudson Road, Withers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685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3146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620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39552</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Multi-Purpose Health Centres, Leonora</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96 Tower Street, Leonora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1131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3144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131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44630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Multi-Purpose Health Centres, Leonora</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94 Tower Street, Leonora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1335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3144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132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44630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Northam Hospital Laundry</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110 Chidlow Street East, Northam</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436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3108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772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45147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Mt Magnet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22 Criddle Street, Mount Magnet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3140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4536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Augusta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 Donovan Street, Augusta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912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31075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Northampton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3165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908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29279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Northampton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103 Stephen Street, Northampton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449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3011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760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29279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South Hedland Public </w:t>
            </w:r>
            <w:r>
              <w:rPr>
                <w:color w:val="000000"/>
                <w:spacing w:val="-4"/>
                <w:sz w:val="16"/>
                <w:szCs w:val="16"/>
              </w:rPr>
              <w:t>Dental</w:t>
            </w:r>
            <w:r>
              <w:rPr>
                <w:color w:val="000000"/>
                <w:sz w:val="16"/>
                <w:szCs w:val="16"/>
              </w:rPr>
              <w:t xml:space="preserve"> - South Hedland Community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33-45 Colebatch Way, South Hedland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1700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3168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600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35607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Office (Busselton </w:t>
            </w:r>
            <w:r>
              <w:rPr>
                <w:color w:val="000000"/>
                <w:spacing w:val="-4"/>
                <w:sz w:val="16"/>
                <w:szCs w:val="16"/>
              </w:rPr>
              <w:t>Population</w:t>
            </w:r>
            <w:r>
              <w:rPr>
                <w:color w:val="000000"/>
                <w:sz w:val="16"/>
                <w:szCs w:val="16"/>
              </w:rPr>
              <w:t xml:space="preserve"> Medical Research Institute - BPMRI), Busselton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18-20 West Street, Busselton (West)</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3153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971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38637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Grounds, The Palms, Kalgoorlie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120 Piccadilly Street, Piccadilly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120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1272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891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The Palms, Kalgoorlie (Part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121 Piccadilly Street, Piccadilly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121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1272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890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Child and Community Health Offices, Port </w:t>
            </w:r>
            <w:r>
              <w:rPr>
                <w:color w:val="000000"/>
                <w:spacing w:val="-4"/>
                <w:sz w:val="16"/>
                <w:szCs w:val="16"/>
              </w:rPr>
              <w:t>Hedland</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125 Athol Street, Port Hedland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1579</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307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150A</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The Palms, Kalgoorlie (grounds)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68 Piccadilly Street, Piccadilly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R13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1272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892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Esperance Community and Mental Hlth</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Lot 882 Forrest Street, Esperance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882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3139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730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40238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Norseman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 Talbot Street, Norseman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3149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525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2897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Laverton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 Beria Road, Laverton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213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3024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7420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Dalwallinu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25 Myers Street, Dalwallinu</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7718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On Hospital Site, Quairading - land area included in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10 Harris Street, Quairading</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264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16215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Wyalkatchem-Koorda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38 Honour Avenue, Wyalkatchem</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3140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124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16856</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On Hospital Site, Kellerberrin - land area included in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51 Gregory Street, Kellerberrin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321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3024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705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17478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Nannup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11 Carey Street, Nannup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133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LR3049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804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18085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Pemberton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12 Railway Crescent, Pemberton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558</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999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19547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On Hospital Site, Manjimup</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16 Hospital </w:t>
            </w:r>
            <w:r>
              <w:rPr>
                <w:color w:val="000000"/>
                <w:spacing w:val="-4"/>
                <w:sz w:val="16"/>
                <w:szCs w:val="16"/>
              </w:rPr>
              <w:t>Avenue,</w:t>
            </w:r>
            <w:r>
              <w:rPr>
                <w:color w:val="000000"/>
                <w:sz w:val="16"/>
                <w:szCs w:val="16"/>
              </w:rPr>
              <w:t xml:space="preserve"> Manjimup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LR3171</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909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20337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502</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40 Burges Street, Mullewa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46 Burges Street, Mullewa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 Elder Street. Mullewa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Mullewa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21688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Ian Roberts Lodge - On Hospital Site, Cunderdin - land area included in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296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3156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480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22160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Ian Roberts Lodge - On Hospital Site, Cunderdin - land area included in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297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 R3156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481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22160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Ian Roberts Lodge - On Hospital Site, Cunderdin - land area included in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384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3156</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483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22160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Accommodation - On Hospital Site, Pingelly - </w:t>
            </w:r>
            <w:r>
              <w:rPr>
                <w:color w:val="000000"/>
                <w:spacing w:val="-4"/>
                <w:sz w:val="16"/>
                <w:szCs w:val="16"/>
              </w:rPr>
              <w:t>land</w:t>
            </w:r>
            <w:r>
              <w:rPr>
                <w:color w:val="000000"/>
                <w:sz w:val="16"/>
                <w:szCs w:val="16"/>
              </w:rPr>
              <w:t xml:space="preserve"> area included in hospital </w:t>
            </w:r>
            <w:r>
              <w:rPr>
                <w:color w:val="000000"/>
                <w:spacing w:val="-4"/>
                <w:sz w:val="16"/>
                <w:szCs w:val="16"/>
              </w:rPr>
              <w:t>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855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757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23668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Old Pingelly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856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758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23668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Northam Regional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50 Robinson Street, Northam</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941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25130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Accommodation - Nurses / Staff Quarters, Onslow - On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333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26255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York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54 Trews Road, Daliak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LR3174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821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27341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York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74 Trews Road, Daliak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LR3174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822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27341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York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80 Trews Road, Daliak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505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LR3174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823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27341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Kununurra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 Coolibah Drive, Kununurra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581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3169</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849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29387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Busselton Health Campus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189 Bussell Highway, West Busselton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370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32275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Kevin Cullen Health Centre - On Hospital Site, Busselton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185 Bussell Highway, West Busselton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556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371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32275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Health Centres / Clinics, Gnowangerup</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45 Yougenup Road, Gnowangerup</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356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3018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453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33332</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Newman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54 Mindarra Drive, Newman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500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3173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857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38351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lastRenderedPageBreak/>
              <w:t>Frail Aged Hostel, Meekatharra</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No Street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997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3093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668</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41870</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Kimberley Aged Care - Office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57 Herbert Street, Broome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500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 3024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132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51495</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New Pingelly Health Centre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32 Brown Street, Pingelly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555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LR3166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971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52569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Grace Vaughan House - Shared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233 Stubbs Terrace, Shenton Park</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556</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 xml:space="preserve">LR3168 </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526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53001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Country Offices, Kalgoorlie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sz w:val="16"/>
                <w:szCs w:val="16"/>
              </w:rPr>
            </w:pPr>
            <w:r>
              <w:rPr>
                <w:sz w:val="16"/>
                <w:szCs w:val="16"/>
              </w:rPr>
              <w:t>7 Dugan Street, Kalgoorlie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sz w:val="16"/>
                <w:szCs w:val="16"/>
              </w:rPr>
            </w:pPr>
            <w:r>
              <w:rPr>
                <w:sz w:val="16"/>
                <w:szCs w:val="16"/>
              </w:rPr>
              <w:t>10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2180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196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sz w:val="16"/>
                <w:szCs w:val="16"/>
              </w:rPr>
            </w:pPr>
            <w:r>
              <w:rPr>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Cancer Patient Hostel , Kalgoorlie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155 Bourke Street, Piccadilly</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94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2832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870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Aboriginal Health Service, Northam</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65 Wellington Street East, Northam</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200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1051</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325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Kalgoorlie Population Health</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38 Ware Street, Kaloorlie South</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2253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2070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444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Ravensthorpe Public Dental Clinic - On Hospital Site - (Goldfields)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74 Martin Street, Ravensthorpe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243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 3020</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149</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8049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344</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LR3023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651</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2871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345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LR3023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652</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2871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On Hospital Site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Lot 347 Francis Street, Carnarvon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347</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LR3023</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654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2871</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Kellerberrin Memorial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51 Gregory Street, Kellerberrin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333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LR3024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706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17478</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Northcliffe Nursing Post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16 Windy Harbour Road, Northcliffe</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340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695</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18729</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Morawa District Hospital</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7 Caufield Road, Morawa</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560</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LR3165</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476</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19507</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Effluent Disposal, Kununoppin</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No Address</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N/A</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N/A</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N/A</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27273</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Cervantes Community Health Centre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8 Weston Street, Cervantes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593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LR3008</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254</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35424</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lastRenderedPageBreak/>
              <w:t xml:space="preserve">Wickepin Nursing Post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28 Johnston Street, Wickepin</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601</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2222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887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Vacant Land Sites, Wyndham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43 Great Northern Highway, Wyndham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813</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2607</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500</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Hedland Health Campus</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2-34 Colebatch Way, South Hedland</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305</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2652</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937</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 xml:space="preserve">Vacant Land Sites, Wyndham </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single" w:sz="4" w:space="0" w:color="auto"/>
              <w:right w:val="single" w:sz="4" w:space="0" w:color="auto"/>
            </w:tcBorders>
            <w:shd w:val="clear" w:color="auto" w:fill="auto"/>
            <w:noWrap/>
            <w:hideMark/>
          </w:tcPr>
          <w:p>
            <w:pPr>
              <w:pStyle w:val="yTableNAm"/>
              <w:spacing w:before="60" w:after="60"/>
              <w:ind w:left="-20" w:right="-108"/>
              <w:rPr>
                <w:color w:val="000000"/>
                <w:sz w:val="16"/>
                <w:szCs w:val="16"/>
              </w:rPr>
            </w:pPr>
            <w:r>
              <w:rPr>
                <w:color w:val="000000"/>
                <w:sz w:val="16"/>
                <w:szCs w:val="16"/>
              </w:rPr>
              <w:t xml:space="preserve">18 Dorrigo Road, Wyndham </w:t>
            </w:r>
          </w:p>
        </w:tc>
        <w:tc>
          <w:tcPr>
            <w:tcW w:w="501"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23" w:right="-122"/>
              <w:rPr>
                <w:color w:val="000000"/>
                <w:sz w:val="16"/>
                <w:szCs w:val="16"/>
              </w:rPr>
            </w:pPr>
            <w:r>
              <w:rPr>
                <w:color w:val="000000"/>
                <w:sz w:val="16"/>
                <w:szCs w:val="16"/>
              </w:rPr>
              <w:t>1098</w:t>
            </w:r>
          </w:p>
        </w:tc>
        <w:tc>
          <w:tcPr>
            <w:tcW w:w="499"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left="-36" w:right="-106"/>
              <w:rPr>
                <w:color w:val="000000"/>
                <w:sz w:val="16"/>
                <w:szCs w:val="16"/>
              </w:rPr>
            </w:pPr>
            <w:r>
              <w:rPr>
                <w:color w:val="000000"/>
                <w:sz w:val="16"/>
                <w:szCs w:val="16"/>
              </w:rPr>
              <w:t>2704</w:t>
            </w:r>
          </w:p>
        </w:tc>
        <w:tc>
          <w:tcPr>
            <w:tcW w:w="436"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973</w:t>
            </w:r>
          </w:p>
        </w:tc>
        <w:tc>
          <w:tcPr>
            <w:tcW w:w="563" w:type="pct"/>
            <w:tcBorders>
              <w:top w:val="nil"/>
              <w:left w:val="nil"/>
              <w:bottom w:val="single" w:sz="4" w:space="0" w:color="auto"/>
              <w:right w:val="single" w:sz="4" w:space="0" w:color="auto"/>
            </w:tcBorders>
            <w:shd w:val="clear" w:color="auto" w:fill="auto"/>
            <w:noWrap/>
            <w:hideMark/>
          </w:tcPr>
          <w:p>
            <w:pPr>
              <w:pStyle w:val="yTableNAm"/>
              <w:spacing w:before="60" w:after="60"/>
              <w:rPr>
                <w:color w:val="000000"/>
                <w:sz w:val="16"/>
                <w:szCs w:val="16"/>
              </w:rPr>
            </w:pPr>
            <w:r>
              <w:rPr>
                <w:color w:val="000000"/>
                <w:sz w:val="16"/>
                <w:szCs w:val="16"/>
              </w:rPr>
              <w:t> </w:t>
            </w:r>
          </w:p>
        </w:tc>
      </w:tr>
      <w:tr>
        <w:trPr>
          <w:cantSplit/>
          <w:trHeight w:val="397"/>
        </w:trPr>
        <w:tc>
          <w:tcPr>
            <w:tcW w:w="1400" w:type="pct"/>
            <w:tcBorders>
              <w:top w:val="nil"/>
              <w:left w:val="nil"/>
              <w:bottom w:val="nil"/>
              <w:right w:val="nil"/>
            </w:tcBorders>
            <w:shd w:val="clear" w:color="auto" w:fill="auto"/>
            <w:noWrap/>
            <w:hideMark/>
          </w:tcPr>
          <w:p>
            <w:pPr>
              <w:pStyle w:val="yTableNAm"/>
              <w:spacing w:before="60" w:after="60"/>
              <w:ind w:left="-66" w:right="-83"/>
              <w:rPr>
                <w:color w:val="000000"/>
                <w:sz w:val="16"/>
                <w:szCs w:val="16"/>
              </w:rPr>
            </w:pPr>
          </w:p>
        </w:tc>
        <w:tc>
          <w:tcPr>
            <w:tcW w:w="600" w:type="pct"/>
            <w:tcBorders>
              <w:top w:val="nil"/>
              <w:left w:val="nil"/>
              <w:bottom w:val="nil"/>
              <w:right w:val="nil"/>
            </w:tcBorders>
            <w:shd w:val="clear" w:color="auto" w:fill="auto"/>
            <w:noWrap/>
            <w:hideMark/>
          </w:tcPr>
          <w:p>
            <w:pPr>
              <w:pStyle w:val="yTableNAm"/>
              <w:tabs>
                <w:tab w:val="clear" w:pos="567"/>
              </w:tabs>
              <w:spacing w:before="60" w:after="60"/>
              <w:ind w:right="-54"/>
              <w:rPr>
                <w:sz w:val="16"/>
                <w:szCs w:val="16"/>
              </w:rPr>
            </w:pPr>
          </w:p>
        </w:tc>
        <w:tc>
          <w:tcPr>
            <w:tcW w:w="1001" w:type="pct"/>
            <w:tcBorders>
              <w:top w:val="nil"/>
              <w:left w:val="nil"/>
              <w:bottom w:val="nil"/>
              <w:right w:val="nil"/>
            </w:tcBorders>
            <w:shd w:val="clear" w:color="auto" w:fill="auto"/>
            <w:noWrap/>
            <w:hideMark/>
          </w:tcPr>
          <w:p>
            <w:pPr>
              <w:pStyle w:val="yTableNAm"/>
              <w:spacing w:before="60" w:after="60"/>
              <w:ind w:left="-20" w:right="-108"/>
              <w:rPr>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single" w:sz="4" w:space="0" w:color="auto"/>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b/>
                <w:bCs/>
                <w:color w:val="FFFFFF"/>
                <w:sz w:val="16"/>
                <w:szCs w:val="16"/>
              </w:rPr>
            </w:pPr>
            <w:r>
              <w:rPr>
                <w:b/>
                <w:bCs/>
                <w:color w:val="FFFFFF"/>
                <w:sz w:val="16"/>
                <w:szCs w:val="16"/>
              </w:rPr>
              <w:t>Health Service Provider (HSP)</w:t>
            </w:r>
          </w:p>
        </w:tc>
        <w:tc>
          <w:tcPr>
            <w:tcW w:w="600" w:type="pct"/>
            <w:tcBorders>
              <w:top w:val="single" w:sz="4" w:space="0" w:color="auto"/>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b/>
                <w:bCs/>
                <w:color w:val="FFFFFF"/>
                <w:sz w:val="16"/>
                <w:szCs w:val="16"/>
              </w:rPr>
            </w:pPr>
            <w:r>
              <w:rPr>
                <w:b/>
                <w:bCs/>
                <w:color w:val="FFFFFF"/>
                <w:sz w:val="16"/>
                <w:szCs w:val="16"/>
              </w:rPr>
              <w:t>Acronym</w:t>
            </w:r>
          </w:p>
        </w:tc>
        <w:tc>
          <w:tcPr>
            <w:tcW w:w="1001" w:type="pct"/>
            <w:tcBorders>
              <w:top w:val="nil"/>
              <w:left w:val="nil"/>
              <w:bottom w:val="nil"/>
              <w:right w:val="nil"/>
            </w:tcBorders>
            <w:shd w:val="clear" w:color="auto" w:fill="auto"/>
            <w:noWrap/>
            <w:hideMark/>
          </w:tcPr>
          <w:p>
            <w:pPr>
              <w:pStyle w:val="yTableNAm"/>
              <w:spacing w:before="60" w:after="60"/>
              <w:ind w:left="-20" w:right="-108"/>
              <w:rPr>
                <w:b/>
                <w:bCs/>
                <w:color w:val="FFFFFF"/>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sz w:val="16"/>
                <w:szCs w:val="16"/>
              </w:rPr>
            </w:pPr>
            <w:r>
              <w:rPr>
                <w:sz w:val="16"/>
                <w:szCs w:val="16"/>
              </w:rPr>
              <w:t>Child and Adolescent Health Service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sz w:val="16"/>
                <w:szCs w:val="16"/>
              </w:rPr>
            </w:pPr>
            <w:r>
              <w:rPr>
                <w:sz w:val="16"/>
                <w:szCs w:val="16"/>
              </w:rPr>
              <w:t>CAHS</w:t>
            </w:r>
          </w:p>
        </w:tc>
        <w:tc>
          <w:tcPr>
            <w:tcW w:w="1001" w:type="pct"/>
            <w:tcBorders>
              <w:top w:val="nil"/>
              <w:left w:val="nil"/>
              <w:bottom w:val="nil"/>
              <w:right w:val="nil"/>
            </w:tcBorders>
            <w:shd w:val="clear" w:color="auto" w:fill="auto"/>
            <w:noWrap/>
            <w:hideMark/>
          </w:tcPr>
          <w:p>
            <w:pPr>
              <w:pStyle w:val="yTableNAm"/>
              <w:spacing w:before="60" w:after="60"/>
              <w:ind w:left="-20" w:right="-108"/>
              <w:rPr>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East Metropolitan Health Service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EMHS</w:t>
            </w:r>
          </w:p>
        </w:tc>
        <w:tc>
          <w:tcPr>
            <w:tcW w:w="1001" w:type="pct"/>
            <w:tcBorders>
              <w:top w:val="nil"/>
              <w:left w:val="nil"/>
              <w:bottom w:val="nil"/>
              <w:right w:val="nil"/>
            </w:tcBorders>
            <w:shd w:val="clear" w:color="auto" w:fill="auto"/>
            <w:noWrap/>
            <w:hideMark/>
          </w:tcPr>
          <w:p>
            <w:pPr>
              <w:pStyle w:val="yTableNAm"/>
              <w:spacing w:before="60" w:after="60"/>
              <w:ind w:left="-20" w:right="-108"/>
              <w:rPr>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North Metropolitan Health Service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NMHS</w:t>
            </w:r>
          </w:p>
        </w:tc>
        <w:tc>
          <w:tcPr>
            <w:tcW w:w="1001" w:type="pct"/>
            <w:tcBorders>
              <w:top w:val="nil"/>
              <w:left w:val="nil"/>
              <w:bottom w:val="nil"/>
              <w:right w:val="nil"/>
            </w:tcBorders>
            <w:shd w:val="clear" w:color="auto" w:fill="auto"/>
            <w:noWrap/>
            <w:hideMark/>
          </w:tcPr>
          <w:p>
            <w:pPr>
              <w:pStyle w:val="yTableNAm"/>
              <w:spacing w:before="60" w:after="60"/>
              <w:ind w:left="-20" w:right="-108"/>
              <w:rPr>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South Metropolitan Health Service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SMHS</w:t>
            </w:r>
          </w:p>
        </w:tc>
        <w:tc>
          <w:tcPr>
            <w:tcW w:w="1001" w:type="pct"/>
            <w:tcBorders>
              <w:top w:val="nil"/>
              <w:left w:val="nil"/>
              <w:bottom w:val="nil"/>
              <w:right w:val="nil"/>
            </w:tcBorders>
            <w:shd w:val="clear" w:color="auto" w:fill="auto"/>
            <w:noWrap/>
            <w:hideMark/>
          </w:tcPr>
          <w:p>
            <w:pPr>
              <w:pStyle w:val="yTableNAm"/>
              <w:spacing w:before="60" w:after="60"/>
              <w:ind w:left="-20" w:right="-108"/>
              <w:rPr>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r>
        <w:trPr>
          <w:cantSplit/>
          <w:trHeight w:val="397"/>
        </w:trPr>
        <w:tc>
          <w:tcPr>
            <w:tcW w:w="1400" w:type="pct"/>
            <w:tcBorders>
              <w:top w:val="nil"/>
              <w:left w:val="single" w:sz="4" w:space="0" w:color="auto"/>
              <w:bottom w:val="single" w:sz="4" w:space="0" w:color="auto"/>
              <w:right w:val="single" w:sz="4" w:space="0" w:color="auto"/>
            </w:tcBorders>
            <w:shd w:val="clear" w:color="auto" w:fill="auto"/>
            <w:noWrap/>
            <w:hideMark/>
          </w:tcPr>
          <w:p>
            <w:pPr>
              <w:pStyle w:val="yTableNAm"/>
              <w:spacing w:before="60" w:after="60"/>
              <w:ind w:left="-66" w:right="-83"/>
              <w:rPr>
                <w:color w:val="000000"/>
                <w:sz w:val="16"/>
                <w:szCs w:val="16"/>
              </w:rPr>
            </w:pPr>
            <w:r>
              <w:rPr>
                <w:color w:val="000000"/>
                <w:sz w:val="16"/>
                <w:szCs w:val="16"/>
              </w:rPr>
              <w:t>WA Country Health Service</w:t>
            </w:r>
          </w:p>
        </w:tc>
        <w:tc>
          <w:tcPr>
            <w:tcW w:w="600" w:type="pct"/>
            <w:tcBorders>
              <w:top w:val="nil"/>
              <w:left w:val="nil"/>
              <w:bottom w:val="single" w:sz="4" w:space="0" w:color="auto"/>
              <w:right w:val="single" w:sz="4" w:space="0" w:color="auto"/>
            </w:tcBorders>
            <w:shd w:val="clear" w:color="auto" w:fill="auto"/>
            <w:noWrap/>
            <w:hideMark/>
          </w:tcPr>
          <w:p>
            <w:pPr>
              <w:pStyle w:val="yTableNAm"/>
              <w:tabs>
                <w:tab w:val="clear" w:pos="567"/>
              </w:tabs>
              <w:spacing w:before="60" w:after="60"/>
              <w:ind w:right="-54"/>
              <w:rPr>
                <w:color w:val="000000"/>
                <w:sz w:val="16"/>
                <w:szCs w:val="16"/>
              </w:rPr>
            </w:pPr>
            <w:r>
              <w:rPr>
                <w:color w:val="000000"/>
                <w:sz w:val="16"/>
                <w:szCs w:val="16"/>
              </w:rPr>
              <w:t>WACHS</w:t>
            </w:r>
          </w:p>
        </w:tc>
        <w:tc>
          <w:tcPr>
            <w:tcW w:w="1001" w:type="pct"/>
            <w:tcBorders>
              <w:top w:val="nil"/>
              <w:left w:val="nil"/>
              <w:bottom w:val="nil"/>
              <w:right w:val="nil"/>
            </w:tcBorders>
            <w:shd w:val="clear" w:color="auto" w:fill="auto"/>
            <w:noWrap/>
            <w:hideMark/>
          </w:tcPr>
          <w:p>
            <w:pPr>
              <w:pStyle w:val="yTableNAm"/>
              <w:spacing w:before="60" w:after="60"/>
              <w:ind w:left="-20" w:right="-108"/>
              <w:rPr>
                <w:color w:val="000000"/>
                <w:sz w:val="16"/>
                <w:szCs w:val="16"/>
              </w:rPr>
            </w:pPr>
          </w:p>
        </w:tc>
        <w:tc>
          <w:tcPr>
            <w:tcW w:w="501" w:type="pct"/>
            <w:tcBorders>
              <w:top w:val="nil"/>
              <w:left w:val="nil"/>
              <w:bottom w:val="nil"/>
              <w:right w:val="nil"/>
            </w:tcBorders>
            <w:shd w:val="clear" w:color="auto" w:fill="auto"/>
            <w:noWrap/>
            <w:hideMark/>
          </w:tcPr>
          <w:p>
            <w:pPr>
              <w:pStyle w:val="yTableNAm"/>
              <w:tabs>
                <w:tab w:val="clear" w:pos="567"/>
              </w:tabs>
              <w:spacing w:before="60" w:after="60"/>
              <w:ind w:left="-23" w:right="-122"/>
              <w:rPr>
                <w:sz w:val="16"/>
                <w:szCs w:val="16"/>
              </w:rPr>
            </w:pPr>
          </w:p>
        </w:tc>
        <w:tc>
          <w:tcPr>
            <w:tcW w:w="499" w:type="pct"/>
            <w:tcBorders>
              <w:top w:val="nil"/>
              <w:left w:val="nil"/>
              <w:bottom w:val="nil"/>
              <w:right w:val="nil"/>
            </w:tcBorders>
            <w:shd w:val="clear" w:color="auto" w:fill="auto"/>
            <w:noWrap/>
            <w:hideMark/>
          </w:tcPr>
          <w:p>
            <w:pPr>
              <w:pStyle w:val="yTableNAm"/>
              <w:spacing w:before="60" w:after="60"/>
              <w:ind w:left="-1"/>
              <w:rPr>
                <w:sz w:val="16"/>
                <w:szCs w:val="16"/>
              </w:rPr>
            </w:pPr>
          </w:p>
        </w:tc>
        <w:tc>
          <w:tcPr>
            <w:tcW w:w="436" w:type="pct"/>
            <w:tcBorders>
              <w:top w:val="nil"/>
              <w:left w:val="nil"/>
              <w:bottom w:val="nil"/>
              <w:right w:val="nil"/>
            </w:tcBorders>
            <w:shd w:val="clear" w:color="auto" w:fill="auto"/>
            <w:noWrap/>
            <w:hideMark/>
          </w:tcPr>
          <w:p>
            <w:pPr>
              <w:pStyle w:val="yTableNAm"/>
              <w:spacing w:before="60" w:after="60"/>
              <w:rPr>
                <w:sz w:val="16"/>
                <w:szCs w:val="16"/>
              </w:rPr>
            </w:pPr>
          </w:p>
        </w:tc>
        <w:tc>
          <w:tcPr>
            <w:tcW w:w="563" w:type="pct"/>
            <w:tcBorders>
              <w:top w:val="nil"/>
              <w:left w:val="nil"/>
              <w:bottom w:val="nil"/>
              <w:right w:val="nil"/>
            </w:tcBorders>
            <w:shd w:val="clear" w:color="auto" w:fill="auto"/>
            <w:noWrap/>
            <w:hideMark/>
          </w:tcPr>
          <w:p>
            <w:pPr>
              <w:pStyle w:val="yTableNAm"/>
              <w:spacing w:before="60" w:after="60"/>
              <w:rPr>
                <w:sz w:val="16"/>
                <w:szCs w:val="16"/>
              </w:rPr>
            </w:pPr>
          </w:p>
        </w:tc>
      </w:tr>
    </w:tbl>
    <w:p>
      <w:pPr>
        <w:pStyle w:val="yFootnotesection"/>
      </w:pPr>
      <w:r>
        <w:tab/>
        <w:t>[Schedule 2 inserted: Gazette 30 Jun 2023 p. 2213</w:t>
      </w:r>
      <w:r>
        <w:noBreakHyphen/>
        <w:t>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6"/>
          <w:headerReference w:type="default" r:id="rId27"/>
          <w:pgSz w:w="11907" w:h="16840" w:code="9"/>
          <w:pgMar w:top="2381" w:right="2410" w:bottom="3544" w:left="2410" w:header="720" w:footer="3544" w:gutter="0"/>
          <w:cols w:space="720"/>
        </w:sectPr>
      </w:pPr>
      <w:r>
        <w:t xml:space="preserve"> </w:t>
      </w:r>
    </w:p>
    <w:p>
      <w:pPr>
        <w:pStyle w:val="nHeading2"/>
      </w:pPr>
      <w:bookmarkStart w:id="10" w:name="_Toc155084508"/>
      <w:r>
        <w:lastRenderedPageBreak/>
        <w:t>Notes</w:t>
      </w:r>
      <w:bookmarkEnd w:id="10"/>
    </w:p>
    <w:p>
      <w:pPr>
        <w:pStyle w:val="nStatement"/>
      </w:pPr>
      <w:r>
        <w:t xml:space="preserve">This is a compilation of the </w:t>
      </w:r>
      <w:r>
        <w:rPr>
          <w:i/>
          <w:noProof/>
        </w:rPr>
        <w:t>Health Services (Health Service Provider Land) Order 2016</w:t>
      </w:r>
      <w:r>
        <w:t xml:space="preserve"> and includes amendments made by other written laws. For provisions that have come into operation see the compilation table.</w:t>
      </w:r>
    </w:p>
    <w:p>
      <w:pPr>
        <w:pStyle w:val="nHeading3"/>
      </w:pPr>
      <w:bookmarkStart w:id="11" w:name="_Toc155084509"/>
      <w:r>
        <w:t>Compilation table</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rPr>
              <w:t>Health Services (Health Service Provider Land) Amendment Order (No. 5) 2018</w:t>
            </w:r>
          </w:p>
        </w:tc>
        <w:tc>
          <w:tcPr>
            <w:tcW w:w="1276" w:type="dxa"/>
            <w:tcBorders>
              <w:top w:val="nil"/>
              <w:bottom w:val="nil"/>
            </w:tcBorders>
          </w:tcPr>
          <w:p>
            <w:pPr>
              <w:pStyle w:val="nTable"/>
              <w:spacing w:after="40"/>
            </w:pPr>
            <w:r>
              <w:t>30 Nov 2018 p. 4595</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r>
        <w:tc>
          <w:tcPr>
            <w:tcW w:w="3118" w:type="dxa"/>
            <w:tcBorders>
              <w:top w:val="nil"/>
              <w:bottom w:val="nil"/>
            </w:tcBorders>
          </w:tcPr>
          <w:p>
            <w:pPr>
              <w:pStyle w:val="nTable"/>
              <w:spacing w:after="40"/>
              <w:rPr>
                <w:i/>
              </w:rPr>
            </w:pPr>
            <w:r>
              <w:rPr>
                <w:i/>
              </w:rPr>
              <w:t>Health Services (Health Service Provider Land) Amendment Order 2019</w:t>
            </w:r>
          </w:p>
        </w:tc>
        <w:tc>
          <w:tcPr>
            <w:tcW w:w="1276" w:type="dxa"/>
            <w:tcBorders>
              <w:top w:val="nil"/>
              <w:bottom w:val="nil"/>
            </w:tcBorders>
          </w:tcPr>
          <w:p>
            <w:pPr>
              <w:pStyle w:val="nTable"/>
              <w:spacing w:after="40"/>
            </w:pPr>
            <w:r>
              <w:t>15 Jan 2019 p. 58</w:t>
            </w:r>
          </w:p>
        </w:tc>
        <w:tc>
          <w:tcPr>
            <w:tcW w:w="2693" w:type="dxa"/>
            <w:tcBorders>
              <w:top w:val="nil"/>
              <w:bottom w:val="nil"/>
            </w:tcBorders>
          </w:tcPr>
          <w:p>
            <w:pPr>
              <w:pStyle w:val="nTable"/>
              <w:spacing w:after="40"/>
              <w:rPr>
                <w:bCs/>
                <w:snapToGrid w:val="0"/>
                <w:spacing w:val="-2"/>
              </w:rPr>
            </w:pPr>
            <w:r>
              <w:rPr>
                <w:bCs/>
                <w:snapToGrid w:val="0"/>
                <w:spacing w:val="-2"/>
              </w:rPr>
              <w:t>cl. 1 and 2: 15</w:t>
            </w:r>
            <w:r>
              <w:rPr>
                <w:snapToGrid w:val="0"/>
              </w:rPr>
              <w:t> Jan 2019</w:t>
            </w:r>
            <w:r>
              <w:rPr>
                <w:bCs/>
                <w:snapToGrid w:val="0"/>
                <w:spacing w:val="-2"/>
              </w:rPr>
              <w:t xml:space="preserve"> (see cl. 2(a));</w:t>
            </w:r>
            <w:r>
              <w:rPr>
                <w:bCs/>
                <w:snapToGrid w:val="0"/>
                <w:spacing w:val="-2"/>
              </w:rPr>
              <w:br/>
              <w:t xml:space="preserve">Order other than cl. 1 and 2: </w:t>
            </w:r>
            <w:r>
              <w:rPr>
                <w:snapToGrid w:val="0"/>
              </w:rPr>
              <w:t>16 Jan 2019</w:t>
            </w:r>
            <w:r>
              <w:rPr>
                <w:bCs/>
                <w:snapToGrid w:val="0"/>
                <w:spacing w:val="-2"/>
              </w:rPr>
              <w:t xml:space="preserve"> (see cl. 2(b))</w:t>
            </w:r>
          </w:p>
        </w:tc>
      </w:tr>
      <w:tr>
        <w:tc>
          <w:tcPr>
            <w:tcW w:w="3118" w:type="dxa"/>
            <w:tcBorders>
              <w:top w:val="nil"/>
              <w:bottom w:val="nil"/>
            </w:tcBorders>
          </w:tcPr>
          <w:p>
            <w:pPr>
              <w:pStyle w:val="nTable"/>
              <w:spacing w:after="40"/>
              <w:rPr>
                <w:i/>
              </w:rPr>
            </w:pPr>
            <w:r>
              <w:rPr>
                <w:i/>
              </w:rPr>
              <w:t>Health Services (Health Service Provider Land) Amendment Order 2021</w:t>
            </w:r>
          </w:p>
        </w:tc>
        <w:tc>
          <w:tcPr>
            <w:tcW w:w="1276" w:type="dxa"/>
            <w:tcBorders>
              <w:top w:val="nil"/>
              <w:bottom w:val="nil"/>
            </w:tcBorders>
          </w:tcPr>
          <w:p>
            <w:pPr>
              <w:pStyle w:val="nTable"/>
              <w:spacing w:after="40"/>
            </w:pPr>
            <w:r>
              <w:t>SL 2021/23 12 Feb 2021</w:t>
            </w:r>
          </w:p>
        </w:tc>
        <w:tc>
          <w:tcPr>
            <w:tcW w:w="2693" w:type="dxa"/>
            <w:tcBorders>
              <w:top w:val="nil"/>
              <w:bottom w:val="nil"/>
            </w:tcBorders>
          </w:tcPr>
          <w:p>
            <w:pPr>
              <w:pStyle w:val="nTable"/>
              <w:spacing w:after="40"/>
              <w:rPr>
                <w:bCs/>
                <w:snapToGrid w:val="0"/>
                <w:spacing w:val="-2"/>
              </w:rPr>
            </w:pPr>
            <w:r>
              <w:rPr>
                <w:bCs/>
                <w:snapToGrid w:val="0"/>
                <w:spacing w:val="-2"/>
              </w:rPr>
              <w:t>cl. 1 and 2: 12 Feb 2021 (see cl. 2(a));</w:t>
            </w:r>
            <w:r>
              <w:rPr>
                <w:bCs/>
                <w:snapToGrid w:val="0"/>
                <w:spacing w:val="-2"/>
              </w:rPr>
              <w:br/>
              <w:t>Order other than cl. 1 and 2: 13 Feb 2021 (see cl. 2(b))</w:t>
            </w:r>
          </w:p>
        </w:tc>
      </w:tr>
      <w:tr>
        <w:tc>
          <w:tcPr>
            <w:tcW w:w="3118" w:type="dxa"/>
            <w:tcBorders>
              <w:top w:val="nil"/>
            </w:tcBorders>
          </w:tcPr>
          <w:p>
            <w:pPr>
              <w:pStyle w:val="nTable"/>
              <w:spacing w:after="40"/>
              <w:rPr>
                <w:i/>
              </w:rPr>
            </w:pPr>
            <w:r>
              <w:rPr>
                <w:i/>
              </w:rPr>
              <w:t>Health Services (Health Service Provider Land) Amendment Order 2023</w:t>
            </w:r>
          </w:p>
        </w:tc>
        <w:tc>
          <w:tcPr>
            <w:tcW w:w="1276" w:type="dxa"/>
            <w:tcBorders>
              <w:top w:val="nil"/>
            </w:tcBorders>
            <w:shd w:val="clear" w:color="auto" w:fill="auto"/>
          </w:tcPr>
          <w:p>
            <w:pPr>
              <w:pStyle w:val="nTable"/>
              <w:spacing w:after="40"/>
            </w:pPr>
            <w:r>
              <w:t>30 Jun 2023 p. 2213</w:t>
            </w:r>
            <w:r>
              <w:noBreakHyphen/>
              <w:t>20</w:t>
            </w:r>
          </w:p>
        </w:tc>
        <w:tc>
          <w:tcPr>
            <w:tcW w:w="2693" w:type="dxa"/>
            <w:tcBorders>
              <w:top w:val="nil"/>
            </w:tcBorders>
          </w:tcPr>
          <w:p>
            <w:pPr>
              <w:pStyle w:val="nTable"/>
              <w:spacing w:after="40"/>
              <w:rPr>
                <w:bCs/>
                <w:snapToGrid w:val="0"/>
                <w:spacing w:val="-2"/>
              </w:rPr>
            </w:pPr>
            <w:r>
              <w:rPr>
                <w:bCs/>
                <w:snapToGrid w:val="0"/>
                <w:spacing w:val="-2"/>
              </w:rPr>
              <w:t>cl. 1 and 2: 1 Jul 2023 (see cl. 2(a));</w:t>
            </w:r>
            <w:r>
              <w:rPr>
                <w:bCs/>
                <w:snapToGrid w:val="0"/>
                <w:spacing w:val="-2"/>
              </w:rPr>
              <w:br/>
              <w:t>Order other than cl. 1 and 2: 2 Jul 2023 (see cl. 2(b))</w:t>
            </w:r>
          </w:p>
        </w:tc>
      </w:tr>
    </w:tbl>
    <w:p/>
    <w:p>
      <w:r>
        <w:br w:type="page"/>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638C5E3"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1184920" w14:textId="536FC658" w:rsidR="00051079" w:rsidRDefault="0005107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BA2E49" w14:textId="77777777" w:rsidR="00051079" w:rsidRDefault="0005107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08E824F" w14:textId="451D77EC" w:rsidR="00051079" w:rsidRDefault="0005107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629D7BC" w14:textId="77777777" w:rsidR="00051079" w:rsidRDefault="0005107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00-h0-02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9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 w:name="WAFER_20210209140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9140629_GUID" w:val="8f9f9296-0035-4474-9aba-f0106caa29ca"/>
    <w:docVar w:name="WAFER_202306290835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9083516_GUID" w:val="cff1c174-e088-46f0-a846-3a98e8b9dd7b"/>
    <w:docVar w:name="WAFER_20231228140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909_GUID" w:val="8e030cce-97e3-497d-bfcb-5aaf3933b5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B8BE6AFD-BB03-4921-A6BB-E28CD011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uiPriority w:val="99"/>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tiff"/><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2C5C-388C-4286-8EC0-5EE6B57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4556</Words>
  <Characters>23560</Characters>
  <Application>Microsoft Office Word</Application>
  <DocSecurity>0</DocSecurity>
  <Lines>2945</Lines>
  <Paragraphs>2342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2016 - 00-h0-02</dc:title>
  <dc:subject/>
  <dc:creator/>
  <cp:keywords/>
  <dc:description/>
  <cp:lastModifiedBy>Master Repository Process</cp:lastModifiedBy>
  <cp:revision>4</cp:revision>
  <cp:lastPrinted>2016-06-20T07:01:00Z</cp:lastPrinted>
  <dcterms:created xsi:type="dcterms:W3CDTF">2024-01-02T02:41:00Z</dcterms:created>
  <dcterms:modified xsi:type="dcterms:W3CDTF">2024-01-02T02:41:00Z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AsAtDate">
    <vt:lpwstr>02 Jul 2023</vt:lpwstr>
  </property>
  <property fmtid="{D5CDD505-2E9C-101B-9397-08002B2CF9AE}" pid="6" name="Suffix">
    <vt:lpwstr>00-h0-02</vt:lpwstr>
  </property>
  <property fmtid="{D5CDD505-2E9C-101B-9397-08002B2CF9AE}" pid="7" name="Official">
    <vt:lpwstr/>
  </property>
  <property fmtid="{D5CDD505-2E9C-101B-9397-08002B2CF9AE}" pid="8" name="CommencementDate">
    <vt:lpwstr>20230702</vt:lpwstr>
  </property>
  <property fmtid="{D5CDD505-2E9C-101B-9397-08002B2CF9AE}" pid="9" name="CommencementAsAt">
    <vt:filetime>2023-07-01T16:00:00Z</vt:filetime>
  </property>
  <property fmtid="{D5CDD505-2E9C-101B-9397-08002B2CF9AE}" pid="10" name="CommencementYear">
    <vt:lpwstr>2023</vt:lpwstr>
  </property>
</Properties>
</file>