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(Surveys and Certificates of Survey)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(Surveys and Certificates of Survey)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_Toc155176952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_Toc155176953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_Toc155176954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these regulations</w:t>
      </w:r>
      <w:r>
        <w:tab/>
      </w:r>
      <w:r>
        <w:fldChar w:fldCharType="begin"/>
      </w:r>
      <w:r>
        <w:instrText xml:space="preserve"> PAGEREF _Toc155176955 \h </w:instrText>
      </w:r>
      <w:r>
        <w:fldChar w:fldCharType="separate"/>
      </w:r>
      <w:r>
        <w:t>2</w:t>
      </w:r>
      <w:r>
        <w:fldChar w:fldCharType="end"/>
      </w:r>
    </w:p>
    <w:p>
      <w:pPr>
        <w:pStyle w:val="TOC8"/>
        <w:rPr>
          <w:rFonts w:asciiTheme="minorHAnsi" w:eastAsiaTheme="minorEastAsia" w:hAnsiTheme="minorHAnsi" w:cstheme="minorBidi"/>
          <w:szCs w:val="22"/>
        </w:rPr>
      </w:pPr>
      <w:r>
        <w:t>4AA.</w:t>
      </w:r>
      <w:r>
        <w:rPr>
          <w:snapToGrid w:val="0"/>
        </w:rPr>
        <w:tab/>
        <w:t>Classification of vessels</w:t>
      </w:r>
      <w:r>
        <w:tab/>
      </w:r>
      <w:r>
        <w:fldChar w:fldCharType="begin"/>
      </w:r>
      <w:r>
        <w:instrText xml:space="preserve"> PAGEREF _Toc155176956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Fees and charges (Sch. 1)</w:t>
      </w:r>
      <w:r>
        <w:tab/>
      </w:r>
      <w:r>
        <w:fldChar w:fldCharType="begin"/>
      </w:r>
      <w:r>
        <w:instrText xml:space="preserve"> PAGEREF _Toc155176957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Survey requirements</w:t>
      </w:r>
    </w:p>
    <w:p>
      <w:pPr>
        <w:pStyle w:val="TOC8"/>
        <w:rPr>
          <w:rFonts w:asciiTheme="minorHAnsi" w:eastAsiaTheme="minorEastAsia" w:hAnsiTheme="minorHAnsi" w:cstheme="minorBidi"/>
          <w:szCs w:val="22"/>
        </w:rPr>
      </w:pPr>
      <w:r>
        <w:t>5</w:t>
      </w:r>
      <w:r>
        <w:rPr>
          <w:snapToGrid w:val="0"/>
        </w:rPr>
        <w:t>.</w:t>
      </w:r>
      <w:r>
        <w:rPr>
          <w:snapToGrid w:val="0"/>
        </w:rPr>
        <w:tab/>
        <w:t>Initial survey</w:t>
      </w:r>
      <w:r>
        <w:tab/>
      </w:r>
      <w:r>
        <w:fldChar w:fldCharType="begin"/>
      </w:r>
      <w:r>
        <w:instrText xml:space="preserve"> PAGEREF _Toc155176959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Periodic surveys and inspections</w:t>
      </w:r>
      <w:r>
        <w:tab/>
      </w:r>
      <w:r>
        <w:fldChar w:fldCharType="begin"/>
      </w:r>
      <w:r>
        <w:instrText xml:space="preserve"> PAGEREF _Toc155176960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Half of fee under r. 5(2) and 6(6) payable if vessel is classed</w:t>
      </w:r>
      <w:r>
        <w:tab/>
      </w:r>
      <w:r>
        <w:fldChar w:fldCharType="begin"/>
      </w:r>
      <w:r>
        <w:instrText xml:space="preserve"> PAGEREF _Toc155176961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Random inspections, power to make</w:t>
      </w:r>
      <w:r>
        <w:tab/>
      </w:r>
      <w:r>
        <w:fldChar w:fldCharType="begin"/>
      </w:r>
      <w:r>
        <w:instrText xml:space="preserve"> PAGEREF _Toc155176962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factors affecting survey, owner to inform CEO of</w:t>
      </w:r>
      <w:r>
        <w:tab/>
      </w:r>
      <w:r>
        <w:fldChar w:fldCharType="begin"/>
      </w:r>
      <w:r>
        <w:instrText xml:space="preserve"> PAGEREF _Toc155176963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Accidents etc. to or on vessel, owner to inform CEO of</w:t>
      </w:r>
      <w:r>
        <w:tab/>
      </w:r>
      <w:r>
        <w:fldChar w:fldCharType="begin"/>
      </w:r>
      <w:r>
        <w:instrText xml:space="preserve"> PAGEREF _Toc155176964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 2E and 3E vessels, CEO may exempt from survey</w:t>
      </w:r>
      <w:r>
        <w:tab/>
      </w:r>
      <w:r>
        <w:fldChar w:fldCharType="begin"/>
      </w:r>
      <w:r>
        <w:instrText xml:space="preserve"> PAGEREF _Toc155176965 \h </w:instrText>
      </w:r>
      <w:r>
        <w:fldChar w:fldCharType="separate"/>
      </w:r>
      <w:r>
        <w:t>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Certain fishing vessels and class 2 vessels exempt from r. 5 and 6</w:t>
      </w:r>
      <w:r>
        <w:tab/>
      </w:r>
      <w:r>
        <w:fldChar w:fldCharType="begin"/>
      </w:r>
      <w:r>
        <w:instrText xml:space="preserve"> PAGEREF _Toc155176966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w:t>
      </w:r>
    </w:p>
    <w:p>
      <w:pPr>
        <w:pStyle w:val="TOC8"/>
        <w:rPr>
          <w:rFonts w:asciiTheme="minorHAnsi" w:eastAsiaTheme="minorEastAsia" w:hAnsiTheme="minorHAnsi" w:cstheme="minorBidi"/>
          <w:szCs w:val="22"/>
        </w:rPr>
      </w:pPr>
      <w:r>
        <w:t>11</w:t>
      </w:r>
      <w:r>
        <w:rPr>
          <w:snapToGrid w:val="0"/>
        </w:rPr>
        <w:t>.</w:t>
      </w:r>
      <w:r>
        <w:rPr>
          <w:snapToGrid w:val="0"/>
        </w:rPr>
        <w:tab/>
        <w:t>Certificate of survey, content and issue of</w:t>
      </w:r>
      <w:r>
        <w:tab/>
      </w:r>
      <w:r>
        <w:fldChar w:fldCharType="begin"/>
      </w:r>
      <w:r>
        <w:instrText xml:space="preserve"> PAGEREF _Toc155176968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Compliance with survey requirements, evidence of on vessel</w:t>
      </w:r>
      <w:r>
        <w:tab/>
      </w:r>
      <w:r>
        <w:fldChar w:fldCharType="begin"/>
      </w:r>
      <w:r>
        <w:instrText xml:space="preserve"> PAGEREF _Toc155176969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Revalidation or renewal of certificate of survey after subsequent survey</w:t>
      </w:r>
      <w:r>
        <w:tab/>
      </w:r>
      <w:r>
        <w:fldChar w:fldCharType="begin"/>
      </w:r>
      <w:r>
        <w:instrText xml:space="preserve"> PAGEREF _Toc155176970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Extension of certificate of survey</w:t>
      </w:r>
      <w:r>
        <w:tab/>
      </w:r>
      <w:r>
        <w:fldChar w:fldCharType="begin"/>
      </w:r>
      <w:r>
        <w:instrText xml:space="preserve"> PAGEREF _Toc155176971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Suspending or cancelling certificate of survey</w:t>
      </w:r>
      <w:r>
        <w:tab/>
      </w:r>
      <w:r>
        <w:fldChar w:fldCharType="begin"/>
      </w:r>
      <w:r>
        <w:instrText xml:space="preserve"> PAGEREF _Toc155176972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etc. of surveyed vessel, owner to notify CEO of</w:t>
      </w:r>
      <w:r>
        <w:tab/>
      </w:r>
      <w:r>
        <w:fldChar w:fldCharType="begin"/>
      </w:r>
      <w:r>
        <w:instrText xml:space="preserve"> PAGEREF _Toc155176973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survey issued outside WA, acceptance of</w:t>
      </w:r>
      <w:r>
        <w:tab/>
      </w:r>
      <w:r>
        <w:fldChar w:fldCharType="begin"/>
      </w:r>
      <w:r>
        <w:instrText xml:space="preserve"> PAGEREF _Toc155176974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 programme approved outside WA may continue in WA</w:t>
      </w:r>
      <w:r>
        <w:tab/>
      </w:r>
      <w:r>
        <w:fldChar w:fldCharType="begin"/>
      </w:r>
      <w:r>
        <w:instrText xml:space="preserve"> PAGEREF _Toc155176975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Single voyage towage permits</w:t>
      </w:r>
    </w:p>
    <w:p>
      <w:pPr>
        <w:pStyle w:val="TOC8"/>
        <w:rPr>
          <w:rFonts w:asciiTheme="minorHAnsi" w:eastAsiaTheme="minorEastAsia" w:hAnsiTheme="minorHAnsi" w:cstheme="minorBidi"/>
          <w:szCs w:val="22"/>
        </w:rPr>
      </w:pPr>
      <w:r>
        <w:t>19</w:t>
      </w:r>
      <w:r>
        <w:rPr>
          <w:snapToGrid w:val="0"/>
        </w:rPr>
        <w:t>.</w:t>
      </w:r>
      <w:r>
        <w:rPr>
          <w:snapToGrid w:val="0"/>
        </w:rPr>
        <w:tab/>
        <w:t>Application of this Part</w:t>
      </w:r>
      <w:r>
        <w:tab/>
      </w:r>
      <w:r>
        <w:fldChar w:fldCharType="begin"/>
      </w:r>
      <w:r>
        <w:instrText xml:space="preserve"> PAGEREF _Toc155176977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towage permit</w:t>
      </w:r>
      <w:r>
        <w:tab/>
      </w:r>
      <w:r>
        <w:fldChar w:fldCharType="begin"/>
      </w:r>
      <w:r>
        <w:instrText xml:space="preserve"> PAGEREF _Toc155176978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of towage permit</w:t>
      </w:r>
      <w:r>
        <w:tab/>
      </w:r>
      <w:r>
        <w:fldChar w:fldCharType="begin"/>
      </w:r>
      <w:r>
        <w:instrText xml:space="preserve"> PAGEREF _Toc155176979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 for vessel to be towed without towage permit</w:t>
      </w:r>
      <w:r>
        <w:tab/>
      </w:r>
      <w:r>
        <w:fldChar w:fldCharType="begin"/>
      </w:r>
      <w:r>
        <w:instrText xml:space="preserve"> PAGEREF _Toc155176980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Survey fees</w:t>
      </w:r>
      <w:r>
        <w:tab/>
      </w:r>
      <w:r>
        <w:fldChar w:fldCharType="begin"/>
      </w:r>
      <w:r>
        <w:instrText xml:space="preserve"> PAGEREF _Toc155176982 \h </w:instrText>
      </w:r>
      <w:r>
        <w:fldChar w:fldCharType="separate"/>
      </w:r>
      <w:r>
        <w:t>20</w:t>
      </w:r>
      <w:r>
        <w:fldChar w:fldCharType="end"/>
      </w:r>
    </w:p>
    <w:p>
      <w:pPr>
        <w:pStyle w:val="TOC8"/>
        <w:rPr>
          <w:rFonts w:asciiTheme="minorHAnsi" w:eastAsiaTheme="minorEastAsia" w:hAnsiTheme="minorHAnsi" w:cstheme="minorBidi"/>
          <w:szCs w:val="22"/>
        </w:rPr>
      </w:pPr>
      <w:r>
        <w:t>2.</w:t>
      </w:r>
      <w:r>
        <w:tab/>
        <w:t>Other fees and charges</w:t>
      </w:r>
      <w:r>
        <w:tab/>
      </w:r>
      <w:r>
        <w:fldChar w:fldCharType="begin"/>
      </w:r>
      <w:r>
        <w:instrText xml:space="preserve"> PAGEREF _Toc155176983 \h </w:instrText>
      </w:r>
      <w:r>
        <w:fldChar w:fldCharType="separate"/>
      </w:r>
      <w:r>
        <w:t>31</w:t>
      </w:r>
      <w:r>
        <w:fldChar w:fldCharType="end"/>
      </w:r>
    </w:p>
    <w:p>
      <w:pPr>
        <w:pStyle w:val="TOC8"/>
        <w:rPr>
          <w:rFonts w:asciiTheme="minorHAnsi" w:eastAsiaTheme="minorEastAsia" w:hAnsiTheme="minorHAnsi" w:cstheme="minorBidi"/>
          <w:szCs w:val="22"/>
        </w:rPr>
      </w:pPr>
      <w:r>
        <w:t>3.</w:t>
      </w:r>
      <w:r>
        <w:tab/>
        <w:t>Fees for hire and drive vessels</w:t>
      </w:r>
      <w:r>
        <w:tab/>
      </w:r>
      <w:r>
        <w:fldChar w:fldCharType="begin"/>
      </w:r>
      <w:r>
        <w:instrText xml:space="preserve"> PAGEREF _Toc155176984 \h </w:instrText>
      </w:r>
      <w:r>
        <w:fldChar w:fldCharType="separate"/>
      </w:r>
      <w:r>
        <w:t>36</w:t>
      </w:r>
      <w:r>
        <w:fldChar w:fldCharType="end"/>
      </w:r>
    </w:p>
    <w:p>
      <w:pPr>
        <w:pStyle w:val="TOC8"/>
        <w:rPr>
          <w:rFonts w:asciiTheme="minorHAnsi" w:eastAsiaTheme="minorEastAsia" w:hAnsiTheme="minorHAnsi" w:cstheme="minorBidi"/>
          <w:szCs w:val="22"/>
        </w:rPr>
      </w:pPr>
      <w:r>
        <w:t>4.</w:t>
      </w:r>
      <w:r>
        <w:tab/>
        <w:t>Annual exemption fee</w:t>
      </w:r>
      <w:r>
        <w:tab/>
      </w:r>
      <w:r>
        <w:fldChar w:fldCharType="begin"/>
      </w:r>
      <w:r>
        <w:instrText xml:space="preserve"> PAGEREF _Toc155176985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Survey requirements and intervals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_Toc155176989 \h </w:instrText>
      </w:r>
      <w:r>
        <w:fldChar w:fldCharType="separate"/>
      </w:r>
      <w:r>
        <w:t>45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_Toc155176990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rPr>
          <w:snapToGrid w:val="0"/>
        </w:rPr>
      </w:pPr>
      <w:r>
        <w:rPr>
          <w:snapToGrid w:val="0"/>
        </w:rPr>
        <w:lastRenderedPageBreak/>
        <w:t>Western Australian Marine Act 1982</w:t>
      </w:r>
    </w:p>
    <w:p>
      <w:pPr>
        <w:pStyle w:val="NameofActReg"/>
        <w:spacing w:after="720"/>
      </w:pPr>
      <w:r>
        <w:t>W.A. Marine (Surveys and Certificates of Survey) Regulations 1983</w:t>
      </w:r>
    </w:p>
    <w:p>
      <w:pPr>
        <w:pStyle w:val="Heading2"/>
        <w:pageBreakBefore w:val="0"/>
      </w:pPr>
      <w:bookmarkStart w:id="3" w:name="_Toc155176951"/>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176952"/>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snapToGrid w:val="0"/>
        </w:rPr>
        <w:t>.</w:t>
      </w:r>
    </w:p>
    <w:p>
      <w:pPr>
        <w:pStyle w:val="Heading5"/>
        <w:rPr>
          <w:snapToGrid w:val="0"/>
        </w:rPr>
      </w:pPr>
      <w:bookmarkStart w:id="5" w:name="_Toc15517695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6" w:name="_Toc155176954"/>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class</w:t>
      </w:r>
      <w:r>
        <w:t xml:space="preserve"> means a class or service category of a vessel determined in the manner provided in the Code;</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inspection</w:t>
      </w:r>
      <w:r>
        <w:t xml:space="preserve"> means a visual inspection performed by a person approved for the purpose by the Chief Executive Officer;</w:t>
      </w:r>
    </w:p>
    <w:p>
      <w:pPr>
        <w:pStyle w:val="Defstart"/>
      </w:pPr>
      <w:r>
        <w:tab/>
      </w:r>
      <w:r>
        <w:rPr>
          <w:rStyle w:val="CharDefText"/>
        </w:rPr>
        <w:t>List 7 vessel</w:t>
      </w:r>
      <w:r>
        <w:t xml:space="preserve"> means a new vessel as defined in clause 2 of Amendment List 7 to the Code as adopted on 7 November 2008;</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tab/>
      </w:r>
      <w:r>
        <w:rPr>
          <w:rStyle w:val="CharDefText"/>
        </w:rPr>
        <w:t>measured length</w:t>
      </w:r>
      <w:r>
        <w:t xml:space="preserve"> has the meaning given in the Code;</w:t>
      </w:r>
    </w:p>
    <w:p>
      <w:pPr>
        <w:pStyle w:val="Defstart"/>
      </w:pPr>
      <w:r>
        <w:lastRenderedPageBreak/>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pPr>
        <w:pStyle w:val="Defstart"/>
      </w:pPr>
      <w:r>
        <w:rPr>
          <w:b/>
        </w:rPr>
        <w:tab/>
      </w:r>
      <w:r>
        <w:rPr>
          <w:rStyle w:val="CharDefText"/>
        </w:rPr>
        <w:t>specified form</w:t>
      </w:r>
      <w:r>
        <w:t xml:space="preserve"> means a form specified for the purpose by the Minister;</w:t>
      </w:r>
    </w:p>
    <w:p>
      <w:pPr>
        <w:pStyle w:val="Defstart"/>
      </w:pPr>
      <w:r>
        <w:rPr>
          <w:b/>
        </w:rPr>
        <w:tab/>
      </w:r>
      <w:r>
        <w:rPr>
          <w:rStyle w:val="CharDefText"/>
        </w:rPr>
        <w:t>survey</w:t>
      </w:r>
      <w:r>
        <w:t xml:space="preserve"> means a thorough examination performed by or in the presence of a surveyor or survey authority;</w:t>
      </w:r>
    </w:p>
    <w:p>
      <w:pPr>
        <w:pStyle w:val="Defstart"/>
        <w:keepNext/>
      </w:pPr>
      <w:r>
        <w:rPr>
          <w:b/>
        </w:rPr>
        <w:tab/>
      </w:r>
      <w:r>
        <w:rPr>
          <w:rStyle w:val="CharDefText"/>
        </w:rPr>
        <w:t>survey authority</w:t>
      </w:r>
      <w:r>
        <w:t xml:space="preserve"> means an authority appointed by the Governor under section 24 of the Act.</w:t>
      </w:r>
    </w:p>
    <w:p>
      <w:pPr>
        <w:pStyle w:val="Ednotesubsection"/>
      </w:pPr>
      <w:r>
        <w:tab/>
        <w:t>[(2)</w:t>
      </w:r>
      <w:r>
        <w:tab/>
        <w:t>deleted]</w:t>
      </w:r>
    </w:p>
    <w:p>
      <w:pPr>
        <w:pStyle w:val="Footnotesection"/>
        <w:spacing w:before="100"/>
        <w:ind w:left="890" w:hanging="890"/>
      </w:pPr>
      <w:r>
        <w:tab/>
        <w:t>[Regulation 3 amended: Gazette 11 Aug 1992 p. 3980; 24 Oct 2008 p. 4679</w:t>
      </w:r>
      <w:r>
        <w:noBreakHyphen/>
        <w:t>80; 11 Dec 2009 p. 5107</w:t>
      </w:r>
      <w:r>
        <w:noBreakHyphen/>
        <w:t>8.]</w:t>
      </w:r>
    </w:p>
    <w:p>
      <w:pPr>
        <w:pStyle w:val="Heading5"/>
        <w:rPr>
          <w:snapToGrid w:val="0"/>
        </w:rPr>
      </w:pPr>
      <w:bookmarkStart w:id="7" w:name="_Toc155176955"/>
      <w:r>
        <w:rPr>
          <w:rStyle w:val="CharSectno"/>
        </w:rPr>
        <w:t>4</w:t>
      </w:r>
      <w:r>
        <w:rPr>
          <w:snapToGrid w:val="0"/>
        </w:rPr>
        <w:t>.</w:t>
      </w:r>
      <w:r>
        <w:rPr>
          <w:snapToGrid w:val="0"/>
        </w:rPr>
        <w:tab/>
        <w:t>Application of these regulations</w:t>
      </w:r>
      <w:bookmarkEnd w:id="7"/>
    </w:p>
    <w:p>
      <w:pPr>
        <w:pStyle w:val="Subsection"/>
        <w:rPr>
          <w:snapToGrid w:val="0"/>
        </w:rPr>
      </w:pPr>
      <w:r>
        <w:rPr>
          <w:snapToGrid w:val="0"/>
        </w:rPr>
        <w:tab/>
      </w:r>
      <w:r>
        <w:rPr>
          <w:snapToGrid w:val="0"/>
        </w:rPr>
        <w:tab/>
        <w:t>These regulations apply to all commercial vessels to which the Act applies.</w:t>
      </w:r>
    </w:p>
    <w:p>
      <w:pPr>
        <w:pStyle w:val="Heading5"/>
        <w:rPr>
          <w:snapToGrid w:val="0"/>
        </w:rPr>
      </w:pPr>
      <w:bookmarkStart w:id="8" w:name="_Toc155176956"/>
      <w:r>
        <w:rPr>
          <w:rStyle w:val="CharSectno"/>
        </w:rPr>
        <w:t>4AA</w:t>
      </w:r>
      <w:r>
        <w:t>.</w:t>
      </w:r>
      <w:r>
        <w:rPr>
          <w:snapToGrid w:val="0"/>
        </w:rPr>
        <w:tab/>
        <w:t>Classification of vessels</w:t>
      </w:r>
      <w:bookmarkEnd w:id="8"/>
    </w:p>
    <w:p>
      <w:pPr>
        <w:pStyle w:val="Subsection"/>
        <w:rPr>
          <w:snapToGrid w:val="0"/>
        </w:rPr>
      </w:pPr>
      <w:r>
        <w:rPr>
          <w:snapToGrid w:val="0"/>
        </w:rPr>
        <w:tab/>
      </w:r>
      <w:r>
        <w:rPr>
          <w:snapToGrid w:val="0"/>
        </w:rPr>
        <w:tab/>
        <w:t>For the purposes of these regulations, vessels are to be classified in the manner provided by clause 6 of Section 1 of the Code.</w:t>
      </w:r>
    </w:p>
    <w:p>
      <w:pPr>
        <w:pStyle w:val="Footnotesection"/>
        <w:spacing w:before="100"/>
        <w:ind w:left="890" w:hanging="890"/>
      </w:pPr>
      <w:r>
        <w:tab/>
        <w:t>[Regulation 4AA inserted: Gazette 11 Dec 2009 p. 5108.]</w:t>
      </w:r>
    </w:p>
    <w:p>
      <w:pPr>
        <w:pStyle w:val="Heading5"/>
        <w:rPr>
          <w:snapToGrid w:val="0"/>
        </w:rPr>
      </w:pPr>
      <w:bookmarkStart w:id="9" w:name="_Toc155176957"/>
      <w:r>
        <w:rPr>
          <w:rStyle w:val="CharSectno"/>
        </w:rPr>
        <w:t>4A</w:t>
      </w:r>
      <w:r>
        <w:rPr>
          <w:snapToGrid w:val="0"/>
        </w:rPr>
        <w:t>.</w:t>
      </w:r>
      <w:r>
        <w:rPr>
          <w:snapToGrid w:val="0"/>
        </w:rPr>
        <w:tab/>
        <w:t>Fees and charges (Sch. 1)</w:t>
      </w:r>
      <w:bookmarkEnd w:id="9"/>
    </w:p>
    <w:p>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pPr>
        <w:pStyle w:val="Footnotesection"/>
        <w:spacing w:before="100"/>
        <w:ind w:left="890" w:hanging="890"/>
      </w:pPr>
      <w:r>
        <w:tab/>
        <w:t>[Regulation 4A inserted: Gazette 11 Jul 1995 p. 2948.]</w:t>
      </w:r>
    </w:p>
    <w:p>
      <w:pPr>
        <w:pStyle w:val="Heading2"/>
      </w:pPr>
      <w:bookmarkStart w:id="10" w:name="_Toc155176958"/>
      <w:r>
        <w:rPr>
          <w:rStyle w:val="CharPartNo"/>
        </w:rPr>
        <w:lastRenderedPageBreak/>
        <w:t>Part II</w:t>
      </w:r>
      <w:r>
        <w:rPr>
          <w:rStyle w:val="CharDivNo"/>
        </w:rPr>
        <w:t> </w:t>
      </w:r>
      <w:r>
        <w:t>—</w:t>
      </w:r>
      <w:r>
        <w:rPr>
          <w:rStyle w:val="CharDivText"/>
        </w:rPr>
        <w:t> </w:t>
      </w:r>
      <w:r>
        <w:rPr>
          <w:rStyle w:val="CharPartText"/>
        </w:rPr>
        <w:t>Survey requirements</w:t>
      </w:r>
      <w:bookmarkEnd w:id="10"/>
    </w:p>
    <w:p>
      <w:pPr>
        <w:pStyle w:val="Heading5"/>
        <w:rPr>
          <w:snapToGrid w:val="0"/>
        </w:rPr>
      </w:pPr>
      <w:bookmarkStart w:id="11" w:name="_Toc155176959"/>
      <w:r>
        <w:rPr>
          <w:rStyle w:val="CharSectno"/>
        </w:rPr>
        <w:t>5</w:t>
      </w:r>
      <w:r>
        <w:rPr>
          <w:snapToGrid w:val="0"/>
        </w:rPr>
        <w:t>.</w:t>
      </w:r>
      <w:r>
        <w:rPr>
          <w:snapToGrid w:val="0"/>
        </w:rPr>
        <w:tab/>
        <w:t>Initial survey</w:t>
      </w:r>
      <w:bookmarkEnd w:id="11"/>
    </w:p>
    <w:p>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pPr>
        <w:pStyle w:val="Subsection"/>
        <w:rPr>
          <w:snapToGrid w:val="0"/>
        </w:rPr>
      </w:pPr>
      <w:r>
        <w:rPr>
          <w:snapToGrid w:val="0"/>
        </w:rPr>
        <w:tab/>
        <w:t>(3)</w:t>
      </w:r>
      <w:r>
        <w:rPr>
          <w:snapToGrid w:val="0"/>
        </w:rPr>
        <w:tab/>
        <w:t>An application for initial survey shall be accompanied by the following information —</w:t>
      </w:r>
    </w:p>
    <w:p>
      <w:pPr>
        <w:pStyle w:val="Indenta"/>
        <w:rPr>
          <w:snapToGrid w:val="0"/>
        </w:rPr>
      </w:pPr>
      <w:r>
        <w:rPr>
          <w:snapToGrid w:val="0"/>
        </w:rPr>
        <w:tab/>
        <w:t>(a)</w:t>
      </w:r>
      <w:r>
        <w:rPr>
          <w:snapToGrid w:val="0"/>
        </w:rPr>
        <w:tab/>
        <w:t>type and purpose of vessel; and</w:t>
      </w:r>
    </w:p>
    <w:p>
      <w:pPr>
        <w:pStyle w:val="Indenta"/>
        <w:rPr>
          <w:snapToGrid w:val="0"/>
        </w:rPr>
      </w:pPr>
      <w:r>
        <w:rPr>
          <w:snapToGrid w:val="0"/>
        </w:rPr>
        <w:tab/>
        <w:t>(b)</w:t>
      </w:r>
      <w:r>
        <w:rPr>
          <w:snapToGrid w:val="0"/>
        </w:rPr>
        <w:tab/>
        <w:t>intended area of operations; and</w:t>
      </w:r>
    </w:p>
    <w:p>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pPr>
        <w:pStyle w:val="Indenta"/>
        <w:rPr>
          <w:snapToGrid w:val="0"/>
        </w:rPr>
      </w:pPr>
      <w:r>
        <w:rPr>
          <w:snapToGrid w:val="0"/>
        </w:rPr>
        <w:tab/>
        <w:t>(d)</w:t>
      </w:r>
      <w:r>
        <w:rPr>
          <w:snapToGrid w:val="0"/>
        </w:rPr>
        <w:tab/>
        <w:t>plans and details of hull, boilers and machinery, and equipment; and</w:t>
      </w:r>
    </w:p>
    <w:p>
      <w:pPr>
        <w:pStyle w:val="Indenta"/>
        <w:rPr>
          <w:snapToGrid w:val="0"/>
        </w:rPr>
      </w:pPr>
      <w:r>
        <w:rPr>
          <w:snapToGrid w:val="0"/>
        </w:rPr>
        <w:tab/>
        <w:t>(e)</w:t>
      </w:r>
      <w:r>
        <w:rPr>
          <w:snapToGrid w:val="0"/>
        </w:rPr>
        <w:tab/>
        <w:t>such other information as the Chief Executive Officer may require; and</w:t>
      </w:r>
    </w:p>
    <w:p>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pPr>
        <w:pStyle w:val="Subsection"/>
        <w:rPr>
          <w:snapToGrid w:val="0"/>
        </w:rPr>
      </w:pPr>
      <w:r>
        <w:rPr>
          <w:snapToGrid w:val="0"/>
        </w:rPr>
        <w:tab/>
        <w:t>(4)</w:t>
      </w:r>
      <w:r>
        <w:rPr>
          <w:snapToGrid w:val="0"/>
        </w:rPr>
        <w:tab/>
        <w:t>The information required to be provided to the Authority under subregulation (3) shall be submitted —</w:t>
      </w:r>
    </w:p>
    <w:p>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pPr>
        <w:pStyle w:val="Indenta"/>
        <w:rPr>
          <w:snapToGrid w:val="0"/>
        </w:rPr>
      </w:pPr>
      <w:r>
        <w:rPr>
          <w:snapToGrid w:val="0"/>
        </w:rPr>
        <w:lastRenderedPageBreak/>
        <w:tab/>
        <w:t>(b)</w:t>
      </w:r>
      <w:r>
        <w:rPr>
          <w:snapToGrid w:val="0"/>
        </w:rPr>
        <w:tab/>
        <w:t>in the case of an existing vessel, in such time as is provided by regulation 6(7) with respect to applications for periodic survey.</w:t>
      </w:r>
    </w:p>
    <w:p>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pPr>
        <w:pStyle w:val="Subsection"/>
        <w:rPr>
          <w:snapToGrid w:val="0"/>
        </w:rPr>
      </w:pPr>
      <w:r>
        <w:rPr>
          <w:snapToGrid w:val="0"/>
        </w:rPr>
        <w:tab/>
        <w:t>(6)</w:t>
      </w:r>
      <w:r>
        <w:rPr>
          <w:snapToGrid w:val="0"/>
        </w:rPr>
        <w:tab/>
        <w:t>The Chief Executive Officer may accept the performance of all or part of an initial survey by a survey authority.</w:t>
      </w:r>
    </w:p>
    <w:p>
      <w:pPr>
        <w:pStyle w:val="Footnotesection"/>
      </w:pPr>
      <w:r>
        <w:tab/>
        <w:t>[Regulation 5 amended: Gazette 11 Aug 1992 p. 3980.]</w:t>
      </w:r>
    </w:p>
    <w:p>
      <w:pPr>
        <w:pStyle w:val="Heading5"/>
        <w:rPr>
          <w:snapToGrid w:val="0"/>
        </w:rPr>
      </w:pPr>
      <w:bookmarkStart w:id="12" w:name="_Toc155176960"/>
      <w:r>
        <w:rPr>
          <w:rStyle w:val="CharSectno"/>
        </w:rPr>
        <w:t>6</w:t>
      </w:r>
      <w:r>
        <w:rPr>
          <w:snapToGrid w:val="0"/>
        </w:rPr>
        <w:t>.</w:t>
      </w:r>
      <w:r>
        <w:rPr>
          <w:snapToGrid w:val="0"/>
        </w:rPr>
        <w:tab/>
        <w:t>Periodic surveys and inspections</w:t>
      </w:r>
      <w:bookmarkEnd w:id="12"/>
    </w:p>
    <w:p>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pPr>
        <w:pStyle w:val="Subsection"/>
        <w:rPr>
          <w:snapToGrid w:val="0"/>
        </w:rPr>
      </w:pPr>
      <w:r>
        <w:rPr>
          <w:snapToGrid w:val="0"/>
        </w:rPr>
        <w:tab/>
        <w:t>(3)</w:t>
      </w:r>
      <w:r>
        <w:rPr>
          <w:snapToGrid w:val="0"/>
        </w:rPr>
        <w:tab/>
        <w:t>Subject to subregulation (3a), the intervals between surveys shall be as follows —</w:t>
      </w:r>
    </w:p>
    <w:p>
      <w:pPr>
        <w:pStyle w:val="Indenta"/>
        <w:rPr>
          <w:snapToGrid w:val="0"/>
        </w:rPr>
      </w:pPr>
      <w:r>
        <w:rPr>
          <w:snapToGrid w:val="0"/>
        </w:rPr>
        <w:tab/>
        <w:t>(a)</w:t>
      </w:r>
      <w:r>
        <w:rPr>
          <w:snapToGrid w:val="0"/>
        </w:rPr>
        <w:tab/>
        <w:t>a vessel’s equipment shall be surveyed at intervals not exceeding 1 year;</w:t>
      </w:r>
    </w:p>
    <w:p>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pPr>
        <w:pStyle w:val="Indenti"/>
        <w:rPr>
          <w:snapToGrid w:val="0"/>
        </w:rPr>
      </w:pPr>
      <w:r>
        <w:rPr>
          <w:snapToGrid w:val="0"/>
        </w:rPr>
        <w:tab/>
        <w:t>(i)</w:t>
      </w:r>
      <w:r>
        <w:rPr>
          <w:snapToGrid w:val="0"/>
        </w:rPr>
        <w:tab/>
        <w:t>the age of the vessel; or</w:t>
      </w:r>
    </w:p>
    <w:p>
      <w:pPr>
        <w:pStyle w:val="Indenti"/>
        <w:rPr>
          <w:snapToGrid w:val="0"/>
        </w:rPr>
      </w:pPr>
      <w:r>
        <w:rPr>
          <w:snapToGrid w:val="0"/>
        </w:rPr>
        <w:lastRenderedPageBreak/>
        <w:tab/>
        <w:t>(ii)</w:t>
      </w:r>
      <w:r>
        <w:rPr>
          <w:snapToGrid w:val="0"/>
        </w:rPr>
        <w:tab/>
        <w:t>the service of the vessel (passenger, cargo or fishing); or</w:t>
      </w:r>
    </w:p>
    <w:p>
      <w:pPr>
        <w:pStyle w:val="Indenti"/>
        <w:rPr>
          <w:snapToGrid w:val="0"/>
        </w:rPr>
      </w:pPr>
      <w:r>
        <w:rPr>
          <w:snapToGrid w:val="0"/>
        </w:rPr>
        <w:tab/>
        <w:t>(iii)</w:t>
      </w:r>
      <w:r>
        <w:rPr>
          <w:snapToGrid w:val="0"/>
        </w:rPr>
        <w:tab/>
        <w:t>the area or proposed area of operation of the vessel; or</w:t>
      </w:r>
    </w:p>
    <w:p>
      <w:pPr>
        <w:pStyle w:val="Indenti"/>
        <w:rPr>
          <w:snapToGrid w:val="0"/>
        </w:rPr>
      </w:pPr>
      <w:r>
        <w:rPr>
          <w:snapToGrid w:val="0"/>
        </w:rPr>
        <w:tab/>
        <w:t>(iv)</w:t>
      </w:r>
      <w:r>
        <w:rPr>
          <w:snapToGrid w:val="0"/>
        </w:rPr>
        <w:tab/>
        <w:t>the materials used in and the method of construction of the vessel; or</w:t>
      </w:r>
    </w:p>
    <w:p>
      <w:pPr>
        <w:pStyle w:val="Indenti"/>
        <w:rPr>
          <w:snapToGrid w:val="0"/>
        </w:rPr>
      </w:pPr>
      <w:r>
        <w:rPr>
          <w:snapToGrid w:val="0"/>
        </w:rPr>
        <w:tab/>
        <w:t>(v)</w:t>
      </w:r>
      <w:r>
        <w:rPr>
          <w:snapToGrid w:val="0"/>
        </w:rPr>
        <w:tab/>
        <w:t>the type of underwater fittings of the vessel; or</w:t>
      </w:r>
    </w:p>
    <w:p>
      <w:pPr>
        <w:pStyle w:val="Indenti"/>
        <w:rPr>
          <w:snapToGrid w:val="0"/>
        </w:rPr>
      </w:pPr>
      <w:r>
        <w:rPr>
          <w:snapToGrid w:val="0"/>
        </w:rPr>
        <w:tab/>
        <w:t>(vi)</w:t>
      </w:r>
      <w:r>
        <w:rPr>
          <w:snapToGrid w:val="0"/>
        </w:rPr>
        <w:tab/>
        <w:t>the size of the vessel; or</w:t>
      </w:r>
    </w:p>
    <w:p>
      <w:pPr>
        <w:pStyle w:val="Indenti"/>
        <w:rPr>
          <w:snapToGrid w:val="0"/>
        </w:rPr>
      </w:pPr>
      <w:r>
        <w:rPr>
          <w:snapToGrid w:val="0"/>
        </w:rPr>
        <w:tab/>
        <w:t>(vii)</w:t>
      </w:r>
      <w:r>
        <w:rPr>
          <w:snapToGrid w:val="0"/>
        </w:rPr>
        <w:tab/>
        <w:t>any other reason.</w:t>
      </w:r>
    </w:p>
    <w:p>
      <w:pPr>
        <w:pStyle w:val="Subsection"/>
        <w:rPr>
          <w:snapToGrid w:val="0"/>
        </w:rPr>
      </w:pPr>
      <w:r>
        <w:rPr>
          <w:snapToGrid w:val="0"/>
        </w:rPr>
        <w:tab/>
        <w:t>(3a)</w:t>
      </w:r>
      <w:r>
        <w:rPr>
          <w:snapToGrid w:val="0"/>
        </w:rPr>
        <w:tab/>
        <w:t>Where a fishing vessel has been launched for less than 10 years —</w:t>
      </w:r>
    </w:p>
    <w:p>
      <w:pPr>
        <w:pStyle w:val="Indenta"/>
        <w:rPr>
          <w:snapToGrid w:val="0"/>
        </w:rPr>
      </w:pPr>
      <w:r>
        <w:rPr>
          <w:snapToGrid w:val="0"/>
        </w:rPr>
        <w:tab/>
        <w:t>(a)</w:t>
      </w:r>
      <w:r>
        <w:rPr>
          <w:snapToGrid w:val="0"/>
        </w:rPr>
        <w:tab/>
        <w:t>the intervals between surveys shall not exceed 2 years; and</w:t>
      </w:r>
    </w:p>
    <w:p>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pPr>
        <w:pStyle w:val="Indenta"/>
        <w:rPr>
          <w:snapToGrid w:val="0"/>
        </w:rPr>
      </w:pPr>
      <w:r>
        <w:rPr>
          <w:snapToGrid w:val="0"/>
        </w:rPr>
        <w:tab/>
        <w:t>(a)</w:t>
      </w:r>
      <w:r>
        <w:rPr>
          <w:snapToGrid w:val="0"/>
        </w:rPr>
        <w:tab/>
        <w:t>the survey requirements and intervals in Schedule 2; and</w:t>
      </w:r>
    </w:p>
    <w:p>
      <w:pPr>
        <w:pStyle w:val="Indenta"/>
        <w:rPr>
          <w:snapToGrid w:val="0"/>
        </w:rPr>
      </w:pPr>
      <w:r>
        <w:rPr>
          <w:snapToGrid w:val="0"/>
        </w:rPr>
        <w:tab/>
        <w:t>(b)</w:t>
      </w:r>
      <w:r>
        <w:rPr>
          <w:snapToGrid w:val="0"/>
        </w:rPr>
        <w:tab/>
        <w:t>the specific requirements of the Chief Executive Officer.</w:t>
      </w:r>
    </w:p>
    <w:p>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pPr>
        <w:pStyle w:val="Subsection"/>
        <w:keepNext/>
        <w:rPr>
          <w:snapToGrid w:val="0"/>
        </w:rPr>
      </w:pPr>
      <w:r>
        <w:rPr>
          <w:snapToGrid w:val="0"/>
        </w:rPr>
        <w:lastRenderedPageBreak/>
        <w:tab/>
        <w:t>(7)</w:t>
      </w:r>
      <w:r>
        <w:rPr>
          <w:snapToGrid w:val="0"/>
        </w:rPr>
        <w:tab/>
        <w:t>An application for survey shall be made by the owner of a vessel —</w:t>
      </w:r>
    </w:p>
    <w:p>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pPr>
        <w:pStyle w:val="Indenta"/>
        <w:rPr>
          <w:snapToGrid w:val="0"/>
        </w:rPr>
      </w:pPr>
      <w:r>
        <w:rPr>
          <w:snapToGrid w:val="0"/>
        </w:rPr>
        <w:tab/>
        <w:t>(b)</w:t>
      </w:r>
      <w:r>
        <w:rPr>
          <w:snapToGrid w:val="0"/>
        </w:rPr>
        <w:tab/>
        <w:t>in respect of a survey of boilers and machinery or equipment or both —</w:t>
      </w:r>
    </w:p>
    <w:p>
      <w:pPr>
        <w:pStyle w:val="Indenti"/>
        <w:rPr>
          <w:snapToGrid w:val="0"/>
        </w:rPr>
      </w:pPr>
      <w:r>
        <w:rPr>
          <w:snapToGrid w:val="0"/>
        </w:rPr>
        <w:tab/>
        <w:t>(i)</w:t>
      </w:r>
      <w:r>
        <w:rPr>
          <w:snapToGrid w:val="0"/>
        </w:rPr>
        <w:tab/>
        <w:t>where the survey is to be made within the metropolitan area of Perth or at Geraldton, not less than 14 days before the date on which the survey is to be performed;</w:t>
      </w:r>
    </w:p>
    <w:p>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pPr>
        <w:pStyle w:val="Subsection"/>
        <w:keepLines/>
        <w:rPr>
          <w:snapToGrid w:val="0"/>
        </w:rPr>
      </w:pPr>
      <w:r>
        <w:rPr>
          <w:snapToGrid w:val="0"/>
        </w:rPr>
        <w:lastRenderedPageBreak/>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pPr>
        <w:pStyle w:val="Subsection"/>
        <w:rPr>
          <w:snapToGrid w:val="0"/>
        </w:rPr>
      </w:pPr>
      <w:r>
        <w:rPr>
          <w:snapToGrid w:val="0"/>
        </w:rPr>
        <w:tab/>
        <w:t>(13)</w:t>
      </w:r>
      <w:r>
        <w:rPr>
          <w:snapToGrid w:val="0"/>
        </w:rPr>
        <w:tab/>
        <w:t>When making a survey or inspection of a vessel, a surveyor shall be accompanied by the owner.</w:t>
      </w:r>
    </w:p>
    <w:p>
      <w:pPr>
        <w:pStyle w:val="Footnotesection"/>
      </w:pPr>
      <w:r>
        <w:tab/>
        <w:t>[Regulation 6 amended: Gazette 3 Nov 1989 p. 3964</w:t>
      </w:r>
      <w:r>
        <w:noBreakHyphen/>
        <w:t>5; 11 Aug 1992 p. 3980.]</w:t>
      </w:r>
    </w:p>
    <w:p>
      <w:pPr>
        <w:pStyle w:val="Heading5"/>
        <w:rPr>
          <w:snapToGrid w:val="0"/>
        </w:rPr>
      </w:pPr>
      <w:bookmarkStart w:id="13" w:name="_Toc155176961"/>
      <w:r>
        <w:rPr>
          <w:rStyle w:val="CharSectno"/>
        </w:rPr>
        <w:t>6A</w:t>
      </w:r>
      <w:r>
        <w:rPr>
          <w:snapToGrid w:val="0"/>
        </w:rPr>
        <w:t>.</w:t>
      </w:r>
      <w:r>
        <w:rPr>
          <w:snapToGrid w:val="0"/>
        </w:rPr>
        <w:tab/>
        <w:t>Half of fee under r. 5(2) and 6(6) payable if vessel is classed</w:t>
      </w:r>
      <w:bookmarkEnd w:id="13"/>
    </w:p>
    <w:p>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pPr>
        <w:pStyle w:val="Footnotesection"/>
      </w:pPr>
      <w:r>
        <w:tab/>
        <w:t>[Regulation 6A inserted: Gazette 30 Jun 1989 p. 1924; amended: Gazette 11 Dec 2009 p. 5108.]</w:t>
      </w:r>
    </w:p>
    <w:p>
      <w:pPr>
        <w:pStyle w:val="Heading5"/>
        <w:rPr>
          <w:snapToGrid w:val="0"/>
        </w:rPr>
      </w:pPr>
      <w:bookmarkStart w:id="14" w:name="_Toc155176962"/>
      <w:r>
        <w:rPr>
          <w:rStyle w:val="CharSectno"/>
        </w:rPr>
        <w:t>7</w:t>
      </w:r>
      <w:r>
        <w:rPr>
          <w:snapToGrid w:val="0"/>
        </w:rPr>
        <w:t>.</w:t>
      </w:r>
      <w:r>
        <w:rPr>
          <w:snapToGrid w:val="0"/>
        </w:rPr>
        <w:tab/>
        <w:t>Random inspections, power to make</w:t>
      </w:r>
      <w:bookmarkEnd w:id="14"/>
    </w:p>
    <w:p>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pPr>
        <w:pStyle w:val="Heading5"/>
        <w:rPr>
          <w:snapToGrid w:val="0"/>
        </w:rPr>
      </w:pPr>
      <w:bookmarkStart w:id="15" w:name="_Toc155176963"/>
      <w:r>
        <w:rPr>
          <w:rStyle w:val="CharSectno"/>
        </w:rPr>
        <w:lastRenderedPageBreak/>
        <w:t>8</w:t>
      </w:r>
      <w:r>
        <w:rPr>
          <w:snapToGrid w:val="0"/>
        </w:rPr>
        <w:t>.</w:t>
      </w:r>
      <w:r>
        <w:rPr>
          <w:snapToGrid w:val="0"/>
        </w:rPr>
        <w:tab/>
        <w:t>Special factors affecting survey, owner to inform CEO of</w:t>
      </w:r>
      <w:bookmarkEnd w:id="15"/>
    </w:p>
    <w:p>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pPr>
        <w:pStyle w:val="Footnotesection"/>
      </w:pPr>
      <w:r>
        <w:tab/>
        <w:t>[Regulation 8 amended: Gazette 11 Aug 1992 p. 3980.]</w:t>
      </w:r>
    </w:p>
    <w:p>
      <w:pPr>
        <w:pStyle w:val="Heading5"/>
        <w:rPr>
          <w:snapToGrid w:val="0"/>
        </w:rPr>
      </w:pPr>
      <w:bookmarkStart w:id="16" w:name="_Toc155176964"/>
      <w:r>
        <w:rPr>
          <w:rStyle w:val="CharSectno"/>
        </w:rPr>
        <w:t>9</w:t>
      </w:r>
      <w:r>
        <w:rPr>
          <w:snapToGrid w:val="0"/>
        </w:rPr>
        <w:t>.</w:t>
      </w:r>
      <w:r>
        <w:rPr>
          <w:snapToGrid w:val="0"/>
        </w:rPr>
        <w:tab/>
        <w:t>Accidents etc. to or on vessel, owner to inform CEO of</w:t>
      </w:r>
      <w:bookmarkEnd w:id="16"/>
    </w:p>
    <w:p>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pPr>
        <w:pStyle w:val="Subsection"/>
        <w:spacing w:before="180"/>
        <w:rPr>
          <w:snapToGrid w:val="0"/>
        </w:rPr>
      </w:pPr>
      <w:r>
        <w:rPr>
          <w:snapToGrid w:val="0"/>
        </w:rPr>
        <w:tab/>
        <w:t>(2)</w:t>
      </w:r>
      <w:r>
        <w:rPr>
          <w:snapToGrid w:val="0"/>
        </w:rPr>
        <w:tab/>
        <w:t>A report under subregulation (1) shall be forwarded to the Chief Executive Officer —</w:t>
      </w:r>
    </w:p>
    <w:p>
      <w:pPr>
        <w:pStyle w:val="Indenta"/>
        <w:rPr>
          <w:snapToGrid w:val="0"/>
        </w:rPr>
      </w:pPr>
      <w:r>
        <w:rPr>
          <w:snapToGrid w:val="0"/>
        </w:rPr>
        <w:tab/>
        <w:t>(a)</w:t>
      </w:r>
      <w:r>
        <w:rPr>
          <w:snapToGrid w:val="0"/>
        </w:rPr>
        <w:tab/>
        <w:t>in the case of a vessel in port, within 48 hours of the occurrence; and</w:t>
      </w:r>
    </w:p>
    <w:p>
      <w:pPr>
        <w:pStyle w:val="Indenta"/>
        <w:rPr>
          <w:snapToGrid w:val="0"/>
        </w:rPr>
      </w:pPr>
      <w:r>
        <w:rPr>
          <w:snapToGrid w:val="0"/>
        </w:rPr>
        <w:tab/>
        <w:t>(b)</w:t>
      </w:r>
      <w:r>
        <w:rPr>
          <w:snapToGrid w:val="0"/>
        </w:rPr>
        <w:tab/>
        <w:t>in the case of a vessel at sea, within 48 hours of the first arrival of the vessel at a port.</w:t>
      </w:r>
    </w:p>
    <w:p>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pPr>
        <w:pStyle w:val="Footnotesection"/>
      </w:pPr>
      <w:r>
        <w:tab/>
        <w:t>[Regulation 9 amended: Gazette 11 Aug 1992 p. 3980.]</w:t>
      </w:r>
    </w:p>
    <w:p>
      <w:pPr>
        <w:pStyle w:val="Heading5"/>
        <w:rPr>
          <w:snapToGrid w:val="0"/>
        </w:rPr>
      </w:pPr>
      <w:bookmarkStart w:id="17" w:name="_Toc155176965"/>
      <w:r>
        <w:rPr>
          <w:rStyle w:val="CharSectno"/>
        </w:rPr>
        <w:t>10</w:t>
      </w:r>
      <w:r>
        <w:rPr>
          <w:snapToGrid w:val="0"/>
        </w:rPr>
        <w:t>.</w:t>
      </w:r>
      <w:r>
        <w:rPr>
          <w:snapToGrid w:val="0"/>
        </w:rPr>
        <w:tab/>
        <w:t>Class 2E and 3E vessels, CEO may exempt from survey</w:t>
      </w:r>
      <w:bookmarkEnd w:id="17"/>
    </w:p>
    <w:p>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pPr>
        <w:pStyle w:val="Subsection"/>
        <w:rPr>
          <w:snapToGrid w:val="0"/>
        </w:rPr>
      </w:pPr>
      <w:r>
        <w:rPr>
          <w:snapToGrid w:val="0"/>
        </w:rPr>
        <w:lastRenderedPageBreak/>
        <w:tab/>
        <w:t>(2)</w:t>
      </w:r>
      <w:r>
        <w:rPr>
          <w:snapToGrid w:val="0"/>
        </w:rPr>
        <w:tab/>
        <w:t>An exemption granted under subregulation (1) shall be effective during such time as the following conditions are complied with —</w:t>
      </w:r>
    </w:p>
    <w:p>
      <w:pPr>
        <w:pStyle w:val="Indenta"/>
        <w:rPr>
          <w:snapToGrid w:val="0"/>
        </w:rPr>
      </w:pPr>
      <w:r>
        <w:rPr>
          <w:snapToGrid w:val="0"/>
        </w:rPr>
        <w:tab/>
        <w:t>(a)</w:t>
      </w:r>
      <w:r>
        <w:rPr>
          <w:snapToGrid w:val="0"/>
        </w:rPr>
        <w:tab/>
        <w:t>payment of the annual exemption fee set out in Schedule 1;</w:t>
      </w:r>
    </w:p>
    <w:p>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1</w:t>
      </w:r>
      <w:r>
        <w:rPr>
          <w:snapToGrid w:val="0"/>
        </w:rPr>
        <w:t xml:space="preserve"> and conforms to one of the following standards issued by that body —</w:t>
      </w:r>
    </w:p>
    <w:p>
      <w:pPr>
        <w:pStyle w:val="Indenti"/>
        <w:rPr>
          <w:snapToGrid w:val="0"/>
        </w:rPr>
      </w:pPr>
      <w:r>
        <w:rPr>
          <w:snapToGrid w:val="0"/>
        </w:rPr>
        <w:tab/>
        <w:t>(i)</w:t>
      </w:r>
      <w:r>
        <w:rPr>
          <w:snapToGrid w:val="0"/>
        </w:rPr>
        <w:tab/>
        <w:t>AS A 32, AS 1843, AS 1844 or AS 1845 (foam);</w:t>
      </w:r>
    </w:p>
    <w:p>
      <w:pPr>
        <w:pStyle w:val="Indenti"/>
        <w:rPr>
          <w:snapToGrid w:val="0"/>
        </w:rPr>
      </w:pPr>
      <w:r>
        <w:rPr>
          <w:snapToGrid w:val="0"/>
        </w:rPr>
        <w:tab/>
        <w:t>(ii)</w:t>
      </w:r>
      <w:r>
        <w:rPr>
          <w:snapToGrid w:val="0"/>
        </w:rPr>
        <w:tab/>
        <w:t>AS A 137, or AS 1846 (dry chemical);</w:t>
      </w:r>
    </w:p>
    <w:p>
      <w:pPr>
        <w:pStyle w:val="Indenti"/>
        <w:rPr>
          <w:snapToGrid w:val="0"/>
        </w:rPr>
      </w:pPr>
      <w:r>
        <w:rPr>
          <w:snapToGrid w:val="0"/>
        </w:rPr>
        <w:tab/>
        <w:t>(iii)</w:t>
      </w:r>
      <w:r>
        <w:rPr>
          <w:snapToGrid w:val="0"/>
        </w:rPr>
        <w:tab/>
        <w:t>AS A 138 or AS 1847 (carbon dioxide);</w:t>
      </w:r>
    </w:p>
    <w:p>
      <w:pPr>
        <w:pStyle w:val="Indenti"/>
        <w:rPr>
          <w:snapToGrid w:val="0"/>
        </w:rPr>
      </w:pPr>
      <w:r>
        <w:rPr>
          <w:snapToGrid w:val="0"/>
        </w:rPr>
        <w:tab/>
        <w:t>(iv)</w:t>
      </w:r>
      <w:r>
        <w:rPr>
          <w:snapToGrid w:val="0"/>
        </w:rPr>
        <w:tab/>
        <w:t>AS A 163 or AS 1848 (halogenated hydrocarbon);</w:t>
      </w:r>
    </w:p>
    <w:p>
      <w:pPr>
        <w:pStyle w:val="Indenta"/>
        <w:rPr>
          <w:snapToGrid w:val="0"/>
        </w:rPr>
      </w:pPr>
      <w:r>
        <w:rPr>
          <w:snapToGrid w:val="0"/>
        </w:rPr>
        <w:tab/>
        <w:t>(c)</w:t>
      </w:r>
      <w:r>
        <w:rPr>
          <w:snapToGrid w:val="0"/>
        </w:rPr>
        <w:tab/>
        <w:t>the following conditions apply to the storage and use of fuel —</w:t>
      </w:r>
    </w:p>
    <w:p>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pPr>
        <w:pStyle w:val="Indenti"/>
        <w:rPr>
          <w:snapToGrid w:val="0"/>
        </w:rPr>
      </w:pPr>
      <w:r>
        <w:rPr>
          <w:snapToGrid w:val="0"/>
        </w:rPr>
        <w:tab/>
        <w:t>(iii)</w:t>
      </w:r>
      <w:r>
        <w:rPr>
          <w:snapToGrid w:val="0"/>
        </w:rPr>
        <w:tab/>
        <w:t>a short length of flexible piping of some other material may be used with the approval of the department; and</w:t>
      </w:r>
    </w:p>
    <w:p>
      <w:pPr>
        <w:pStyle w:val="Indenti"/>
        <w:rPr>
          <w:snapToGrid w:val="0"/>
        </w:rPr>
      </w:pPr>
      <w:r>
        <w:rPr>
          <w:snapToGrid w:val="0"/>
        </w:rPr>
        <w:tab/>
        <w:t>(iv)</w:t>
      </w:r>
      <w:r>
        <w:rPr>
          <w:snapToGrid w:val="0"/>
        </w:rPr>
        <w:tab/>
        <w:t>an efficient valve shall be fitted against the fuel tank outlet;</w:t>
      </w:r>
    </w:p>
    <w:p>
      <w:pPr>
        <w:pStyle w:val="Indenta"/>
        <w:rPr>
          <w:snapToGrid w:val="0"/>
        </w:rPr>
      </w:pPr>
      <w:r>
        <w:rPr>
          <w:snapToGrid w:val="0"/>
        </w:rPr>
        <w:tab/>
        <w:t>(d)</w:t>
      </w:r>
      <w:r>
        <w:rPr>
          <w:snapToGrid w:val="0"/>
        </w:rPr>
        <w:tab/>
        <w:t>the engine compartment of a motor vessel shall be adequately ventilated.</w:t>
      </w:r>
    </w:p>
    <w:p>
      <w:pPr>
        <w:pStyle w:val="Footnotesection"/>
      </w:pPr>
      <w:r>
        <w:tab/>
        <w:t>[Regulation 10 amended: Gazette 11 Aug 1992 p. 3980.]</w:t>
      </w:r>
    </w:p>
    <w:p>
      <w:pPr>
        <w:pStyle w:val="Heading5"/>
        <w:rPr>
          <w:snapToGrid w:val="0"/>
        </w:rPr>
      </w:pPr>
      <w:bookmarkStart w:id="18" w:name="_Toc155176966"/>
      <w:r>
        <w:rPr>
          <w:rStyle w:val="CharSectno"/>
        </w:rPr>
        <w:lastRenderedPageBreak/>
        <w:t>10A</w:t>
      </w:r>
      <w:r>
        <w:rPr>
          <w:snapToGrid w:val="0"/>
        </w:rPr>
        <w:t>.</w:t>
      </w:r>
      <w:r>
        <w:rPr>
          <w:snapToGrid w:val="0"/>
        </w:rPr>
        <w:tab/>
        <w:t>Certain fishing vessels and class 2 vessels exempt from r. 5 and 6</w:t>
      </w:r>
      <w:bookmarkEnd w:id="18"/>
    </w:p>
    <w:p>
      <w:pPr>
        <w:pStyle w:val="Subsection"/>
        <w:rPr>
          <w:snapToGrid w:val="0"/>
        </w:rPr>
      </w:pPr>
      <w:r>
        <w:rPr>
          <w:snapToGrid w:val="0"/>
        </w:rPr>
        <w:tab/>
        <w:t>(1)</w:t>
      </w:r>
      <w:r>
        <w:rPr>
          <w:snapToGrid w:val="0"/>
        </w:rPr>
        <w:tab/>
        <w:t>Notwithstanding anything in these regulations —</w:t>
      </w:r>
    </w:p>
    <w:p>
      <w:pPr>
        <w:pStyle w:val="Indenta"/>
        <w:rPr>
          <w:snapToGrid w:val="0"/>
        </w:rPr>
      </w:pPr>
      <w:r>
        <w:rPr>
          <w:snapToGrid w:val="0"/>
        </w:rPr>
        <w:tab/>
        <w:t>(a)</w:t>
      </w:r>
      <w:r>
        <w:rPr>
          <w:snapToGrid w:val="0"/>
        </w:rPr>
        <w:tab/>
        <w:t>a fishing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not intended to carry passengers; and</w:t>
      </w:r>
    </w:p>
    <w:p>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pPr>
        <w:pStyle w:val="Subsection"/>
        <w:rPr>
          <w:snapToGrid w:val="0"/>
        </w:rPr>
      </w:pPr>
      <w:r>
        <w:rPr>
          <w:snapToGrid w:val="0"/>
        </w:rPr>
        <w:tab/>
      </w:r>
      <w:r>
        <w:rPr>
          <w:snapToGrid w:val="0"/>
        </w:rPr>
        <w:tab/>
        <w:t>is exempted from regulations 5 and 6 subject to the following conditions, namely —</w:t>
      </w:r>
    </w:p>
    <w:p>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pPr>
        <w:pStyle w:val="Indenta"/>
        <w:rPr>
          <w:snapToGrid w:val="0"/>
        </w:rPr>
      </w:pPr>
      <w:r>
        <w:rPr>
          <w:snapToGrid w:val="0"/>
        </w:rPr>
        <w:tab/>
        <w:t>(f)</w:t>
      </w:r>
      <w:r>
        <w:rPr>
          <w:snapToGrid w:val="0"/>
        </w:rPr>
        <w:tab/>
        <w:t>the vessel shall not be operated unless the registration number allotted to the vessel —</w:t>
      </w:r>
    </w:p>
    <w:p>
      <w:pPr>
        <w:pStyle w:val="Indenti"/>
        <w:rPr>
          <w:snapToGrid w:val="0"/>
        </w:rPr>
      </w:pPr>
      <w:r>
        <w:rPr>
          <w:snapToGrid w:val="0"/>
        </w:rPr>
        <w:tab/>
        <w:t>(i)</w:t>
      </w:r>
      <w:r>
        <w:rPr>
          <w:snapToGrid w:val="0"/>
        </w:rPr>
        <w:tab/>
        <w:t>is legibly marked on each side of the hull;</w:t>
      </w:r>
    </w:p>
    <w:p>
      <w:pPr>
        <w:pStyle w:val="Indenti"/>
        <w:rPr>
          <w:snapToGrid w:val="0"/>
        </w:rPr>
      </w:pPr>
      <w:r>
        <w:rPr>
          <w:snapToGrid w:val="0"/>
        </w:rPr>
        <w:tab/>
        <w:t>(ii)</w:t>
      </w:r>
      <w:r>
        <w:rPr>
          <w:snapToGrid w:val="0"/>
        </w:rPr>
        <w:tab/>
        <w:t>is positioned immediately forward of the transom;</w:t>
      </w:r>
    </w:p>
    <w:p>
      <w:pPr>
        <w:pStyle w:val="Indenti"/>
        <w:rPr>
          <w:snapToGrid w:val="0"/>
        </w:rPr>
      </w:pPr>
      <w:r>
        <w:rPr>
          <w:snapToGrid w:val="0"/>
        </w:rPr>
        <w:tab/>
        <w:t>(iii)</w:t>
      </w:r>
      <w:r>
        <w:rPr>
          <w:snapToGrid w:val="0"/>
        </w:rPr>
        <w:tab/>
        <w:t>is not less than 150 mm in height and 25 mm in width;</w:t>
      </w:r>
    </w:p>
    <w:p>
      <w:pPr>
        <w:pStyle w:val="Indenti"/>
        <w:rPr>
          <w:snapToGrid w:val="0"/>
        </w:rPr>
      </w:pPr>
      <w:r>
        <w:rPr>
          <w:snapToGrid w:val="0"/>
        </w:rPr>
        <w:lastRenderedPageBreak/>
        <w:tab/>
        <w:t>(iv)</w:t>
      </w:r>
      <w:r>
        <w:rPr>
          <w:snapToGrid w:val="0"/>
        </w:rPr>
        <w:tab/>
        <w:t>is positioned so that the highest part of each numeral commences at a point that is not lower than 75 mm below the gunwale;</w:t>
      </w:r>
    </w:p>
    <w:p>
      <w:pPr>
        <w:pStyle w:val="Indenti"/>
        <w:rPr>
          <w:snapToGrid w:val="0"/>
        </w:rPr>
      </w:pPr>
      <w:r>
        <w:rPr>
          <w:snapToGrid w:val="0"/>
        </w:rPr>
        <w:tab/>
        <w:t>(v)</w:t>
      </w:r>
      <w:r>
        <w:rPr>
          <w:snapToGrid w:val="0"/>
        </w:rPr>
        <w:tab/>
        <w:t>is displayed on the vessel in plain block design in vertical and not slanting numerals;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vessel shall not carry any passengers; and</w:t>
      </w:r>
    </w:p>
    <w:p>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pPr>
        <w:pStyle w:val="Indenta"/>
        <w:rPr>
          <w:snapToGrid w:val="0"/>
        </w:rPr>
      </w:pPr>
      <w:r>
        <w:rPr>
          <w:snapToGrid w:val="0"/>
        </w:rPr>
        <w:tab/>
        <w:t>(i)</w:t>
      </w:r>
      <w:r>
        <w:rPr>
          <w:snapToGrid w:val="0"/>
        </w:rPr>
        <w:tab/>
        <w:t>any change of the address of the owner is notified to the Chief Executive Officer; and</w:t>
      </w:r>
    </w:p>
    <w:p>
      <w:pPr>
        <w:pStyle w:val="Indenta"/>
        <w:rPr>
          <w:snapToGrid w:val="0"/>
        </w:rPr>
      </w:pPr>
      <w:r>
        <w:rPr>
          <w:snapToGrid w:val="0"/>
        </w:rPr>
        <w:tab/>
        <w:t>(j)</w:t>
      </w:r>
      <w:r>
        <w:rPr>
          <w:snapToGrid w:val="0"/>
        </w:rPr>
        <w:tab/>
        <w:t>if the vessel is transferred —</w:t>
      </w:r>
    </w:p>
    <w:p>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pPr>
        <w:pStyle w:val="Indenti"/>
        <w:rPr>
          <w:snapToGrid w:val="0"/>
        </w:rPr>
      </w:pPr>
      <w:r>
        <w:rPr>
          <w:snapToGrid w:val="0"/>
        </w:rPr>
        <w:tab/>
        <w:t>(iv)</w:t>
      </w:r>
      <w:r>
        <w:rPr>
          <w:snapToGrid w:val="0"/>
        </w:rPr>
        <w:tab/>
        <w:t>the transferee shall produce to the department the previous certificate issued by the department in respect of the vessel.</w:t>
      </w:r>
    </w:p>
    <w:p>
      <w:pPr>
        <w:pStyle w:val="Ednotesubsection"/>
      </w:pPr>
      <w:r>
        <w:tab/>
        <w:t>[(2)</w:t>
      </w:r>
      <w:r>
        <w:tab/>
        <w:t>deleted]</w:t>
      </w:r>
    </w:p>
    <w:p>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2</w:t>
      </w:r>
      <w:r>
        <w:t xml:space="preserve"> p. 1656.]</w:t>
      </w:r>
    </w:p>
    <w:p>
      <w:pPr>
        <w:pStyle w:val="Heading2"/>
      </w:pPr>
      <w:bookmarkStart w:id="19" w:name="_Toc155176967"/>
      <w:r>
        <w:rPr>
          <w:rStyle w:val="CharPartNo"/>
        </w:rPr>
        <w:lastRenderedPageBreak/>
        <w:t>Part III</w:t>
      </w:r>
      <w:r>
        <w:rPr>
          <w:rStyle w:val="CharDivNo"/>
        </w:rPr>
        <w:t> </w:t>
      </w:r>
      <w:r>
        <w:t>—</w:t>
      </w:r>
      <w:r>
        <w:rPr>
          <w:rStyle w:val="CharDivText"/>
        </w:rPr>
        <w:t> </w:t>
      </w:r>
      <w:r>
        <w:rPr>
          <w:rStyle w:val="CharPartText"/>
        </w:rPr>
        <w:t>Certificates</w:t>
      </w:r>
      <w:bookmarkEnd w:id="19"/>
    </w:p>
    <w:p>
      <w:pPr>
        <w:pStyle w:val="Heading5"/>
        <w:rPr>
          <w:snapToGrid w:val="0"/>
        </w:rPr>
      </w:pPr>
      <w:bookmarkStart w:id="20" w:name="_Toc155176968"/>
      <w:r>
        <w:rPr>
          <w:rStyle w:val="CharSectno"/>
        </w:rPr>
        <w:t>11</w:t>
      </w:r>
      <w:r>
        <w:rPr>
          <w:snapToGrid w:val="0"/>
        </w:rPr>
        <w:t>.</w:t>
      </w:r>
      <w:r>
        <w:rPr>
          <w:snapToGrid w:val="0"/>
        </w:rPr>
        <w:tab/>
        <w:t>Certificate of survey, content and issue of</w:t>
      </w:r>
      <w:bookmarkEnd w:id="20"/>
    </w:p>
    <w:p>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pPr>
        <w:pStyle w:val="Subsection"/>
        <w:rPr>
          <w:snapToGrid w:val="0"/>
        </w:rPr>
      </w:pPr>
      <w:r>
        <w:rPr>
          <w:snapToGrid w:val="0"/>
        </w:rPr>
        <w:tab/>
        <w:t>(2)</w:t>
      </w:r>
      <w:r>
        <w:rPr>
          <w:snapToGrid w:val="0"/>
        </w:rPr>
        <w:tab/>
        <w:t>The certificate of survey shall contain the following items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Official Number (if registered vessel);</w:t>
      </w:r>
    </w:p>
    <w:p>
      <w:pPr>
        <w:pStyle w:val="Indenta"/>
        <w:rPr>
          <w:snapToGrid w:val="0"/>
        </w:rPr>
      </w:pPr>
      <w:r>
        <w:rPr>
          <w:snapToGrid w:val="0"/>
        </w:rPr>
        <w:tab/>
      </w:r>
      <w:r>
        <w:rPr>
          <w:snapToGrid w:val="0"/>
        </w:rPr>
        <w:tab/>
        <w:t>Number of Passengers;</w:t>
      </w:r>
    </w:p>
    <w:p>
      <w:pPr>
        <w:pStyle w:val="Indenta"/>
        <w:rPr>
          <w:snapToGrid w:val="0"/>
        </w:rPr>
      </w:pPr>
      <w:r>
        <w:rPr>
          <w:snapToGrid w:val="0"/>
        </w:rPr>
        <w:tab/>
      </w:r>
      <w:r>
        <w:rPr>
          <w:snapToGrid w:val="0"/>
        </w:rPr>
        <w:tab/>
        <w:t>Number of Crew;</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Limits of Operation(s);</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Title of Issuing Authority;</w:t>
      </w:r>
    </w:p>
    <w:p>
      <w:pPr>
        <w:pStyle w:val="Indenta"/>
        <w:rPr>
          <w:snapToGrid w:val="0"/>
        </w:rPr>
      </w:pPr>
      <w:r>
        <w:rPr>
          <w:snapToGrid w:val="0"/>
        </w:rPr>
        <w:tab/>
      </w:r>
      <w:r>
        <w:rPr>
          <w:snapToGrid w:val="0"/>
        </w:rPr>
        <w:tab/>
        <w:t>Signature of authorised officer(s);</w:t>
      </w:r>
    </w:p>
    <w:p>
      <w:pPr>
        <w:pStyle w:val="Indenta"/>
        <w:rPr>
          <w:snapToGrid w:val="0"/>
        </w:rPr>
      </w:pPr>
      <w:r>
        <w:rPr>
          <w:snapToGrid w:val="0"/>
        </w:rPr>
        <w:tab/>
      </w:r>
      <w:r>
        <w:rPr>
          <w:snapToGrid w:val="0"/>
        </w:rPr>
        <w:tab/>
        <w:t>Period of validity from ...................... to ......................;</w:t>
      </w:r>
    </w:p>
    <w:p>
      <w:pPr>
        <w:pStyle w:val="Indenta"/>
        <w:rPr>
          <w:snapToGrid w:val="0"/>
        </w:rPr>
      </w:pPr>
      <w:r>
        <w:rPr>
          <w:snapToGrid w:val="0"/>
        </w:rPr>
        <w:tab/>
      </w:r>
      <w:r>
        <w:rPr>
          <w:snapToGrid w:val="0"/>
        </w:rPr>
        <w:tab/>
        <w:t>Statement that vessel complies with the survey requirements of the                                   Authority.</w:t>
      </w:r>
    </w:p>
    <w:p>
      <w:pPr>
        <w:pStyle w:val="Subsection"/>
        <w:rPr>
          <w:snapToGrid w:val="0"/>
        </w:rPr>
      </w:pPr>
      <w:r>
        <w:rPr>
          <w:snapToGrid w:val="0"/>
        </w:rPr>
        <w:tab/>
        <w:t>(3)</w:t>
      </w:r>
      <w:r>
        <w:rPr>
          <w:snapToGrid w:val="0"/>
        </w:rPr>
        <w:tab/>
        <w:t>The original of the certificate of survey shall be issued to the owner or his agent.</w:t>
      </w:r>
    </w:p>
    <w:p>
      <w:pPr>
        <w:pStyle w:val="Footnotesection"/>
      </w:pPr>
      <w:r>
        <w:tab/>
        <w:t>[Regulation 11 amended: Gazette 11 Aug 1992 p. 3980.]</w:t>
      </w:r>
    </w:p>
    <w:p>
      <w:pPr>
        <w:pStyle w:val="Heading5"/>
        <w:rPr>
          <w:snapToGrid w:val="0"/>
        </w:rPr>
      </w:pPr>
      <w:bookmarkStart w:id="21" w:name="_Toc155176969"/>
      <w:r>
        <w:rPr>
          <w:rStyle w:val="CharSectno"/>
        </w:rPr>
        <w:t>12</w:t>
      </w:r>
      <w:r>
        <w:rPr>
          <w:snapToGrid w:val="0"/>
        </w:rPr>
        <w:t>.</w:t>
      </w:r>
      <w:r>
        <w:rPr>
          <w:snapToGrid w:val="0"/>
        </w:rPr>
        <w:tab/>
        <w:t>Compliance with survey requirements, evidence of on vessel</w:t>
      </w:r>
      <w:bookmarkEnd w:id="21"/>
    </w:p>
    <w:p>
      <w:pPr>
        <w:pStyle w:val="Subsection"/>
        <w:rPr>
          <w:snapToGrid w:val="0"/>
        </w:rPr>
      </w:pPr>
      <w:r>
        <w:rPr>
          <w:snapToGrid w:val="0"/>
        </w:rPr>
        <w:tab/>
        <w:t>(1)</w:t>
      </w:r>
      <w:r>
        <w:rPr>
          <w:snapToGrid w:val="0"/>
        </w:rPr>
        <w:tab/>
        <w:t xml:space="preserve">Evidence of compliance with the appropriate survey requirements shall consist of the display of the original, or a copy of the certificate of survey, or a plasticised document or a </w:t>
      </w:r>
      <w:r>
        <w:rPr>
          <w:snapToGrid w:val="0"/>
        </w:rPr>
        <w:lastRenderedPageBreak/>
        <w:t>sticker or a metal plate referring to the certificate of survey, as may be approved by the Chief Executive Officer.</w:t>
      </w:r>
    </w:p>
    <w:p>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Maximum number of persons carried;</w:t>
      </w:r>
    </w:p>
    <w:p>
      <w:pPr>
        <w:pStyle w:val="Indenta"/>
        <w:rPr>
          <w:snapToGrid w:val="0"/>
        </w:rPr>
      </w:pPr>
      <w:r>
        <w:rPr>
          <w:snapToGrid w:val="0"/>
        </w:rPr>
        <w:tab/>
      </w:r>
      <w:r>
        <w:rPr>
          <w:snapToGrid w:val="0"/>
        </w:rPr>
        <w:tab/>
        <w:t>Limits of operation;</w:t>
      </w:r>
    </w:p>
    <w:p>
      <w:pPr>
        <w:pStyle w:val="Indenta"/>
        <w:rPr>
          <w:snapToGrid w:val="0"/>
        </w:rPr>
      </w:pPr>
      <w:r>
        <w:rPr>
          <w:snapToGrid w:val="0"/>
        </w:rPr>
        <w:tab/>
      </w:r>
      <w:r>
        <w:rPr>
          <w:snapToGrid w:val="0"/>
        </w:rPr>
        <w:tab/>
        <w:t>Issuing authority and signature of issuing officer;</w:t>
      </w:r>
    </w:p>
    <w:p>
      <w:pPr>
        <w:pStyle w:val="Indenta"/>
        <w:rPr>
          <w:snapToGrid w:val="0"/>
        </w:rPr>
      </w:pPr>
      <w:r>
        <w:rPr>
          <w:snapToGrid w:val="0"/>
        </w:rPr>
        <w:tab/>
      </w:r>
      <w:r>
        <w:rPr>
          <w:snapToGrid w:val="0"/>
        </w:rPr>
        <w:tab/>
        <w:t>Date of expiry.</w:t>
      </w:r>
    </w:p>
    <w:p>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pPr>
        <w:pStyle w:val="Footnotesection"/>
      </w:pPr>
      <w:r>
        <w:tab/>
        <w:t>[Regulation 12 amended: Gazette 11 Aug 1992 p. 3980.]</w:t>
      </w:r>
    </w:p>
    <w:p>
      <w:pPr>
        <w:pStyle w:val="Heading5"/>
        <w:rPr>
          <w:snapToGrid w:val="0"/>
        </w:rPr>
      </w:pPr>
      <w:bookmarkStart w:id="22" w:name="_Toc155176970"/>
      <w:r>
        <w:rPr>
          <w:rStyle w:val="CharSectno"/>
        </w:rPr>
        <w:t>13</w:t>
      </w:r>
      <w:r>
        <w:rPr>
          <w:snapToGrid w:val="0"/>
        </w:rPr>
        <w:t>.</w:t>
      </w:r>
      <w:r>
        <w:rPr>
          <w:snapToGrid w:val="0"/>
        </w:rPr>
        <w:tab/>
        <w:t>Revalidation or renewal of certificate of survey after subsequent survey</w:t>
      </w:r>
      <w:bookmarkEnd w:id="22"/>
    </w:p>
    <w:p>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lastRenderedPageBreak/>
        <w:tab/>
        <w:t>(b)</w:t>
      </w:r>
      <w:r>
        <w:rPr>
          <w:snapToGrid w:val="0"/>
        </w:rPr>
        <w:tab/>
        <w:t>a statement of revalidation, in a suitable form, that the evidence carried on the vessel under section 27 of the Act shall remain valid until the new expiry date indicated (which date shall usually be the due date of the next survey).</w:t>
      </w:r>
    </w:p>
    <w:p>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pPr>
        <w:pStyle w:val="Footnotesection"/>
      </w:pPr>
      <w:r>
        <w:tab/>
        <w:t>[Regulation 13 amended: Gazette 11 Aug 1992 p. 3980.]</w:t>
      </w:r>
    </w:p>
    <w:p>
      <w:pPr>
        <w:pStyle w:val="Heading5"/>
        <w:rPr>
          <w:snapToGrid w:val="0"/>
        </w:rPr>
      </w:pPr>
      <w:bookmarkStart w:id="23" w:name="_Toc155176971"/>
      <w:r>
        <w:rPr>
          <w:rStyle w:val="CharSectno"/>
        </w:rPr>
        <w:t>14</w:t>
      </w:r>
      <w:r>
        <w:rPr>
          <w:snapToGrid w:val="0"/>
        </w:rPr>
        <w:t>.</w:t>
      </w:r>
      <w:r>
        <w:rPr>
          <w:snapToGrid w:val="0"/>
        </w:rPr>
        <w:tab/>
        <w:t>Extension of certificate of survey</w:t>
      </w:r>
      <w:bookmarkEnd w:id="23"/>
    </w:p>
    <w:p>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pPr>
        <w:pStyle w:val="Subsection"/>
        <w:rPr>
          <w:snapToGrid w:val="0"/>
        </w:rPr>
      </w:pPr>
      <w:r>
        <w:rPr>
          <w:snapToGrid w:val="0"/>
        </w:rPr>
        <w:tab/>
        <w:t>(2)</w:t>
      </w:r>
      <w:r>
        <w:rPr>
          <w:snapToGrid w:val="0"/>
        </w:rPr>
        <w:tab/>
        <w:t>An application under subregulation (1) shall be accompanied by the appropriate fee set out in Schedule 1.</w:t>
      </w:r>
    </w:p>
    <w:p>
      <w:pPr>
        <w:pStyle w:val="Subsection"/>
        <w:rPr>
          <w:snapToGrid w:val="0"/>
          <w:spacing w:val="-4"/>
        </w:rPr>
      </w:pPr>
      <w:r>
        <w:rPr>
          <w:snapToGrid w:val="0"/>
        </w:rPr>
        <w:lastRenderedPageBreak/>
        <w:tab/>
        <w:t>(3)</w:t>
      </w:r>
      <w:r>
        <w:rPr>
          <w:snapToGrid w:val="0"/>
        </w:rPr>
        <w:tab/>
        <w:t>In any case in which the Chief Executive Officer is satisfied that the immediate survey of a vessel is impracticable or would 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pPr>
        <w:pStyle w:val="Footnotesection"/>
      </w:pPr>
      <w:r>
        <w:tab/>
        <w:t>[Regulation 14 amended: Gazette 11 Aug 1992 p. 3980.]</w:t>
      </w:r>
    </w:p>
    <w:p>
      <w:pPr>
        <w:pStyle w:val="Heading5"/>
        <w:rPr>
          <w:snapToGrid w:val="0"/>
        </w:rPr>
      </w:pPr>
      <w:bookmarkStart w:id="24" w:name="_Toc155176972"/>
      <w:r>
        <w:rPr>
          <w:rStyle w:val="CharSectno"/>
        </w:rPr>
        <w:t>15</w:t>
      </w:r>
      <w:r>
        <w:rPr>
          <w:snapToGrid w:val="0"/>
        </w:rPr>
        <w:t>.</w:t>
      </w:r>
      <w:r>
        <w:rPr>
          <w:snapToGrid w:val="0"/>
        </w:rPr>
        <w:tab/>
        <w:t>Suspending or cancelling certificate of survey</w:t>
      </w:r>
      <w:bookmarkEnd w:id="24"/>
    </w:p>
    <w:p>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pPr>
        <w:pStyle w:val="Footnotesection"/>
      </w:pPr>
      <w:r>
        <w:tab/>
        <w:t>[Regulation 15 amended: Gazette 11 Aug 1992 p. 3980.]</w:t>
      </w:r>
    </w:p>
    <w:p>
      <w:pPr>
        <w:pStyle w:val="Heading5"/>
        <w:rPr>
          <w:snapToGrid w:val="0"/>
        </w:rPr>
      </w:pPr>
      <w:bookmarkStart w:id="25" w:name="_Toc155176973"/>
      <w:r>
        <w:rPr>
          <w:rStyle w:val="CharSectno"/>
        </w:rPr>
        <w:t>16</w:t>
      </w:r>
      <w:r>
        <w:rPr>
          <w:snapToGrid w:val="0"/>
        </w:rPr>
        <w:t>.</w:t>
      </w:r>
      <w:r>
        <w:rPr>
          <w:snapToGrid w:val="0"/>
        </w:rPr>
        <w:tab/>
        <w:t>Sale etc. of surveyed vessel, owner to notify CEO of</w:t>
      </w:r>
      <w:bookmarkEnd w:id="25"/>
    </w:p>
    <w:p>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pPr>
        <w:pStyle w:val="Indenta"/>
        <w:rPr>
          <w:snapToGrid w:val="0"/>
        </w:rPr>
      </w:pPr>
      <w:r>
        <w:rPr>
          <w:snapToGrid w:val="0"/>
        </w:rPr>
        <w:tab/>
        <w:t>(a)</w:t>
      </w:r>
      <w:r>
        <w:rPr>
          <w:snapToGrid w:val="0"/>
        </w:rPr>
        <w:tab/>
        <w:t>the sale of the vessel and the name and address of the new owner; or</w:t>
      </w:r>
    </w:p>
    <w:p>
      <w:pPr>
        <w:pStyle w:val="Indenta"/>
        <w:rPr>
          <w:snapToGrid w:val="0"/>
        </w:rPr>
      </w:pPr>
      <w:r>
        <w:rPr>
          <w:snapToGrid w:val="0"/>
        </w:rPr>
        <w:lastRenderedPageBreak/>
        <w:tab/>
        <w:t>(b)</w:t>
      </w:r>
      <w:r>
        <w:rPr>
          <w:snapToGrid w:val="0"/>
        </w:rPr>
        <w:tab/>
        <w:t>a decision to withdraw the vessel from commercial operations; or</w:t>
      </w:r>
    </w:p>
    <w:p>
      <w:pPr>
        <w:pStyle w:val="Indenta"/>
        <w:rPr>
          <w:snapToGrid w:val="0"/>
        </w:rPr>
      </w:pPr>
      <w:r>
        <w:rPr>
          <w:snapToGrid w:val="0"/>
        </w:rPr>
        <w:tab/>
        <w:t>(c)</w:t>
      </w:r>
      <w:r>
        <w:rPr>
          <w:snapToGrid w:val="0"/>
        </w:rPr>
        <w:tab/>
        <w:t>the transfer of the vessel into the jurisdiction of another marine authority for an extended period; or</w:t>
      </w:r>
    </w:p>
    <w:p>
      <w:pPr>
        <w:pStyle w:val="Indenta"/>
        <w:rPr>
          <w:snapToGrid w:val="0"/>
        </w:rPr>
      </w:pPr>
      <w:r>
        <w:rPr>
          <w:snapToGrid w:val="0"/>
        </w:rPr>
        <w:tab/>
        <w:t>(d)</w:t>
      </w:r>
      <w:r>
        <w:rPr>
          <w:snapToGrid w:val="0"/>
        </w:rPr>
        <w:tab/>
        <w:t>any significant alteration of the vessel or its manner of operation.</w:t>
      </w:r>
    </w:p>
    <w:p>
      <w:pPr>
        <w:pStyle w:val="Penstart"/>
        <w:rPr>
          <w:snapToGrid w:val="0"/>
        </w:rPr>
      </w:pPr>
      <w:r>
        <w:rPr>
          <w:snapToGrid w:val="0"/>
        </w:rPr>
        <w:tab/>
        <w:t>Penalty: $250.</w:t>
      </w:r>
    </w:p>
    <w:p>
      <w:pPr>
        <w:pStyle w:val="Footnotesection"/>
      </w:pPr>
      <w:r>
        <w:tab/>
        <w:t>[Regulation 16 amended: Gazette 11 Aug 1992 p. 3980.]</w:t>
      </w:r>
    </w:p>
    <w:p>
      <w:pPr>
        <w:pStyle w:val="Heading5"/>
        <w:rPr>
          <w:snapToGrid w:val="0"/>
        </w:rPr>
      </w:pPr>
      <w:bookmarkStart w:id="26" w:name="_Toc155176974"/>
      <w:r>
        <w:rPr>
          <w:rStyle w:val="CharSectno"/>
        </w:rPr>
        <w:t>17</w:t>
      </w:r>
      <w:r>
        <w:rPr>
          <w:snapToGrid w:val="0"/>
        </w:rPr>
        <w:t>.</w:t>
      </w:r>
      <w:r>
        <w:rPr>
          <w:snapToGrid w:val="0"/>
        </w:rPr>
        <w:tab/>
        <w:t>Certificate of survey issued outside WA, acceptance of</w:t>
      </w:r>
      <w:bookmarkEnd w:id="26"/>
    </w:p>
    <w:p>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pPr>
        <w:pStyle w:val="Footnotesection"/>
      </w:pPr>
      <w:r>
        <w:tab/>
        <w:t>[Regulation 17 amended: Gazette 11 Aug 1992 p. 3980.]</w:t>
      </w:r>
    </w:p>
    <w:p>
      <w:pPr>
        <w:pStyle w:val="Heading5"/>
        <w:rPr>
          <w:snapToGrid w:val="0"/>
        </w:rPr>
      </w:pPr>
      <w:bookmarkStart w:id="27" w:name="_Toc155176975"/>
      <w:r>
        <w:rPr>
          <w:rStyle w:val="CharSectno"/>
        </w:rPr>
        <w:t>18</w:t>
      </w:r>
      <w:r>
        <w:rPr>
          <w:snapToGrid w:val="0"/>
        </w:rPr>
        <w:t>.</w:t>
      </w:r>
      <w:r>
        <w:rPr>
          <w:snapToGrid w:val="0"/>
        </w:rPr>
        <w:tab/>
        <w:t>Survey programme approved outside WA may continue in WA</w:t>
      </w:r>
      <w:bookmarkEnd w:id="27"/>
    </w:p>
    <w:p>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pPr>
        <w:pStyle w:val="Footnotesection"/>
      </w:pPr>
      <w:r>
        <w:tab/>
        <w:t>[Regulation 18 amended: Gazette 11 Aug 1992 p. 3980.]</w:t>
      </w:r>
    </w:p>
    <w:p>
      <w:pPr>
        <w:pStyle w:val="Heading2"/>
      </w:pPr>
      <w:bookmarkStart w:id="28" w:name="_Toc155176976"/>
      <w:r>
        <w:rPr>
          <w:rStyle w:val="CharPartNo"/>
        </w:rPr>
        <w:lastRenderedPageBreak/>
        <w:t>Part IV</w:t>
      </w:r>
      <w:r>
        <w:rPr>
          <w:rStyle w:val="CharDivNo"/>
        </w:rPr>
        <w:t> </w:t>
      </w:r>
      <w:r>
        <w:t>—</w:t>
      </w:r>
      <w:r>
        <w:rPr>
          <w:rStyle w:val="CharDivText"/>
        </w:rPr>
        <w:t> </w:t>
      </w:r>
      <w:r>
        <w:rPr>
          <w:rStyle w:val="CharPartText"/>
        </w:rPr>
        <w:t>Single voyage towage permits</w:t>
      </w:r>
      <w:bookmarkEnd w:id="28"/>
    </w:p>
    <w:p>
      <w:pPr>
        <w:pStyle w:val="Heading5"/>
        <w:spacing w:before="180"/>
        <w:rPr>
          <w:snapToGrid w:val="0"/>
        </w:rPr>
      </w:pPr>
      <w:bookmarkStart w:id="29" w:name="_Toc155176977"/>
      <w:r>
        <w:rPr>
          <w:rStyle w:val="CharSectno"/>
        </w:rPr>
        <w:t>19</w:t>
      </w:r>
      <w:r>
        <w:rPr>
          <w:snapToGrid w:val="0"/>
        </w:rPr>
        <w:t>.</w:t>
      </w:r>
      <w:r>
        <w:rPr>
          <w:snapToGrid w:val="0"/>
        </w:rPr>
        <w:tab/>
        <w:t>Application of this Part</w:t>
      </w:r>
      <w:bookmarkEnd w:id="29"/>
    </w:p>
    <w:p>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pPr>
        <w:pStyle w:val="Indenta"/>
        <w:rPr>
          <w:snapToGrid w:val="0"/>
        </w:rPr>
      </w:pPr>
      <w:r>
        <w:rPr>
          <w:snapToGrid w:val="0"/>
        </w:rPr>
        <w:tab/>
        <w:t>(a)</w:t>
      </w:r>
      <w:r>
        <w:rPr>
          <w:snapToGrid w:val="0"/>
        </w:rPr>
        <w:tab/>
        <w:t>regular towage of cargo on a commercial basis; and</w:t>
      </w:r>
    </w:p>
    <w:p>
      <w:pPr>
        <w:pStyle w:val="Indenta"/>
        <w:rPr>
          <w:snapToGrid w:val="0"/>
        </w:rPr>
      </w:pPr>
      <w:r>
        <w:rPr>
          <w:snapToGrid w:val="0"/>
        </w:rPr>
        <w:tab/>
        <w:t>(b)</w:t>
      </w:r>
      <w:r>
        <w:rPr>
          <w:snapToGrid w:val="0"/>
        </w:rPr>
        <w:tab/>
        <w:t>the harbour towage of vessels; and</w:t>
      </w:r>
    </w:p>
    <w:p>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pPr>
        <w:pStyle w:val="Heading5"/>
        <w:spacing w:before="180"/>
        <w:rPr>
          <w:snapToGrid w:val="0"/>
        </w:rPr>
      </w:pPr>
      <w:bookmarkStart w:id="30" w:name="_Toc155176978"/>
      <w:r>
        <w:rPr>
          <w:rStyle w:val="CharSectno"/>
        </w:rPr>
        <w:t>20</w:t>
      </w:r>
      <w:r>
        <w:rPr>
          <w:snapToGrid w:val="0"/>
        </w:rPr>
        <w:t>.</w:t>
      </w:r>
      <w:r>
        <w:rPr>
          <w:snapToGrid w:val="0"/>
        </w:rPr>
        <w:tab/>
        <w:t>Application for towage permit</w:t>
      </w:r>
      <w:bookmarkEnd w:id="30"/>
    </w:p>
    <w:p>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pPr>
        <w:pStyle w:val="Indenta"/>
        <w:rPr>
          <w:snapToGrid w:val="0"/>
        </w:rPr>
      </w:pPr>
      <w:r>
        <w:rPr>
          <w:snapToGrid w:val="0"/>
        </w:rPr>
        <w:tab/>
        <w:t>(a)</w:t>
      </w:r>
      <w:r>
        <w:rPr>
          <w:snapToGrid w:val="0"/>
        </w:rPr>
        <w:tab/>
        <w:t>nature of tow (e.g. ferry, cargo ship, unloaded barge, etc.);</w:t>
      </w:r>
    </w:p>
    <w:p>
      <w:pPr>
        <w:pStyle w:val="Indenta"/>
        <w:rPr>
          <w:snapToGrid w:val="0"/>
        </w:rPr>
      </w:pPr>
      <w:r>
        <w:rPr>
          <w:snapToGrid w:val="0"/>
        </w:rPr>
        <w:tab/>
        <w:t>(b)</w:t>
      </w:r>
      <w:r>
        <w:rPr>
          <w:snapToGrid w:val="0"/>
        </w:rPr>
        <w:tab/>
        <w:t>name, official number and port of registry;</w:t>
      </w:r>
    </w:p>
    <w:p>
      <w:pPr>
        <w:pStyle w:val="Indenta"/>
        <w:rPr>
          <w:snapToGrid w:val="0"/>
        </w:rPr>
      </w:pPr>
      <w:r>
        <w:rPr>
          <w:snapToGrid w:val="0"/>
        </w:rPr>
        <w:tab/>
        <w:t>(c)</w:t>
      </w:r>
      <w:r>
        <w:rPr>
          <w:snapToGrid w:val="0"/>
        </w:rPr>
        <w:tab/>
        <w:t>details of any current certificates relating to the tow;</w:t>
      </w:r>
    </w:p>
    <w:p>
      <w:pPr>
        <w:pStyle w:val="Indenta"/>
        <w:rPr>
          <w:snapToGrid w:val="0"/>
        </w:rPr>
      </w:pPr>
      <w:r>
        <w:rPr>
          <w:snapToGrid w:val="0"/>
        </w:rPr>
        <w:tab/>
        <w:t>(d)</w:t>
      </w:r>
      <w:r>
        <w:rPr>
          <w:snapToGrid w:val="0"/>
        </w:rPr>
        <w:tab/>
        <w:t>point of departure and destination of tow;</w:t>
      </w:r>
    </w:p>
    <w:p>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pPr>
        <w:pStyle w:val="Subsection"/>
        <w:spacing w:before="120"/>
        <w:rPr>
          <w:snapToGrid w:val="0"/>
        </w:rPr>
      </w:pPr>
      <w:r>
        <w:rPr>
          <w:snapToGrid w:val="0"/>
        </w:rPr>
        <w:tab/>
      </w:r>
      <w:r>
        <w:rPr>
          <w:snapToGrid w:val="0"/>
        </w:rPr>
        <w:tab/>
        <w:t>and such other information as the Chief Executive Officer may require.</w:t>
      </w:r>
    </w:p>
    <w:p>
      <w:pPr>
        <w:pStyle w:val="Subsection"/>
        <w:rPr>
          <w:snapToGrid w:val="0"/>
        </w:rPr>
      </w:pPr>
      <w:r>
        <w:rPr>
          <w:snapToGrid w:val="0"/>
        </w:rPr>
        <w:lastRenderedPageBreak/>
        <w:tab/>
        <w:t>(3)</w:t>
      </w:r>
      <w:r>
        <w:rPr>
          <w:snapToGrid w:val="0"/>
        </w:rPr>
        <w:tab/>
        <w:t>The owner of the vessel to be towed, or the owner, master or agent of the towing vessel shall be required to forward the following information to the Chief Executive Officer regarding the towing vessel —</w:t>
      </w:r>
    </w:p>
    <w:p>
      <w:pPr>
        <w:pStyle w:val="Indenta"/>
        <w:rPr>
          <w:snapToGrid w:val="0"/>
        </w:rPr>
      </w:pPr>
      <w:r>
        <w:rPr>
          <w:snapToGrid w:val="0"/>
        </w:rPr>
        <w:tab/>
        <w:t>(a)</w:t>
      </w:r>
      <w:r>
        <w:rPr>
          <w:snapToGrid w:val="0"/>
        </w:rPr>
        <w:tab/>
        <w:t>name, official number and port of registry; and</w:t>
      </w:r>
    </w:p>
    <w:p>
      <w:pPr>
        <w:pStyle w:val="Indenta"/>
        <w:rPr>
          <w:snapToGrid w:val="0"/>
        </w:rPr>
      </w:pPr>
      <w:r>
        <w:rPr>
          <w:snapToGrid w:val="0"/>
        </w:rPr>
        <w:tab/>
        <w:t>(b)</w:t>
      </w:r>
      <w:r>
        <w:rPr>
          <w:snapToGrid w:val="0"/>
        </w:rPr>
        <w:tab/>
        <w:t>type of vessel; and</w:t>
      </w:r>
    </w:p>
    <w:p>
      <w:pPr>
        <w:pStyle w:val="Indenta"/>
        <w:rPr>
          <w:snapToGrid w:val="0"/>
        </w:rPr>
      </w:pPr>
      <w:r>
        <w:rPr>
          <w:snapToGrid w:val="0"/>
        </w:rPr>
        <w:tab/>
        <w:t>(c)</w:t>
      </w:r>
      <w:r>
        <w:rPr>
          <w:snapToGrid w:val="0"/>
        </w:rPr>
        <w:tab/>
        <w:t>details of any current certificates relating to the towing vessel; and</w:t>
      </w:r>
    </w:p>
    <w:p>
      <w:pPr>
        <w:pStyle w:val="Indenta"/>
        <w:rPr>
          <w:snapToGrid w:val="0"/>
        </w:rPr>
      </w:pPr>
      <w:r>
        <w:rPr>
          <w:snapToGrid w:val="0"/>
        </w:rPr>
        <w:tab/>
        <w:t>(d)</w:t>
      </w:r>
      <w:r>
        <w:rPr>
          <w:snapToGrid w:val="0"/>
        </w:rPr>
        <w:tab/>
        <w:t>propulsion power and or bollard pull; and</w:t>
      </w:r>
    </w:p>
    <w:p>
      <w:pPr>
        <w:pStyle w:val="Indenta"/>
        <w:rPr>
          <w:snapToGrid w:val="0"/>
        </w:rPr>
      </w:pPr>
      <w:r>
        <w:rPr>
          <w:snapToGrid w:val="0"/>
        </w:rPr>
        <w:tab/>
        <w:t>(e)</w:t>
      </w:r>
      <w:r>
        <w:rPr>
          <w:snapToGrid w:val="0"/>
        </w:rPr>
        <w:tab/>
        <w:t>any such other information as the Chief Executive Officer may require.</w:t>
      </w:r>
    </w:p>
    <w:p>
      <w:pPr>
        <w:pStyle w:val="Footnotesection"/>
      </w:pPr>
      <w:r>
        <w:tab/>
        <w:t>[Regulation 20 amended: Gazette 30 Jun 1989 p. 1924; 11 Aug 1992 p. 3980.]</w:t>
      </w:r>
    </w:p>
    <w:p>
      <w:pPr>
        <w:pStyle w:val="Heading5"/>
        <w:rPr>
          <w:snapToGrid w:val="0"/>
        </w:rPr>
      </w:pPr>
      <w:bookmarkStart w:id="31" w:name="_Toc155176979"/>
      <w:r>
        <w:rPr>
          <w:rStyle w:val="CharSectno"/>
        </w:rPr>
        <w:t>21</w:t>
      </w:r>
      <w:r>
        <w:rPr>
          <w:snapToGrid w:val="0"/>
        </w:rPr>
        <w:t>.</w:t>
      </w:r>
      <w:r>
        <w:rPr>
          <w:snapToGrid w:val="0"/>
        </w:rPr>
        <w:tab/>
        <w:t>Issue of towage permit</w:t>
      </w:r>
      <w:bookmarkEnd w:id="31"/>
    </w:p>
    <w:p>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pPr>
        <w:pStyle w:val="Subsection"/>
        <w:rPr>
          <w:snapToGrid w:val="0"/>
        </w:rPr>
      </w:pPr>
      <w:r>
        <w:rPr>
          <w:snapToGrid w:val="0"/>
        </w:rPr>
        <w:tab/>
        <w:t>(2)</w:t>
      </w:r>
      <w:r>
        <w:rPr>
          <w:snapToGrid w:val="0"/>
        </w:rPr>
        <w:tab/>
        <w:t>The inspection of a vessel under subregulation (1) shall have regard to —</w:t>
      </w:r>
    </w:p>
    <w:p>
      <w:pPr>
        <w:pStyle w:val="Indenta"/>
        <w:rPr>
          <w:snapToGrid w:val="0"/>
        </w:rPr>
      </w:pPr>
      <w:r>
        <w:rPr>
          <w:snapToGrid w:val="0"/>
        </w:rPr>
        <w:tab/>
        <w:t>(a)</w:t>
      </w:r>
      <w:r>
        <w:rPr>
          <w:snapToGrid w:val="0"/>
        </w:rPr>
        <w:tab/>
        <w:t>the structural condition of the hull, taking into account the intended voyage; and</w:t>
      </w:r>
    </w:p>
    <w:p>
      <w:pPr>
        <w:pStyle w:val="Indenta"/>
        <w:rPr>
          <w:snapToGrid w:val="0"/>
        </w:rPr>
      </w:pPr>
      <w:r>
        <w:rPr>
          <w:snapToGrid w:val="0"/>
        </w:rPr>
        <w:tab/>
        <w:t>(b)</w:t>
      </w:r>
      <w:r>
        <w:rPr>
          <w:snapToGrid w:val="0"/>
        </w:rPr>
        <w:tab/>
        <w:t>the prevention of water entering the hull by the provision of adequate means of closing all openings; and</w:t>
      </w:r>
    </w:p>
    <w:p>
      <w:pPr>
        <w:pStyle w:val="Indenta"/>
        <w:rPr>
          <w:snapToGrid w:val="0"/>
        </w:rPr>
      </w:pPr>
      <w:r>
        <w:rPr>
          <w:snapToGrid w:val="0"/>
        </w:rPr>
        <w:tab/>
        <w:t>(c)</w:t>
      </w:r>
      <w:r>
        <w:rPr>
          <w:snapToGrid w:val="0"/>
        </w:rPr>
        <w:tab/>
        <w:t>the stability of the vessel in the towed condition; and</w:t>
      </w:r>
    </w:p>
    <w:p>
      <w:pPr>
        <w:pStyle w:val="Indenta"/>
        <w:rPr>
          <w:snapToGrid w:val="0"/>
        </w:rPr>
      </w:pPr>
      <w:r>
        <w:rPr>
          <w:snapToGrid w:val="0"/>
        </w:rPr>
        <w:tab/>
        <w:t>(d)</w:t>
      </w:r>
      <w:r>
        <w:rPr>
          <w:snapToGrid w:val="0"/>
        </w:rPr>
        <w:tab/>
        <w:t>the proposed towing arrangements; and</w:t>
      </w:r>
    </w:p>
    <w:p>
      <w:pPr>
        <w:pStyle w:val="Indenta"/>
        <w:rPr>
          <w:snapToGrid w:val="0"/>
        </w:rPr>
      </w:pPr>
      <w:r>
        <w:rPr>
          <w:snapToGrid w:val="0"/>
        </w:rPr>
        <w:tab/>
        <w:t>(e)</w:t>
      </w:r>
      <w:r>
        <w:rPr>
          <w:snapToGrid w:val="0"/>
        </w:rPr>
        <w:tab/>
        <w:t>the necessity to ensure compliance with the regulations as to collisions.</w:t>
      </w:r>
    </w:p>
    <w:p>
      <w:pPr>
        <w:pStyle w:val="Subsection"/>
        <w:rPr>
          <w:snapToGrid w:val="0"/>
        </w:rPr>
      </w:pPr>
      <w:r>
        <w:rPr>
          <w:snapToGrid w:val="0"/>
        </w:rPr>
        <w:tab/>
        <w:t>(3)</w:t>
      </w:r>
      <w:r>
        <w:rPr>
          <w:snapToGrid w:val="0"/>
        </w:rPr>
        <w:tab/>
        <w:t xml:space="preserve">Subject to a satisfactory inspection under this regulation, the Chief Executive Officer may issue a towage permit in the </w:t>
      </w:r>
      <w:r>
        <w:rPr>
          <w:snapToGrid w:val="0"/>
        </w:rPr>
        <w:lastRenderedPageBreak/>
        <w:t>specified form and a towage permit may be issued subject to such conditions as are set out in the permit.</w:t>
      </w:r>
    </w:p>
    <w:p>
      <w:pPr>
        <w:pStyle w:val="Footnotesection"/>
      </w:pPr>
      <w:r>
        <w:tab/>
        <w:t>[Regulation 21 amended: Gazette 11 Aug 1992 p. 3980.]</w:t>
      </w:r>
    </w:p>
    <w:p>
      <w:pPr>
        <w:pStyle w:val="Heading5"/>
        <w:rPr>
          <w:snapToGrid w:val="0"/>
        </w:rPr>
      </w:pPr>
      <w:bookmarkStart w:id="32" w:name="_Toc155176980"/>
      <w:r>
        <w:rPr>
          <w:rStyle w:val="CharSectno"/>
        </w:rPr>
        <w:t>22</w:t>
      </w:r>
      <w:r>
        <w:rPr>
          <w:snapToGrid w:val="0"/>
        </w:rPr>
        <w:t>.</w:t>
      </w:r>
      <w:r>
        <w:rPr>
          <w:snapToGrid w:val="0"/>
        </w:rPr>
        <w:tab/>
        <w:t>Offence for vessel to be towed without towage permit</w:t>
      </w:r>
      <w:bookmarkEnd w:id="32"/>
    </w:p>
    <w:p>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pPr>
        <w:pStyle w:val="Ednotesection"/>
      </w:pPr>
      <w:r>
        <w:rPr>
          <w:rStyle w:val="CharSectno"/>
        </w:rPr>
        <w:t>[</w:t>
      </w:r>
      <w:r>
        <w:rPr>
          <w:rStyle w:val="CharSectno"/>
          <w:b/>
        </w:rPr>
        <w:t>23</w:t>
      </w:r>
      <w:r>
        <w:rPr>
          <w:b/>
        </w:rPr>
        <w:t>.</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3" w:name="_Toc155176981"/>
      <w:r>
        <w:rPr>
          <w:rStyle w:val="CharSchNo"/>
        </w:rPr>
        <w:lastRenderedPageBreak/>
        <w:t>Schedule 1 </w:t>
      </w:r>
      <w:r>
        <w:t>— </w:t>
      </w:r>
      <w:r>
        <w:rPr>
          <w:rStyle w:val="CharSchText"/>
        </w:rPr>
        <w:t>Fees</w:t>
      </w:r>
      <w:bookmarkEnd w:id="33"/>
    </w:p>
    <w:p>
      <w:pPr>
        <w:pStyle w:val="yShoulderClause"/>
      </w:pPr>
      <w:r>
        <w:t>[r. 4A]</w:t>
      </w:r>
    </w:p>
    <w:p>
      <w:pPr>
        <w:pStyle w:val="yFootnoteheading"/>
        <w:spacing w:after="120"/>
      </w:pPr>
      <w:r>
        <w:tab/>
        <w:t>[Heading inserted: Gazette 25 Jun 2004 p. 2251.]</w:t>
      </w:r>
    </w:p>
    <w:p>
      <w:pPr>
        <w:pStyle w:val="yHeading5"/>
      </w:pPr>
      <w:bookmarkStart w:id="34" w:name="_Toc155176982"/>
      <w:r>
        <w:rPr>
          <w:rStyle w:val="CharSClsNo"/>
        </w:rPr>
        <w:t>1</w:t>
      </w:r>
      <w:r>
        <w:t>.</w:t>
      </w:r>
      <w:r>
        <w:tab/>
        <w:t>Survey fees</w:t>
      </w:r>
      <w:bookmarkEnd w:id="34"/>
    </w:p>
    <w:p>
      <w:pPr>
        <w:pStyle w:val="ySubsection"/>
      </w:pPr>
      <w:r>
        <w:tab/>
        <w:t>(a)</w:t>
      </w:r>
      <w:r>
        <w:tab/>
        <w:t>Subject to paragraph (b), the standard fees for examination of plans of a vessel, initial surveys and subsequent surveys are set out in the Table to this paragraph.</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trPr>
          <w:cantSplit/>
          <w:tblHeader/>
        </w:trPr>
        <w:tc>
          <w:tcPr>
            <w:tcW w:w="1701" w:type="dxa"/>
            <w:noWrap/>
          </w:tcPr>
          <w:p>
            <w:pPr>
              <w:pStyle w:val="yTableNAm"/>
              <w:rPr>
                <w:b/>
              </w:rPr>
            </w:pPr>
            <w:r>
              <w:rPr>
                <w:b/>
              </w:rPr>
              <w:t>Length of vessel</w:t>
            </w:r>
            <w:r>
              <w:rPr>
                <w:b/>
              </w:rPr>
              <w:br/>
              <w:t>(metres)</w:t>
            </w:r>
          </w:p>
        </w:tc>
        <w:tc>
          <w:tcPr>
            <w:tcW w:w="1512" w:type="dxa"/>
            <w:noWrap/>
          </w:tcPr>
          <w:p>
            <w:pPr>
              <w:pStyle w:val="yTableNAm"/>
              <w:jc w:val="center"/>
              <w:rPr>
                <w:b/>
              </w:rPr>
            </w:pPr>
            <w:r>
              <w:rPr>
                <w:b/>
              </w:rPr>
              <w:t>Examination of plans</w:t>
            </w:r>
            <w:r>
              <w:rPr>
                <w:b/>
              </w:rPr>
              <w:br/>
              <w:t>($)</w:t>
            </w:r>
          </w:p>
        </w:tc>
        <w:tc>
          <w:tcPr>
            <w:tcW w:w="1512" w:type="dxa"/>
            <w:noWrap/>
          </w:tcPr>
          <w:p>
            <w:pPr>
              <w:pStyle w:val="yTableNAm"/>
              <w:jc w:val="center"/>
              <w:rPr>
                <w:b/>
              </w:rPr>
            </w:pPr>
            <w:r>
              <w:rPr>
                <w:b/>
              </w:rPr>
              <w:t>Initial</w:t>
            </w:r>
            <w:r>
              <w:rPr>
                <w:b/>
              </w:rPr>
              <w:br/>
              <w:t>survey</w:t>
            </w:r>
            <w:r>
              <w:rPr>
                <w:b/>
              </w:rPr>
              <w:br/>
              <w:t>($)</w:t>
            </w:r>
          </w:p>
        </w:tc>
        <w:tc>
          <w:tcPr>
            <w:tcW w:w="1512" w:type="dxa"/>
            <w:noWrap/>
          </w:tcPr>
          <w:p>
            <w:pPr>
              <w:pStyle w:val="yTableNAm"/>
              <w:jc w:val="center"/>
              <w:rPr>
                <w:b/>
              </w:rPr>
            </w:pPr>
            <w:r>
              <w:rPr>
                <w:b/>
              </w:rPr>
              <w:t>Subsequent surveys</w:t>
            </w:r>
            <w:r>
              <w:rPr>
                <w:b/>
              </w:rPr>
              <w:br/>
              <w:t>($)</w:t>
            </w:r>
          </w:p>
        </w:tc>
      </w:tr>
      <w:tr>
        <w:trPr>
          <w:cantSplit/>
        </w:trPr>
        <w:tc>
          <w:tcPr>
            <w:tcW w:w="1701" w:type="dxa"/>
            <w:noWrap/>
          </w:tcPr>
          <w:p>
            <w:pPr>
              <w:pStyle w:val="yTableNAm"/>
            </w:pPr>
            <w:r>
              <w:t>Not over 5</w:t>
            </w:r>
          </w:p>
        </w:tc>
        <w:tc>
          <w:tcPr>
            <w:tcW w:w="1512" w:type="dxa"/>
            <w:noWrap/>
            <w:vAlign w:val="bottom"/>
          </w:tcPr>
          <w:p>
            <w:pPr>
              <w:pStyle w:val="yTableNAm"/>
              <w:tabs>
                <w:tab w:val="clear" w:pos="567"/>
              </w:tabs>
              <w:ind w:right="383"/>
              <w:jc w:val="right"/>
            </w:pPr>
            <w:r>
              <w:t>647</w:t>
            </w:r>
          </w:p>
        </w:tc>
        <w:tc>
          <w:tcPr>
            <w:tcW w:w="1512" w:type="dxa"/>
            <w:noWrap/>
            <w:vAlign w:val="bottom"/>
          </w:tcPr>
          <w:p>
            <w:pPr>
              <w:pStyle w:val="yTableNAm"/>
              <w:tabs>
                <w:tab w:val="clear" w:pos="567"/>
              </w:tabs>
              <w:ind w:right="383"/>
              <w:jc w:val="right"/>
            </w:pPr>
            <w:r>
              <w:t>910</w:t>
            </w:r>
          </w:p>
        </w:tc>
        <w:tc>
          <w:tcPr>
            <w:tcW w:w="1512" w:type="dxa"/>
            <w:noWrap/>
            <w:vAlign w:val="bottom"/>
          </w:tcPr>
          <w:p>
            <w:pPr>
              <w:pStyle w:val="yTableNAm"/>
              <w:tabs>
                <w:tab w:val="clear" w:pos="567"/>
              </w:tabs>
              <w:ind w:right="383"/>
              <w:jc w:val="right"/>
            </w:pPr>
            <w:r>
              <w:t>278</w:t>
            </w:r>
          </w:p>
        </w:tc>
      </w:tr>
      <w:tr>
        <w:trPr>
          <w:cantSplit/>
        </w:trPr>
        <w:tc>
          <w:tcPr>
            <w:tcW w:w="1701" w:type="dxa"/>
            <w:noWrap/>
          </w:tcPr>
          <w:p>
            <w:pPr>
              <w:pStyle w:val="yTableNAm"/>
            </w:pPr>
            <w:r>
              <w:t>Over 5 but not over 6</w:t>
            </w:r>
          </w:p>
        </w:tc>
        <w:tc>
          <w:tcPr>
            <w:tcW w:w="1512" w:type="dxa"/>
            <w:noWrap/>
            <w:vAlign w:val="bottom"/>
          </w:tcPr>
          <w:p>
            <w:pPr>
              <w:pStyle w:val="yTableNAm"/>
              <w:tabs>
                <w:tab w:val="clear" w:pos="567"/>
              </w:tabs>
              <w:ind w:right="383"/>
              <w:jc w:val="right"/>
            </w:pPr>
            <w:r>
              <w:t>760</w:t>
            </w:r>
          </w:p>
        </w:tc>
        <w:tc>
          <w:tcPr>
            <w:tcW w:w="1512" w:type="dxa"/>
            <w:noWrap/>
            <w:vAlign w:val="bottom"/>
          </w:tcPr>
          <w:p>
            <w:pPr>
              <w:pStyle w:val="yTableNAm"/>
              <w:tabs>
                <w:tab w:val="clear" w:pos="567"/>
              </w:tabs>
              <w:ind w:right="383"/>
              <w:jc w:val="right"/>
            </w:pPr>
            <w:r>
              <w:t>1 269</w:t>
            </w:r>
          </w:p>
        </w:tc>
        <w:tc>
          <w:tcPr>
            <w:tcW w:w="1512" w:type="dxa"/>
            <w:noWrap/>
            <w:vAlign w:val="bottom"/>
          </w:tcPr>
          <w:p>
            <w:pPr>
              <w:pStyle w:val="yTableNAm"/>
              <w:tabs>
                <w:tab w:val="clear" w:pos="567"/>
              </w:tabs>
              <w:ind w:right="383"/>
              <w:jc w:val="right"/>
            </w:pPr>
            <w:r>
              <w:t>337</w:t>
            </w:r>
          </w:p>
        </w:tc>
      </w:tr>
      <w:tr>
        <w:trPr>
          <w:cantSplit/>
        </w:trPr>
        <w:tc>
          <w:tcPr>
            <w:tcW w:w="1701" w:type="dxa"/>
            <w:noWrap/>
          </w:tcPr>
          <w:p>
            <w:pPr>
              <w:pStyle w:val="yTableNAm"/>
            </w:pPr>
            <w:r>
              <w:t>Over 6 but not over 7</w:t>
            </w:r>
          </w:p>
        </w:tc>
        <w:tc>
          <w:tcPr>
            <w:tcW w:w="1512" w:type="dxa"/>
            <w:noWrap/>
            <w:vAlign w:val="bottom"/>
          </w:tcPr>
          <w:p>
            <w:pPr>
              <w:pStyle w:val="yTableNAm"/>
              <w:tabs>
                <w:tab w:val="clear" w:pos="567"/>
              </w:tabs>
              <w:ind w:right="383"/>
              <w:jc w:val="right"/>
            </w:pPr>
            <w:r>
              <w:t>826</w:t>
            </w:r>
          </w:p>
        </w:tc>
        <w:tc>
          <w:tcPr>
            <w:tcW w:w="1512" w:type="dxa"/>
            <w:noWrap/>
            <w:vAlign w:val="bottom"/>
          </w:tcPr>
          <w:p>
            <w:pPr>
              <w:pStyle w:val="yTableNAm"/>
              <w:tabs>
                <w:tab w:val="clear" w:pos="567"/>
              </w:tabs>
              <w:ind w:right="383"/>
              <w:jc w:val="right"/>
            </w:pPr>
            <w:r>
              <w:t>1 788</w:t>
            </w:r>
          </w:p>
        </w:tc>
        <w:tc>
          <w:tcPr>
            <w:tcW w:w="1512" w:type="dxa"/>
            <w:noWrap/>
            <w:vAlign w:val="bottom"/>
          </w:tcPr>
          <w:p>
            <w:pPr>
              <w:pStyle w:val="yTableNAm"/>
              <w:tabs>
                <w:tab w:val="clear" w:pos="567"/>
              </w:tabs>
              <w:ind w:right="383"/>
              <w:jc w:val="right"/>
            </w:pPr>
            <w:r>
              <w:t>410</w:t>
            </w:r>
          </w:p>
        </w:tc>
      </w:tr>
      <w:tr>
        <w:trPr>
          <w:cantSplit/>
        </w:trPr>
        <w:tc>
          <w:tcPr>
            <w:tcW w:w="1701" w:type="dxa"/>
            <w:noWrap/>
          </w:tcPr>
          <w:p>
            <w:pPr>
              <w:pStyle w:val="yTableNAm"/>
            </w:pPr>
            <w:r>
              <w:t>Over 7 but not over 8</w:t>
            </w:r>
          </w:p>
        </w:tc>
        <w:tc>
          <w:tcPr>
            <w:tcW w:w="1512" w:type="dxa"/>
            <w:noWrap/>
            <w:vAlign w:val="bottom"/>
          </w:tcPr>
          <w:p>
            <w:pPr>
              <w:pStyle w:val="yTableNAm"/>
              <w:tabs>
                <w:tab w:val="clear" w:pos="567"/>
              </w:tabs>
              <w:ind w:right="383"/>
              <w:jc w:val="right"/>
            </w:pPr>
            <w:r>
              <w:t>1 066</w:t>
            </w:r>
          </w:p>
        </w:tc>
        <w:tc>
          <w:tcPr>
            <w:tcW w:w="1512" w:type="dxa"/>
            <w:noWrap/>
            <w:vAlign w:val="bottom"/>
          </w:tcPr>
          <w:p>
            <w:pPr>
              <w:pStyle w:val="yTableNAm"/>
              <w:tabs>
                <w:tab w:val="clear" w:pos="567"/>
              </w:tabs>
              <w:ind w:right="383"/>
              <w:jc w:val="right"/>
            </w:pPr>
            <w:r>
              <w:t>2 374</w:t>
            </w:r>
          </w:p>
        </w:tc>
        <w:tc>
          <w:tcPr>
            <w:tcW w:w="1512" w:type="dxa"/>
            <w:noWrap/>
            <w:vAlign w:val="bottom"/>
          </w:tcPr>
          <w:p>
            <w:pPr>
              <w:pStyle w:val="yTableNAm"/>
              <w:tabs>
                <w:tab w:val="clear" w:pos="567"/>
              </w:tabs>
              <w:ind w:right="383"/>
              <w:jc w:val="right"/>
            </w:pPr>
            <w:r>
              <w:t>444</w:t>
            </w:r>
          </w:p>
        </w:tc>
      </w:tr>
      <w:tr>
        <w:trPr>
          <w:cantSplit/>
        </w:trPr>
        <w:tc>
          <w:tcPr>
            <w:tcW w:w="1701" w:type="dxa"/>
            <w:noWrap/>
          </w:tcPr>
          <w:p>
            <w:pPr>
              <w:pStyle w:val="yTableNAm"/>
            </w:pPr>
            <w:r>
              <w:t>Over 8 but not over 9</w:t>
            </w:r>
          </w:p>
        </w:tc>
        <w:tc>
          <w:tcPr>
            <w:tcW w:w="1512" w:type="dxa"/>
            <w:noWrap/>
            <w:vAlign w:val="bottom"/>
          </w:tcPr>
          <w:p>
            <w:pPr>
              <w:pStyle w:val="yTableNAm"/>
              <w:tabs>
                <w:tab w:val="clear" w:pos="567"/>
              </w:tabs>
              <w:ind w:right="383"/>
              <w:jc w:val="right"/>
            </w:pPr>
            <w:r>
              <w:t>1 317</w:t>
            </w:r>
          </w:p>
        </w:tc>
        <w:tc>
          <w:tcPr>
            <w:tcW w:w="1512" w:type="dxa"/>
            <w:noWrap/>
            <w:vAlign w:val="bottom"/>
          </w:tcPr>
          <w:p>
            <w:pPr>
              <w:pStyle w:val="yTableNAm"/>
              <w:tabs>
                <w:tab w:val="clear" w:pos="567"/>
              </w:tabs>
              <w:ind w:right="383"/>
              <w:jc w:val="right"/>
            </w:pPr>
            <w:r>
              <w:t>3 093</w:t>
            </w:r>
          </w:p>
        </w:tc>
        <w:tc>
          <w:tcPr>
            <w:tcW w:w="1512" w:type="dxa"/>
            <w:noWrap/>
            <w:vAlign w:val="bottom"/>
          </w:tcPr>
          <w:p>
            <w:pPr>
              <w:pStyle w:val="yTableNAm"/>
              <w:tabs>
                <w:tab w:val="clear" w:pos="567"/>
              </w:tabs>
              <w:ind w:right="383"/>
              <w:jc w:val="right"/>
            </w:pPr>
            <w:r>
              <w:t>479</w:t>
            </w:r>
          </w:p>
        </w:tc>
      </w:tr>
      <w:tr>
        <w:trPr>
          <w:cantSplit/>
        </w:trPr>
        <w:tc>
          <w:tcPr>
            <w:tcW w:w="1701" w:type="dxa"/>
            <w:noWrap/>
          </w:tcPr>
          <w:p>
            <w:pPr>
              <w:pStyle w:val="yTableNAm"/>
            </w:pPr>
            <w:r>
              <w:t>Over 9 but not over 10</w:t>
            </w:r>
          </w:p>
        </w:tc>
        <w:tc>
          <w:tcPr>
            <w:tcW w:w="1512" w:type="dxa"/>
            <w:noWrap/>
            <w:vAlign w:val="bottom"/>
          </w:tcPr>
          <w:p>
            <w:pPr>
              <w:pStyle w:val="yTableNAm"/>
              <w:tabs>
                <w:tab w:val="clear" w:pos="567"/>
              </w:tabs>
              <w:ind w:right="383"/>
              <w:jc w:val="right"/>
            </w:pPr>
            <w:r>
              <w:t>1 542</w:t>
            </w:r>
          </w:p>
        </w:tc>
        <w:tc>
          <w:tcPr>
            <w:tcW w:w="1512" w:type="dxa"/>
            <w:noWrap/>
            <w:vAlign w:val="bottom"/>
          </w:tcPr>
          <w:p>
            <w:pPr>
              <w:pStyle w:val="yTableNAm"/>
              <w:tabs>
                <w:tab w:val="clear" w:pos="567"/>
              </w:tabs>
              <w:ind w:right="383"/>
              <w:jc w:val="right"/>
            </w:pPr>
            <w:r>
              <w:t>3 804</w:t>
            </w:r>
          </w:p>
        </w:tc>
        <w:tc>
          <w:tcPr>
            <w:tcW w:w="1512" w:type="dxa"/>
            <w:noWrap/>
            <w:vAlign w:val="bottom"/>
          </w:tcPr>
          <w:p>
            <w:pPr>
              <w:pStyle w:val="yTableNAm"/>
              <w:tabs>
                <w:tab w:val="clear" w:pos="567"/>
              </w:tabs>
              <w:ind w:right="383"/>
              <w:jc w:val="right"/>
            </w:pPr>
            <w:r>
              <w:t>506</w:t>
            </w:r>
          </w:p>
        </w:tc>
      </w:tr>
      <w:tr>
        <w:trPr>
          <w:cantSplit/>
        </w:trPr>
        <w:tc>
          <w:tcPr>
            <w:tcW w:w="1701" w:type="dxa"/>
            <w:noWrap/>
          </w:tcPr>
          <w:p>
            <w:pPr>
              <w:pStyle w:val="yTableNAm"/>
            </w:pPr>
            <w:r>
              <w:t>Over 10 but not over 11</w:t>
            </w:r>
          </w:p>
        </w:tc>
        <w:tc>
          <w:tcPr>
            <w:tcW w:w="1512" w:type="dxa"/>
            <w:noWrap/>
            <w:vAlign w:val="bottom"/>
          </w:tcPr>
          <w:p>
            <w:pPr>
              <w:pStyle w:val="yTableNAm"/>
              <w:tabs>
                <w:tab w:val="clear" w:pos="567"/>
              </w:tabs>
              <w:ind w:right="383"/>
              <w:jc w:val="right"/>
            </w:pPr>
            <w:r>
              <w:t>1 902</w:t>
            </w:r>
          </w:p>
        </w:tc>
        <w:tc>
          <w:tcPr>
            <w:tcW w:w="1512" w:type="dxa"/>
            <w:noWrap/>
            <w:vAlign w:val="bottom"/>
          </w:tcPr>
          <w:p>
            <w:pPr>
              <w:pStyle w:val="yTableNAm"/>
              <w:tabs>
                <w:tab w:val="clear" w:pos="567"/>
              </w:tabs>
              <w:ind w:right="383"/>
              <w:jc w:val="right"/>
            </w:pPr>
            <w:r>
              <w:t>4 572</w:t>
            </w:r>
          </w:p>
        </w:tc>
        <w:tc>
          <w:tcPr>
            <w:tcW w:w="1512" w:type="dxa"/>
            <w:noWrap/>
            <w:vAlign w:val="bottom"/>
          </w:tcPr>
          <w:p>
            <w:pPr>
              <w:pStyle w:val="yTableNAm"/>
              <w:tabs>
                <w:tab w:val="clear" w:pos="567"/>
              </w:tabs>
              <w:ind w:right="383"/>
              <w:jc w:val="right"/>
            </w:pPr>
            <w:r>
              <w:t>557</w:t>
            </w:r>
          </w:p>
        </w:tc>
      </w:tr>
      <w:tr>
        <w:trPr>
          <w:cantSplit/>
        </w:trPr>
        <w:tc>
          <w:tcPr>
            <w:tcW w:w="1701" w:type="dxa"/>
            <w:noWrap/>
          </w:tcPr>
          <w:p>
            <w:pPr>
              <w:pStyle w:val="yTableNAm"/>
            </w:pPr>
            <w:r>
              <w:t>Over 11 but not over 12</w:t>
            </w:r>
          </w:p>
        </w:tc>
        <w:tc>
          <w:tcPr>
            <w:tcW w:w="1512" w:type="dxa"/>
            <w:noWrap/>
            <w:vAlign w:val="bottom"/>
          </w:tcPr>
          <w:p>
            <w:pPr>
              <w:pStyle w:val="yTableNAm"/>
              <w:tabs>
                <w:tab w:val="clear" w:pos="567"/>
              </w:tabs>
              <w:ind w:right="383"/>
              <w:jc w:val="right"/>
            </w:pPr>
            <w:r>
              <w:t>2 257</w:t>
            </w:r>
          </w:p>
        </w:tc>
        <w:tc>
          <w:tcPr>
            <w:tcW w:w="1512" w:type="dxa"/>
            <w:noWrap/>
            <w:vAlign w:val="bottom"/>
          </w:tcPr>
          <w:p>
            <w:pPr>
              <w:pStyle w:val="yTableNAm"/>
              <w:tabs>
                <w:tab w:val="clear" w:pos="567"/>
              </w:tabs>
              <w:ind w:right="383"/>
              <w:jc w:val="right"/>
            </w:pPr>
            <w:r>
              <w:t>5 351</w:t>
            </w:r>
          </w:p>
        </w:tc>
        <w:tc>
          <w:tcPr>
            <w:tcW w:w="1512" w:type="dxa"/>
            <w:noWrap/>
            <w:vAlign w:val="bottom"/>
          </w:tcPr>
          <w:p>
            <w:pPr>
              <w:pStyle w:val="yTableNAm"/>
              <w:tabs>
                <w:tab w:val="clear" w:pos="567"/>
              </w:tabs>
              <w:ind w:right="383"/>
              <w:jc w:val="right"/>
            </w:pPr>
            <w:r>
              <w:t>613</w:t>
            </w:r>
          </w:p>
        </w:tc>
      </w:tr>
      <w:tr>
        <w:trPr>
          <w:cantSplit/>
        </w:trPr>
        <w:tc>
          <w:tcPr>
            <w:tcW w:w="1701" w:type="dxa"/>
            <w:noWrap/>
          </w:tcPr>
          <w:p>
            <w:pPr>
              <w:pStyle w:val="yTableNAm"/>
            </w:pPr>
            <w:r>
              <w:lastRenderedPageBreak/>
              <w:t>Over 12 but not over 13</w:t>
            </w:r>
          </w:p>
        </w:tc>
        <w:tc>
          <w:tcPr>
            <w:tcW w:w="1512" w:type="dxa"/>
            <w:noWrap/>
            <w:vAlign w:val="bottom"/>
          </w:tcPr>
          <w:p>
            <w:pPr>
              <w:pStyle w:val="yTableNAm"/>
              <w:tabs>
                <w:tab w:val="clear" w:pos="567"/>
              </w:tabs>
              <w:ind w:right="383"/>
              <w:jc w:val="right"/>
            </w:pPr>
            <w:r>
              <w:t>2 609</w:t>
            </w:r>
          </w:p>
        </w:tc>
        <w:tc>
          <w:tcPr>
            <w:tcW w:w="1512" w:type="dxa"/>
            <w:noWrap/>
            <w:vAlign w:val="bottom"/>
          </w:tcPr>
          <w:p>
            <w:pPr>
              <w:pStyle w:val="yTableNAm"/>
              <w:tabs>
                <w:tab w:val="clear" w:pos="567"/>
              </w:tabs>
              <w:ind w:right="383"/>
              <w:jc w:val="right"/>
            </w:pPr>
            <w:r>
              <w:t>6 125</w:t>
            </w:r>
          </w:p>
        </w:tc>
        <w:tc>
          <w:tcPr>
            <w:tcW w:w="1512" w:type="dxa"/>
            <w:noWrap/>
            <w:vAlign w:val="bottom"/>
          </w:tcPr>
          <w:p>
            <w:pPr>
              <w:pStyle w:val="yTableNAm"/>
              <w:tabs>
                <w:tab w:val="clear" w:pos="567"/>
              </w:tabs>
              <w:ind w:right="383"/>
              <w:jc w:val="right"/>
            </w:pPr>
            <w:r>
              <w:t>670</w:t>
            </w:r>
          </w:p>
        </w:tc>
      </w:tr>
      <w:tr>
        <w:trPr>
          <w:cantSplit/>
        </w:trPr>
        <w:tc>
          <w:tcPr>
            <w:tcW w:w="1701" w:type="dxa"/>
            <w:noWrap/>
          </w:tcPr>
          <w:p>
            <w:pPr>
              <w:pStyle w:val="yTableNAm"/>
            </w:pPr>
            <w:r>
              <w:t>Over 13 but not over 14</w:t>
            </w:r>
          </w:p>
        </w:tc>
        <w:tc>
          <w:tcPr>
            <w:tcW w:w="1512" w:type="dxa"/>
            <w:noWrap/>
            <w:vAlign w:val="bottom"/>
          </w:tcPr>
          <w:p>
            <w:pPr>
              <w:pStyle w:val="yTableNAm"/>
              <w:tabs>
                <w:tab w:val="clear" w:pos="567"/>
              </w:tabs>
              <w:ind w:right="383"/>
              <w:jc w:val="right"/>
            </w:pPr>
            <w:r>
              <w:t>2 977</w:t>
            </w:r>
          </w:p>
        </w:tc>
        <w:tc>
          <w:tcPr>
            <w:tcW w:w="1512" w:type="dxa"/>
            <w:noWrap/>
            <w:vAlign w:val="bottom"/>
          </w:tcPr>
          <w:p>
            <w:pPr>
              <w:pStyle w:val="yTableNAm"/>
              <w:tabs>
                <w:tab w:val="clear" w:pos="567"/>
              </w:tabs>
              <w:ind w:right="383"/>
              <w:jc w:val="right"/>
            </w:pPr>
            <w:r>
              <w:t>6 896</w:t>
            </w:r>
          </w:p>
        </w:tc>
        <w:tc>
          <w:tcPr>
            <w:tcW w:w="1512" w:type="dxa"/>
            <w:noWrap/>
            <w:vAlign w:val="bottom"/>
          </w:tcPr>
          <w:p>
            <w:pPr>
              <w:pStyle w:val="yTableNAm"/>
              <w:tabs>
                <w:tab w:val="clear" w:pos="567"/>
              </w:tabs>
              <w:ind w:right="383"/>
              <w:jc w:val="right"/>
            </w:pPr>
            <w:r>
              <w:t>723</w:t>
            </w:r>
          </w:p>
        </w:tc>
      </w:tr>
      <w:tr>
        <w:trPr>
          <w:cantSplit/>
        </w:trPr>
        <w:tc>
          <w:tcPr>
            <w:tcW w:w="1701" w:type="dxa"/>
            <w:noWrap/>
          </w:tcPr>
          <w:p>
            <w:pPr>
              <w:pStyle w:val="yTableNAm"/>
            </w:pPr>
            <w:r>
              <w:t>Over 14 but not over 15</w:t>
            </w:r>
          </w:p>
        </w:tc>
        <w:tc>
          <w:tcPr>
            <w:tcW w:w="1512" w:type="dxa"/>
            <w:noWrap/>
            <w:vAlign w:val="bottom"/>
          </w:tcPr>
          <w:p>
            <w:pPr>
              <w:pStyle w:val="yTableNAm"/>
              <w:tabs>
                <w:tab w:val="clear" w:pos="567"/>
              </w:tabs>
              <w:ind w:right="383"/>
              <w:jc w:val="right"/>
            </w:pPr>
            <w:r>
              <w:t>3 337</w:t>
            </w:r>
          </w:p>
        </w:tc>
        <w:tc>
          <w:tcPr>
            <w:tcW w:w="1512" w:type="dxa"/>
            <w:noWrap/>
            <w:vAlign w:val="bottom"/>
          </w:tcPr>
          <w:p>
            <w:pPr>
              <w:pStyle w:val="yTableNAm"/>
              <w:tabs>
                <w:tab w:val="clear" w:pos="567"/>
              </w:tabs>
              <w:ind w:right="383"/>
              <w:jc w:val="right"/>
            </w:pPr>
            <w:r>
              <w:t>7 666</w:t>
            </w:r>
          </w:p>
        </w:tc>
        <w:tc>
          <w:tcPr>
            <w:tcW w:w="1512" w:type="dxa"/>
            <w:noWrap/>
            <w:vAlign w:val="bottom"/>
          </w:tcPr>
          <w:p>
            <w:pPr>
              <w:pStyle w:val="yTableNAm"/>
              <w:tabs>
                <w:tab w:val="clear" w:pos="567"/>
              </w:tabs>
              <w:ind w:right="383"/>
              <w:jc w:val="right"/>
            </w:pPr>
            <w:r>
              <w:t>776</w:t>
            </w:r>
          </w:p>
        </w:tc>
      </w:tr>
      <w:tr>
        <w:trPr>
          <w:cantSplit/>
        </w:trPr>
        <w:tc>
          <w:tcPr>
            <w:tcW w:w="1701" w:type="dxa"/>
            <w:noWrap/>
          </w:tcPr>
          <w:p>
            <w:pPr>
              <w:pStyle w:val="yTableNAm"/>
            </w:pPr>
            <w:r>
              <w:t>Over 15 but not over 16</w:t>
            </w:r>
          </w:p>
        </w:tc>
        <w:tc>
          <w:tcPr>
            <w:tcW w:w="1512" w:type="dxa"/>
            <w:noWrap/>
            <w:vAlign w:val="bottom"/>
          </w:tcPr>
          <w:p>
            <w:pPr>
              <w:pStyle w:val="yTableNAm"/>
              <w:tabs>
                <w:tab w:val="clear" w:pos="567"/>
              </w:tabs>
              <w:ind w:right="383"/>
              <w:jc w:val="right"/>
            </w:pPr>
            <w:r>
              <w:t>3 677</w:t>
            </w:r>
          </w:p>
        </w:tc>
        <w:tc>
          <w:tcPr>
            <w:tcW w:w="1512" w:type="dxa"/>
            <w:noWrap/>
            <w:vAlign w:val="bottom"/>
          </w:tcPr>
          <w:p>
            <w:pPr>
              <w:pStyle w:val="yTableNAm"/>
              <w:tabs>
                <w:tab w:val="clear" w:pos="567"/>
              </w:tabs>
              <w:ind w:right="383"/>
              <w:jc w:val="right"/>
            </w:pPr>
            <w:r>
              <w:t>8 444</w:t>
            </w:r>
          </w:p>
        </w:tc>
        <w:tc>
          <w:tcPr>
            <w:tcW w:w="1512" w:type="dxa"/>
            <w:noWrap/>
            <w:vAlign w:val="bottom"/>
          </w:tcPr>
          <w:p>
            <w:pPr>
              <w:pStyle w:val="yTableNAm"/>
              <w:tabs>
                <w:tab w:val="clear" w:pos="567"/>
              </w:tabs>
              <w:ind w:right="383"/>
              <w:jc w:val="right"/>
            </w:pPr>
            <w:r>
              <w:t>828</w:t>
            </w:r>
          </w:p>
        </w:tc>
      </w:tr>
      <w:tr>
        <w:trPr>
          <w:cantSplit/>
        </w:trPr>
        <w:tc>
          <w:tcPr>
            <w:tcW w:w="1701" w:type="dxa"/>
            <w:noWrap/>
          </w:tcPr>
          <w:p>
            <w:pPr>
              <w:pStyle w:val="yTableNAm"/>
            </w:pPr>
            <w:r>
              <w:t>Over 16 but not over 17</w:t>
            </w:r>
          </w:p>
        </w:tc>
        <w:tc>
          <w:tcPr>
            <w:tcW w:w="1512" w:type="dxa"/>
            <w:noWrap/>
            <w:vAlign w:val="bottom"/>
          </w:tcPr>
          <w:p>
            <w:pPr>
              <w:pStyle w:val="yTableNAm"/>
              <w:tabs>
                <w:tab w:val="clear" w:pos="567"/>
              </w:tabs>
              <w:ind w:right="383"/>
              <w:jc w:val="right"/>
            </w:pPr>
            <w:r>
              <w:t>4 036</w:t>
            </w:r>
          </w:p>
        </w:tc>
        <w:tc>
          <w:tcPr>
            <w:tcW w:w="1512" w:type="dxa"/>
            <w:noWrap/>
            <w:vAlign w:val="bottom"/>
          </w:tcPr>
          <w:p>
            <w:pPr>
              <w:pStyle w:val="yTableNAm"/>
              <w:tabs>
                <w:tab w:val="clear" w:pos="567"/>
              </w:tabs>
              <w:ind w:right="383"/>
              <w:jc w:val="right"/>
            </w:pPr>
            <w:r>
              <w:t>9 216</w:t>
            </w:r>
          </w:p>
        </w:tc>
        <w:tc>
          <w:tcPr>
            <w:tcW w:w="1512" w:type="dxa"/>
            <w:noWrap/>
            <w:vAlign w:val="bottom"/>
          </w:tcPr>
          <w:p>
            <w:pPr>
              <w:pStyle w:val="yTableNAm"/>
              <w:tabs>
                <w:tab w:val="clear" w:pos="567"/>
              </w:tabs>
              <w:ind w:right="383"/>
              <w:jc w:val="right"/>
            </w:pPr>
            <w:r>
              <w:t>885</w:t>
            </w:r>
          </w:p>
        </w:tc>
      </w:tr>
      <w:tr>
        <w:trPr>
          <w:cantSplit/>
        </w:trPr>
        <w:tc>
          <w:tcPr>
            <w:tcW w:w="1701" w:type="dxa"/>
            <w:noWrap/>
          </w:tcPr>
          <w:p>
            <w:pPr>
              <w:pStyle w:val="yTableNAm"/>
            </w:pPr>
            <w:r>
              <w:t>Over 17 but not over 18</w:t>
            </w:r>
          </w:p>
        </w:tc>
        <w:tc>
          <w:tcPr>
            <w:tcW w:w="1512" w:type="dxa"/>
            <w:noWrap/>
          </w:tcPr>
          <w:p>
            <w:pPr>
              <w:pStyle w:val="yTableNAm"/>
              <w:tabs>
                <w:tab w:val="clear" w:pos="567"/>
              </w:tabs>
              <w:ind w:right="383"/>
              <w:jc w:val="right"/>
            </w:pPr>
            <w:r>
              <w:t>4 405</w:t>
            </w:r>
          </w:p>
        </w:tc>
        <w:tc>
          <w:tcPr>
            <w:tcW w:w="1512" w:type="dxa"/>
            <w:noWrap/>
          </w:tcPr>
          <w:p>
            <w:pPr>
              <w:pStyle w:val="yTableNAm"/>
              <w:tabs>
                <w:tab w:val="clear" w:pos="567"/>
              </w:tabs>
              <w:ind w:right="383"/>
              <w:jc w:val="right"/>
            </w:pPr>
            <w:r>
              <w:t>9 988</w:t>
            </w:r>
          </w:p>
        </w:tc>
        <w:tc>
          <w:tcPr>
            <w:tcW w:w="1512" w:type="dxa"/>
            <w:noWrap/>
          </w:tcPr>
          <w:p>
            <w:pPr>
              <w:pStyle w:val="yTableNAm"/>
              <w:tabs>
                <w:tab w:val="clear" w:pos="567"/>
              </w:tabs>
              <w:ind w:right="383"/>
              <w:jc w:val="right"/>
            </w:pPr>
            <w:r>
              <w:t>939</w:t>
            </w:r>
          </w:p>
        </w:tc>
      </w:tr>
      <w:tr>
        <w:trPr>
          <w:cantSplit/>
        </w:trPr>
        <w:tc>
          <w:tcPr>
            <w:tcW w:w="1701" w:type="dxa"/>
            <w:noWrap/>
          </w:tcPr>
          <w:p>
            <w:pPr>
              <w:pStyle w:val="yTableNAm"/>
            </w:pPr>
            <w:r>
              <w:t>Over 18 but not over 19</w:t>
            </w:r>
          </w:p>
        </w:tc>
        <w:tc>
          <w:tcPr>
            <w:tcW w:w="1512" w:type="dxa"/>
            <w:noWrap/>
          </w:tcPr>
          <w:p>
            <w:pPr>
              <w:pStyle w:val="yTableNAm"/>
              <w:tabs>
                <w:tab w:val="clear" w:pos="567"/>
              </w:tabs>
              <w:ind w:right="383"/>
              <w:jc w:val="right"/>
            </w:pPr>
            <w:r>
              <w:t>4 745</w:t>
            </w:r>
          </w:p>
        </w:tc>
        <w:tc>
          <w:tcPr>
            <w:tcW w:w="1512" w:type="dxa"/>
            <w:noWrap/>
          </w:tcPr>
          <w:p>
            <w:pPr>
              <w:pStyle w:val="yTableNAm"/>
              <w:tabs>
                <w:tab w:val="clear" w:pos="567"/>
              </w:tabs>
              <w:ind w:right="383"/>
              <w:jc w:val="right"/>
            </w:pPr>
            <w:r>
              <w:t>10 760</w:t>
            </w:r>
          </w:p>
        </w:tc>
        <w:tc>
          <w:tcPr>
            <w:tcW w:w="1512" w:type="dxa"/>
            <w:noWrap/>
          </w:tcPr>
          <w:p>
            <w:pPr>
              <w:pStyle w:val="yTableNAm"/>
              <w:tabs>
                <w:tab w:val="clear" w:pos="567"/>
              </w:tabs>
              <w:ind w:right="383"/>
              <w:jc w:val="right"/>
            </w:pPr>
            <w:r>
              <w:t>991</w:t>
            </w:r>
          </w:p>
        </w:tc>
      </w:tr>
      <w:tr>
        <w:trPr>
          <w:cantSplit/>
        </w:trPr>
        <w:tc>
          <w:tcPr>
            <w:tcW w:w="1701" w:type="dxa"/>
            <w:noWrap/>
          </w:tcPr>
          <w:p>
            <w:pPr>
              <w:pStyle w:val="yTableNAm"/>
            </w:pPr>
            <w:r>
              <w:t>Over 19 but not over 20</w:t>
            </w:r>
          </w:p>
        </w:tc>
        <w:tc>
          <w:tcPr>
            <w:tcW w:w="1512" w:type="dxa"/>
            <w:noWrap/>
          </w:tcPr>
          <w:p>
            <w:pPr>
              <w:pStyle w:val="yTableNAm"/>
              <w:tabs>
                <w:tab w:val="clear" w:pos="567"/>
              </w:tabs>
              <w:ind w:right="383"/>
              <w:jc w:val="right"/>
            </w:pPr>
            <w:r>
              <w:t>5 108</w:t>
            </w:r>
          </w:p>
        </w:tc>
        <w:tc>
          <w:tcPr>
            <w:tcW w:w="1512" w:type="dxa"/>
            <w:noWrap/>
          </w:tcPr>
          <w:p>
            <w:pPr>
              <w:pStyle w:val="yTableNAm"/>
              <w:tabs>
                <w:tab w:val="clear" w:pos="567"/>
              </w:tabs>
              <w:ind w:right="383"/>
              <w:jc w:val="right"/>
            </w:pPr>
            <w:r>
              <w:t>11 537</w:t>
            </w:r>
          </w:p>
        </w:tc>
        <w:tc>
          <w:tcPr>
            <w:tcW w:w="1512" w:type="dxa"/>
            <w:noWrap/>
          </w:tcPr>
          <w:p>
            <w:pPr>
              <w:pStyle w:val="yTableNAm"/>
              <w:tabs>
                <w:tab w:val="clear" w:pos="567"/>
              </w:tabs>
              <w:ind w:right="383"/>
              <w:jc w:val="right"/>
            </w:pPr>
            <w:r>
              <w:t>1 049</w:t>
            </w:r>
          </w:p>
        </w:tc>
      </w:tr>
      <w:tr>
        <w:trPr>
          <w:cantSplit/>
        </w:trPr>
        <w:tc>
          <w:tcPr>
            <w:tcW w:w="1701" w:type="dxa"/>
            <w:noWrap/>
          </w:tcPr>
          <w:p>
            <w:pPr>
              <w:pStyle w:val="yTableNAm"/>
            </w:pPr>
            <w:r>
              <w:t>Over 20 but not over 21</w:t>
            </w:r>
          </w:p>
        </w:tc>
        <w:tc>
          <w:tcPr>
            <w:tcW w:w="1512" w:type="dxa"/>
            <w:noWrap/>
          </w:tcPr>
          <w:p>
            <w:pPr>
              <w:pStyle w:val="yTableNAm"/>
              <w:tabs>
                <w:tab w:val="clear" w:pos="567"/>
              </w:tabs>
              <w:ind w:right="383"/>
              <w:jc w:val="right"/>
            </w:pPr>
            <w:r>
              <w:t>5 519</w:t>
            </w:r>
          </w:p>
        </w:tc>
        <w:tc>
          <w:tcPr>
            <w:tcW w:w="1512" w:type="dxa"/>
            <w:noWrap/>
          </w:tcPr>
          <w:p>
            <w:pPr>
              <w:pStyle w:val="yTableNAm"/>
              <w:tabs>
                <w:tab w:val="clear" w:pos="567"/>
              </w:tabs>
              <w:ind w:right="383"/>
              <w:jc w:val="right"/>
            </w:pPr>
            <w:r>
              <w:t>12 365</w:t>
            </w:r>
          </w:p>
        </w:tc>
        <w:tc>
          <w:tcPr>
            <w:tcW w:w="1512" w:type="dxa"/>
            <w:noWrap/>
          </w:tcPr>
          <w:p>
            <w:pPr>
              <w:pStyle w:val="yTableNAm"/>
              <w:tabs>
                <w:tab w:val="clear" w:pos="567"/>
              </w:tabs>
              <w:ind w:right="383"/>
              <w:jc w:val="right"/>
            </w:pPr>
            <w:r>
              <w:t>1 130</w:t>
            </w:r>
          </w:p>
        </w:tc>
      </w:tr>
      <w:tr>
        <w:trPr>
          <w:cantSplit/>
        </w:trPr>
        <w:tc>
          <w:tcPr>
            <w:tcW w:w="1701" w:type="dxa"/>
            <w:noWrap/>
          </w:tcPr>
          <w:p>
            <w:pPr>
              <w:pStyle w:val="yTableNAm"/>
            </w:pPr>
            <w:r>
              <w:t>Over 21 but not over 22</w:t>
            </w:r>
          </w:p>
        </w:tc>
        <w:tc>
          <w:tcPr>
            <w:tcW w:w="1512" w:type="dxa"/>
            <w:noWrap/>
          </w:tcPr>
          <w:p>
            <w:pPr>
              <w:pStyle w:val="yTableNAm"/>
              <w:tabs>
                <w:tab w:val="clear" w:pos="567"/>
              </w:tabs>
              <w:ind w:right="383"/>
              <w:jc w:val="right"/>
            </w:pPr>
            <w:r>
              <w:t>5 935</w:t>
            </w:r>
          </w:p>
        </w:tc>
        <w:tc>
          <w:tcPr>
            <w:tcW w:w="1512" w:type="dxa"/>
            <w:noWrap/>
          </w:tcPr>
          <w:p>
            <w:pPr>
              <w:pStyle w:val="yTableNAm"/>
              <w:tabs>
                <w:tab w:val="clear" w:pos="567"/>
              </w:tabs>
              <w:ind w:right="383"/>
              <w:jc w:val="right"/>
            </w:pPr>
            <w:r>
              <w:t>13 195</w:t>
            </w:r>
          </w:p>
        </w:tc>
        <w:tc>
          <w:tcPr>
            <w:tcW w:w="1512" w:type="dxa"/>
            <w:noWrap/>
          </w:tcPr>
          <w:p>
            <w:pPr>
              <w:pStyle w:val="yTableNAm"/>
              <w:tabs>
                <w:tab w:val="clear" w:pos="567"/>
              </w:tabs>
              <w:ind w:right="383"/>
              <w:jc w:val="right"/>
            </w:pPr>
            <w:r>
              <w:t>1 219</w:t>
            </w:r>
          </w:p>
        </w:tc>
      </w:tr>
      <w:tr>
        <w:trPr>
          <w:cantSplit/>
        </w:trPr>
        <w:tc>
          <w:tcPr>
            <w:tcW w:w="1701" w:type="dxa"/>
            <w:noWrap/>
          </w:tcPr>
          <w:p>
            <w:pPr>
              <w:pStyle w:val="yTableNAm"/>
            </w:pPr>
            <w:r>
              <w:t>Over 22 but not over 23</w:t>
            </w:r>
          </w:p>
        </w:tc>
        <w:tc>
          <w:tcPr>
            <w:tcW w:w="1512" w:type="dxa"/>
            <w:noWrap/>
          </w:tcPr>
          <w:p>
            <w:pPr>
              <w:pStyle w:val="yTableNAm"/>
              <w:tabs>
                <w:tab w:val="clear" w:pos="567"/>
              </w:tabs>
              <w:ind w:right="383"/>
              <w:jc w:val="right"/>
            </w:pPr>
            <w:r>
              <w:t>6 349</w:t>
            </w:r>
          </w:p>
        </w:tc>
        <w:tc>
          <w:tcPr>
            <w:tcW w:w="1512" w:type="dxa"/>
            <w:noWrap/>
          </w:tcPr>
          <w:p>
            <w:pPr>
              <w:pStyle w:val="yTableNAm"/>
              <w:tabs>
                <w:tab w:val="clear" w:pos="567"/>
              </w:tabs>
              <w:ind w:right="383"/>
              <w:jc w:val="right"/>
            </w:pPr>
            <w:r>
              <w:t>14 023</w:t>
            </w:r>
          </w:p>
        </w:tc>
        <w:tc>
          <w:tcPr>
            <w:tcW w:w="1512" w:type="dxa"/>
            <w:noWrap/>
          </w:tcPr>
          <w:p>
            <w:pPr>
              <w:pStyle w:val="yTableNAm"/>
              <w:tabs>
                <w:tab w:val="clear" w:pos="567"/>
              </w:tabs>
              <w:ind w:right="383"/>
              <w:jc w:val="right"/>
            </w:pPr>
            <w:r>
              <w:t>1 301</w:t>
            </w:r>
          </w:p>
        </w:tc>
      </w:tr>
      <w:tr>
        <w:trPr>
          <w:cantSplit/>
        </w:trPr>
        <w:tc>
          <w:tcPr>
            <w:tcW w:w="1701" w:type="dxa"/>
            <w:noWrap/>
          </w:tcPr>
          <w:p>
            <w:pPr>
              <w:pStyle w:val="yTableNAm"/>
            </w:pPr>
            <w:r>
              <w:t>Over 23 but not over 24</w:t>
            </w:r>
          </w:p>
        </w:tc>
        <w:tc>
          <w:tcPr>
            <w:tcW w:w="1512" w:type="dxa"/>
            <w:noWrap/>
          </w:tcPr>
          <w:p>
            <w:pPr>
              <w:pStyle w:val="yTableNAm"/>
              <w:tabs>
                <w:tab w:val="clear" w:pos="567"/>
              </w:tabs>
              <w:ind w:right="383"/>
              <w:jc w:val="right"/>
            </w:pPr>
            <w:r>
              <w:t>6 776</w:t>
            </w:r>
          </w:p>
        </w:tc>
        <w:tc>
          <w:tcPr>
            <w:tcW w:w="1512" w:type="dxa"/>
            <w:noWrap/>
          </w:tcPr>
          <w:p>
            <w:pPr>
              <w:pStyle w:val="yTableNAm"/>
              <w:tabs>
                <w:tab w:val="clear" w:pos="567"/>
              </w:tabs>
              <w:ind w:right="383"/>
              <w:jc w:val="right"/>
            </w:pPr>
            <w:r>
              <w:t>14 866</w:t>
            </w:r>
          </w:p>
        </w:tc>
        <w:tc>
          <w:tcPr>
            <w:tcW w:w="1512" w:type="dxa"/>
            <w:noWrap/>
          </w:tcPr>
          <w:p>
            <w:pPr>
              <w:pStyle w:val="yTableNAm"/>
              <w:tabs>
                <w:tab w:val="clear" w:pos="567"/>
              </w:tabs>
              <w:ind w:right="383"/>
              <w:jc w:val="right"/>
            </w:pPr>
            <w:r>
              <w:t>1 383</w:t>
            </w:r>
          </w:p>
        </w:tc>
      </w:tr>
      <w:tr>
        <w:trPr>
          <w:cantSplit/>
        </w:trPr>
        <w:tc>
          <w:tcPr>
            <w:tcW w:w="1701" w:type="dxa"/>
            <w:noWrap/>
          </w:tcPr>
          <w:p>
            <w:pPr>
              <w:pStyle w:val="yTableNAm"/>
            </w:pPr>
            <w:r>
              <w:lastRenderedPageBreak/>
              <w:t>Over 24 but not over 25</w:t>
            </w:r>
          </w:p>
        </w:tc>
        <w:tc>
          <w:tcPr>
            <w:tcW w:w="1512" w:type="dxa"/>
            <w:noWrap/>
          </w:tcPr>
          <w:p>
            <w:pPr>
              <w:pStyle w:val="yTableNAm"/>
              <w:tabs>
                <w:tab w:val="clear" w:pos="567"/>
              </w:tabs>
              <w:ind w:right="383"/>
              <w:jc w:val="right"/>
            </w:pPr>
            <w:r>
              <w:t>7 184</w:t>
            </w:r>
          </w:p>
        </w:tc>
        <w:tc>
          <w:tcPr>
            <w:tcW w:w="1512" w:type="dxa"/>
            <w:noWrap/>
          </w:tcPr>
          <w:p>
            <w:pPr>
              <w:pStyle w:val="yTableNAm"/>
              <w:tabs>
                <w:tab w:val="clear" w:pos="567"/>
              </w:tabs>
              <w:ind w:right="383"/>
              <w:jc w:val="right"/>
            </w:pPr>
            <w:r>
              <w:t>15 689</w:t>
            </w:r>
          </w:p>
        </w:tc>
        <w:tc>
          <w:tcPr>
            <w:tcW w:w="1512" w:type="dxa"/>
            <w:noWrap/>
          </w:tcPr>
          <w:p>
            <w:pPr>
              <w:pStyle w:val="yTableNAm"/>
              <w:tabs>
                <w:tab w:val="clear" w:pos="567"/>
              </w:tabs>
              <w:ind w:right="383"/>
              <w:jc w:val="right"/>
            </w:pPr>
            <w:r>
              <w:t>1 459</w:t>
            </w:r>
          </w:p>
        </w:tc>
      </w:tr>
      <w:tr>
        <w:trPr>
          <w:cantSplit/>
        </w:trPr>
        <w:tc>
          <w:tcPr>
            <w:tcW w:w="1701" w:type="dxa"/>
            <w:noWrap/>
          </w:tcPr>
          <w:p>
            <w:pPr>
              <w:pStyle w:val="yTableNAm"/>
            </w:pPr>
            <w:r>
              <w:t>Over 25 but not over 26</w:t>
            </w:r>
          </w:p>
        </w:tc>
        <w:tc>
          <w:tcPr>
            <w:tcW w:w="1512" w:type="dxa"/>
            <w:noWrap/>
          </w:tcPr>
          <w:p>
            <w:pPr>
              <w:pStyle w:val="yTableNAm"/>
              <w:tabs>
                <w:tab w:val="clear" w:pos="567"/>
              </w:tabs>
              <w:ind w:right="383"/>
              <w:jc w:val="right"/>
            </w:pPr>
            <w:r>
              <w:t>7 612</w:t>
            </w:r>
          </w:p>
        </w:tc>
        <w:tc>
          <w:tcPr>
            <w:tcW w:w="1512" w:type="dxa"/>
            <w:noWrap/>
          </w:tcPr>
          <w:p>
            <w:pPr>
              <w:pStyle w:val="yTableNAm"/>
              <w:tabs>
                <w:tab w:val="clear" w:pos="567"/>
              </w:tabs>
              <w:ind w:right="383"/>
              <w:jc w:val="right"/>
            </w:pPr>
            <w:r>
              <w:t>16 517</w:t>
            </w:r>
          </w:p>
        </w:tc>
        <w:tc>
          <w:tcPr>
            <w:tcW w:w="1512" w:type="dxa"/>
            <w:noWrap/>
          </w:tcPr>
          <w:p>
            <w:pPr>
              <w:pStyle w:val="yTableNAm"/>
              <w:tabs>
                <w:tab w:val="clear" w:pos="567"/>
              </w:tabs>
              <w:ind w:right="383"/>
              <w:jc w:val="right"/>
            </w:pPr>
            <w:r>
              <w:t>1 542</w:t>
            </w:r>
          </w:p>
        </w:tc>
      </w:tr>
      <w:tr>
        <w:trPr>
          <w:cantSplit/>
        </w:trPr>
        <w:tc>
          <w:tcPr>
            <w:tcW w:w="1701" w:type="dxa"/>
            <w:noWrap/>
          </w:tcPr>
          <w:p>
            <w:pPr>
              <w:pStyle w:val="yTableNAm"/>
            </w:pPr>
            <w:r>
              <w:t>Over 26 but not over 27</w:t>
            </w:r>
          </w:p>
        </w:tc>
        <w:tc>
          <w:tcPr>
            <w:tcW w:w="1512" w:type="dxa"/>
            <w:noWrap/>
          </w:tcPr>
          <w:p>
            <w:pPr>
              <w:pStyle w:val="yTableNAm"/>
              <w:tabs>
                <w:tab w:val="clear" w:pos="567"/>
              </w:tabs>
              <w:ind w:right="383"/>
              <w:jc w:val="right"/>
            </w:pPr>
            <w:r>
              <w:t>8 015</w:t>
            </w:r>
          </w:p>
        </w:tc>
        <w:tc>
          <w:tcPr>
            <w:tcW w:w="1512" w:type="dxa"/>
            <w:noWrap/>
          </w:tcPr>
          <w:p>
            <w:pPr>
              <w:pStyle w:val="yTableNAm"/>
              <w:tabs>
                <w:tab w:val="clear" w:pos="567"/>
              </w:tabs>
              <w:ind w:right="383"/>
              <w:jc w:val="right"/>
            </w:pPr>
            <w:r>
              <w:t>17 348</w:t>
            </w:r>
          </w:p>
        </w:tc>
        <w:tc>
          <w:tcPr>
            <w:tcW w:w="1512" w:type="dxa"/>
            <w:noWrap/>
          </w:tcPr>
          <w:p>
            <w:pPr>
              <w:pStyle w:val="yTableNAm"/>
              <w:tabs>
                <w:tab w:val="clear" w:pos="567"/>
              </w:tabs>
              <w:ind w:right="383"/>
              <w:jc w:val="right"/>
            </w:pPr>
            <w:r>
              <w:t>1 618</w:t>
            </w:r>
          </w:p>
        </w:tc>
      </w:tr>
      <w:tr>
        <w:trPr>
          <w:cantSplit/>
        </w:trPr>
        <w:tc>
          <w:tcPr>
            <w:tcW w:w="1701" w:type="dxa"/>
            <w:noWrap/>
          </w:tcPr>
          <w:p>
            <w:pPr>
              <w:pStyle w:val="yTableNAm"/>
            </w:pPr>
            <w:r>
              <w:t>Over 27 but not over 28</w:t>
            </w:r>
          </w:p>
        </w:tc>
        <w:tc>
          <w:tcPr>
            <w:tcW w:w="1512" w:type="dxa"/>
            <w:noWrap/>
          </w:tcPr>
          <w:p>
            <w:pPr>
              <w:pStyle w:val="yTableNAm"/>
              <w:tabs>
                <w:tab w:val="clear" w:pos="567"/>
              </w:tabs>
              <w:ind w:right="383"/>
              <w:jc w:val="right"/>
            </w:pPr>
            <w:r>
              <w:t>8 444</w:t>
            </w:r>
          </w:p>
        </w:tc>
        <w:tc>
          <w:tcPr>
            <w:tcW w:w="1512" w:type="dxa"/>
            <w:noWrap/>
          </w:tcPr>
          <w:p>
            <w:pPr>
              <w:pStyle w:val="yTableNAm"/>
              <w:tabs>
                <w:tab w:val="clear" w:pos="567"/>
              </w:tabs>
              <w:ind w:right="383"/>
              <w:jc w:val="right"/>
            </w:pPr>
            <w:r>
              <w:t>18 193</w:t>
            </w:r>
          </w:p>
        </w:tc>
        <w:tc>
          <w:tcPr>
            <w:tcW w:w="1512" w:type="dxa"/>
            <w:noWrap/>
          </w:tcPr>
          <w:p>
            <w:pPr>
              <w:pStyle w:val="yTableNAm"/>
              <w:tabs>
                <w:tab w:val="clear" w:pos="567"/>
              </w:tabs>
              <w:ind w:right="383"/>
              <w:jc w:val="right"/>
            </w:pPr>
            <w:r>
              <w:t>1 709</w:t>
            </w:r>
          </w:p>
        </w:tc>
      </w:tr>
      <w:tr>
        <w:trPr>
          <w:cantSplit/>
        </w:trPr>
        <w:tc>
          <w:tcPr>
            <w:tcW w:w="1701" w:type="dxa"/>
            <w:noWrap/>
          </w:tcPr>
          <w:p>
            <w:pPr>
              <w:pStyle w:val="yTableNAm"/>
            </w:pPr>
            <w:r>
              <w:t>Over 28 but not over 29</w:t>
            </w:r>
          </w:p>
        </w:tc>
        <w:tc>
          <w:tcPr>
            <w:tcW w:w="1512" w:type="dxa"/>
            <w:noWrap/>
          </w:tcPr>
          <w:p>
            <w:pPr>
              <w:pStyle w:val="yTableNAm"/>
              <w:tabs>
                <w:tab w:val="clear" w:pos="567"/>
              </w:tabs>
              <w:ind w:right="383"/>
              <w:jc w:val="right"/>
            </w:pPr>
            <w:r>
              <w:t>8 850</w:t>
            </w:r>
          </w:p>
        </w:tc>
        <w:tc>
          <w:tcPr>
            <w:tcW w:w="1512" w:type="dxa"/>
            <w:noWrap/>
          </w:tcPr>
          <w:p>
            <w:pPr>
              <w:pStyle w:val="yTableNAm"/>
              <w:tabs>
                <w:tab w:val="clear" w:pos="567"/>
              </w:tabs>
              <w:ind w:right="383"/>
              <w:jc w:val="right"/>
            </w:pPr>
            <w:r>
              <w:t>19 020</w:t>
            </w:r>
          </w:p>
        </w:tc>
        <w:tc>
          <w:tcPr>
            <w:tcW w:w="1512" w:type="dxa"/>
            <w:noWrap/>
          </w:tcPr>
          <w:p>
            <w:pPr>
              <w:pStyle w:val="yTableNAm"/>
              <w:tabs>
                <w:tab w:val="clear" w:pos="567"/>
              </w:tabs>
              <w:ind w:right="383"/>
              <w:jc w:val="right"/>
            </w:pPr>
            <w:r>
              <w:t>1 786</w:t>
            </w:r>
          </w:p>
        </w:tc>
      </w:tr>
      <w:tr>
        <w:trPr>
          <w:cantSplit/>
        </w:trPr>
        <w:tc>
          <w:tcPr>
            <w:tcW w:w="1701" w:type="dxa"/>
            <w:noWrap/>
          </w:tcPr>
          <w:p>
            <w:pPr>
              <w:pStyle w:val="yTableNAm"/>
            </w:pPr>
            <w:r>
              <w:t>Over 29 but not over 30</w:t>
            </w:r>
          </w:p>
        </w:tc>
        <w:tc>
          <w:tcPr>
            <w:tcW w:w="1512" w:type="dxa"/>
            <w:noWrap/>
          </w:tcPr>
          <w:p>
            <w:pPr>
              <w:pStyle w:val="yTableNAm"/>
              <w:tabs>
                <w:tab w:val="clear" w:pos="567"/>
              </w:tabs>
              <w:ind w:right="383"/>
              <w:jc w:val="right"/>
            </w:pPr>
            <w:r>
              <w:t>9 266</w:t>
            </w:r>
          </w:p>
        </w:tc>
        <w:tc>
          <w:tcPr>
            <w:tcW w:w="1512" w:type="dxa"/>
            <w:noWrap/>
          </w:tcPr>
          <w:p>
            <w:pPr>
              <w:pStyle w:val="yTableNAm"/>
              <w:tabs>
                <w:tab w:val="clear" w:pos="567"/>
              </w:tabs>
              <w:ind w:right="383"/>
              <w:jc w:val="right"/>
            </w:pPr>
            <w:r>
              <w:t>19 845</w:t>
            </w:r>
          </w:p>
        </w:tc>
        <w:tc>
          <w:tcPr>
            <w:tcW w:w="1512" w:type="dxa"/>
            <w:noWrap/>
          </w:tcPr>
          <w:p>
            <w:pPr>
              <w:pStyle w:val="yTableNAm"/>
              <w:tabs>
                <w:tab w:val="clear" w:pos="567"/>
              </w:tabs>
              <w:ind w:right="383"/>
              <w:jc w:val="right"/>
            </w:pPr>
            <w:r>
              <w:t>1 870</w:t>
            </w:r>
          </w:p>
        </w:tc>
      </w:tr>
      <w:tr>
        <w:trPr>
          <w:cantSplit/>
        </w:trPr>
        <w:tc>
          <w:tcPr>
            <w:tcW w:w="1701" w:type="dxa"/>
            <w:noWrap/>
          </w:tcPr>
          <w:p>
            <w:pPr>
              <w:pStyle w:val="yTableNAm"/>
            </w:pPr>
            <w:r>
              <w:t>Over 30 but not over 31</w:t>
            </w:r>
          </w:p>
        </w:tc>
        <w:tc>
          <w:tcPr>
            <w:tcW w:w="1512" w:type="dxa"/>
            <w:noWrap/>
          </w:tcPr>
          <w:p>
            <w:pPr>
              <w:pStyle w:val="yTableNAm"/>
              <w:tabs>
                <w:tab w:val="clear" w:pos="567"/>
              </w:tabs>
              <w:ind w:right="383"/>
              <w:jc w:val="right"/>
            </w:pPr>
            <w:r>
              <w:t>9 738</w:t>
            </w:r>
          </w:p>
        </w:tc>
        <w:tc>
          <w:tcPr>
            <w:tcW w:w="1512" w:type="dxa"/>
            <w:noWrap/>
          </w:tcPr>
          <w:p>
            <w:pPr>
              <w:pStyle w:val="yTableNAm"/>
              <w:tabs>
                <w:tab w:val="clear" w:pos="567"/>
              </w:tabs>
              <w:ind w:right="383"/>
              <w:jc w:val="right"/>
            </w:pPr>
            <w:r>
              <w:t>20 738</w:t>
            </w:r>
          </w:p>
        </w:tc>
        <w:tc>
          <w:tcPr>
            <w:tcW w:w="1512" w:type="dxa"/>
            <w:noWrap/>
          </w:tcPr>
          <w:p>
            <w:pPr>
              <w:pStyle w:val="yTableNAm"/>
              <w:tabs>
                <w:tab w:val="clear" w:pos="567"/>
              </w:tabs>
              <w:ind w:right="383"/>
              <w:jc w:val="right"/>
            </w:pPr>
            <w:r>
              <w:t>1 979</w:t>
            </w:r>
          </w:p>
        </w:tc>
      </w:tr>
      <w:tr>
        <w:trPr>
          <w:cantSplit/>
        </w:trPr>
        <w:tc>
          <w:tcPr>
            <w:tcW w:w="1701" w:type="dxa"/>
            <w:noWrap/>
          </w:tcPr>
          <w:p>
            <w:pPr>
              <w:pStyle w:val="yTableNAm"/>
            </w:pPr>
            <w:r>
              <w:t>Over 31 but not over 32</w:t>
            </w:r>
          </w:p>
        </w:tc>
        <w:tc>
          <w:tcPr>
            <w:tcW w:w="1512" w:type="dxa"/>
            <w:noWrap/>
          </w:tcPr>
          <w:p>
            <w:pPr>
              <w:pStyle w:val="yTableNAm"/>
              <w:tabs>
                <w:tab w:val="clear" w:pos="567"/>
              </w:tabs>
              <w:ind w:right="383"/>
              <w:jc w:val="right"/>
            </w:pPr>
            <w:r>
              <w:t>10 222</w:t>
            </w:r>
          </w:p>
        </w:tc>
        <w:tc>
          <w:tcPr>
            <w:tcW w:w="1512" w:type="dxa"/>
            <w:noWrap/>
          </w:tcPr>
          <w:p>
            <w:pPr>
              <w:pStyle w:val="yTableNAm"/>
              <w:tabs>
                <w:tab w:val="clear" w:pos="567"/>
              </w:tabs>
              <w:ind w:right="383"/>
              <w:jc w:val="right"/>
            </w:pPr>
            <w:r>
              <w:t>21 643</w:t>
            </w:r>
          </w:p>
        </w:tc>
        <w:tc>
          <w:tcPr>
            <w:tcW w:w="1512" w:type="dxa"/>
            <w:noWrap/>
          </w:tcPr>
          <w:p>
            <w:pPr>
              <w:pStyle w:val="yTableNAm"/>
              <w:tabs>
                <w:tab w:val="clear" w:pos="567"/>
              </w:tabs>
              <w:ind w:right="383"/>
              <w:jc w:val="right"/>
            </w:pPr>
            <w:r>
              <w:t>2 092</w:t>
            </w:r>
          </w:p>
        </w:tc>
      </w:tr>
      <w:tr>
        <w:trPr>
          <w:cantSplit/>
        </w:trPr>
        <w:tc>
          <w:tcPr>
            <w:tcW w:w="1701" w:type="dxa"/>
            <w:noWrap/>
          </w:tcPr>
          <w:p>
            <w:pPr>
              <w:pStyle w:val="yTableNAm"/>
            </w:pPr>
            <w:r>
              <w:t>Over 32 but not over 33</w:t>
            </w:r>
          </w:p>
        </w:tc>
        <w:tc>
          <w:tcPr>
            <w:tcW w:w="1512" w:type="dxa"/>
            <w:noWrap/>
          </w:tcPr>
          <w:p>
            <w:pPr>
              <w:pStyle w:val="yTableNAm"/>
              <w:tabs>
                <w:tab w:val="clear" w:pos="567"/>
              </w:tabs>
              <w:ind w:right="383"/>
              <w:jc w:val="right"/>
            </w:pPr>
            <w:r>
              <w:t>10 684</w:t>
            </w:r>
          </w:p>
        </w:tc>
        <w:tc>
          <w:tcPr>
            <w:tcW w:w="1512" w:type="dxa"/>
            <w:noWrap/>
          </w:tcPr>
          <w:p>
            <w:pPr>
              <w:pStyle w:val="yTableNAm"/>
              <w:tabs>
                <w:tab w:val="clear" w:pos="567"/>
              </w:tabs>
              <w:ind w:right="383"/>
              <w:jc w:val="right"/>
            </w:pPr>
            <w:r>
              <w:t>22 527</w:t>
            </w:r>
          </w:p>
        </w:tc>
        <w:tc>
          <w:tcPr>
            <w:tcW w:w="1512" w:type="dxa"/>
            <w:noWrap/>
          </w:tcPr>
          <w:p>
            <w:pPr>
              <w:pStyle w:val="yTableNAm"/>
              <w:tabs>
                <w:tab w:val="clear" w:pos="567"/>
              </w:tabs>
              <w:ind w:right="383"/>
              <w:jc w:val="right"/>
            </w:pPr>
            <w:r>
              <w:t>2 198</w:t>
            </w:r>
          </w:p>
        </w:tc>
      </w:tr>
      <w:tr>
        <w:trPr>
          <w:cantSplit/>
        </w:trPr>
        <w:tc>
          <w:tcPr>
            <w:tcW w:w="1701" w:type="dxa"/>
            <w:noWrap/>
          </w:tcPr>
          <w:p>
            <w:pPr>
              <w:pStyle w:val="yTableNAm"/>
            </w:pPr>
            <w:r>
              <w:t>Over 33 but not over 34</w:t>
            </w:r>
          </w:p>
        </w:tc>
        <w:tc>
          <w:tcPr>
            <w:tcW w:w="1512" w:type="dxa"/>
            <w:noWrap/>
          </w:tcPr>
          <w:p>
            <w:pPr>
              <w:pStyle w:val="yTableNAm"/>
              <w:tabs>
                <w:tab w:val="clear" w:pos="567"/>
              </w:tabs>
              <w:ind w:right="383"/>
              <w:jc w:val="right"/>
            </w:pPr>
            <w:r>
              <w:t>11 169</w:t>
            </w:r>
          </w:p>
        </w:tc>
        <w:tc>
          <w:tcPr>
            <w:tcW w:w="1512" w:type="dxa"/>
            <w:noWrap/>
          </w:tcPr>
          <w:p>
            <w:pPr>
              <w:pStyle w:val="yTableNAm"/>
              <w:tabs>
                <w:tab w:val="clear" w:pos="567"/>
              </w:tabs>
              <w:ind w:right="383"/>
              <w:jc w:val="right"/>
            </w:pPr>
            <w:r>
              <w:t>23 421</w:t>
            </w:r>
          </w:p>
        </w:tc>
        <w:tc>
          <w:tcPr>
            <w:tcW w:w="1512" w:type="dxa"/>
            <w:noWrap/>
          </w:tcPr>
          <w:p>
            <w:pPr>
              <w:pStyle w:val="yTableNAm"/>
              <w:tabs>
                <w:tab w:val="clear" w:pos="567"/>
              </w:tabs>
              <w:ind w:right="383"/>
              <w:jc w:val="right"/>
            </w:pPr>
            <w:r>
              <w:t>2 310</w:t>
            </w:r>
          </w:p>
        </w:tc>
      </w:tr>
      <w:tr>
        <w:trPr>
          <w:cantSplit/>
        </w:trPr>
        <w:tc>
          <w:tcPr>
            <w:tcW w:w="1701" w:type="dxa"/>
            <w:noWrap/>
          </w:tcPr>
          <w:p>
            <w:pPr>
              <w:pStyle w:val="yTableNAm"/>
            </w:pPr>
            <w:r>
              <w:t>Over 34 but not over 35</w:t>
            </w:r>
          </w:p>
        </w:tc>
        <w:tc>
          <w:tcPr>
            <w:tcW w:w="1512" w:type="dxa"/>
            <w:noWrap/>
          </w:tcPr>
          <w:p>
            <w:pPr>
              <w:pStyle w:val="yTableNAm"/>
              <w:tabs>
                <w:tab w:val="clear" w:pos="567"/>
              </w:tabs>
              <w:ind w:right="383"/>
              <w:jc w:val="right"/>
            </w:pPr>
            <w:r>
              <w:t>11 639</w:t>
            </w:r>
          </w:p>
        </w:tc>
        <w:tc>
          <w:tcPr>
            <w:tcW w:w="1512" w:type="dxa"/>
            <w:noWrap/>
          </w:tcPr>
          <w:p>
            <w:pPr>
              <w:pStyle w:val="yTableNAm"/>
              <w:tabs>
                <w:tab w:val="clear" w:pos="567"/>
              </w:tabs>
              <w:ind w:right="383"/>
              <w:jc w:val="right"/>
            </w:pPr>
            <w:r>
              <w:t>24 308</w:t>
            </w:r>
          </w:p>
        </w:tc>
        <w:tc>
          <w:tcPr>
            <w:tcW w:w="1512" w:type="dxa"/>
            <w:noWrap/>
          </w:tcPr>
          <w:p>
            <w:pPr>
              <w:pStyle w:val="yTableNAm"/>
              <w:tabs>
                <w:tab w:val="clear" w:pos="567"/>
              </w:tabs>
              <w:ind w:right="383"/>
              <w:jc w:val="right"/>
            </w:pPr>
            <w:r>
              <w:t>2 419</w:t>
            </w:r>
          </w:p>
        </w:tc>
      </w:tr>
      <w:tr>
        <w:trPr>
          <w:cantSplit/>
        </w:trPr>
        <w:tc>
          <w:tcPr>
            <w:tcW w:w="1701" w:type="dxa"/>
            <w:noWrap/>
          </w:tcPr>
          <w:p>
            <w:pPr>
              <w:pStyle w:val="yTableNAm"/>
            </w:pPr>
            <w:r>
              <w:t>Over 35 but not over 36</w:t>
            </w:r>
          </w:p>
        </w:tc>
        <w:tc>
          <w:tcPr>
            <w:tcW w:w="1512" w:type="dxa"/>
            <w:noWrap/>
          </w:tcPr>
          <w:p>
            <w:pPr>
              <w:pStyle w:val="yTableNAm"/>
              <w:tabs>
                <w:tab w:val="clear" w:pos="567"/>
              </w:tabs>
              <w:ind w:right="383"/>
              <w:jc w:val="right"/>
            </w:pPr>
            <w:r>
              <w:t>12 124</w:t>
            </w:r>
          </w:p>
        </w:tc>
        <w:tc>
          <w:tcPr>
            <w:tcW w:w="1512" w:type="dxa"/>
            <w:noWrap/>
          </w:tcPr>
          <w:p>
            <w:pPr>
              <w:pStyle w:val="yTableNAm"/>
              <w:tabs>
                <w:tab w:val="clear" w:pos="567"/>
              </w:tabs>
              <w:ind w:right="383"/>
              <w:jc w:val="right"/>
            </w:pPr>
            <w:r>
              <w:t>25 197</w:t>
            </w:r>
          </w:p>
        </w:tc>
        <w:tc>
          <w:tcPr>
            <w:tcW w:w="1512" w:type="dxa"/>
            <w:noWrap/>
          </w:tcPr>
          <w:p>
            <w:pPr>
              <w:pStyle w:val="yTableNAm"/>
              <w:tabs>
                <w:tab w:val="clear" w:pos="567"/>
              </w:tabs>
              <w:ind w:right="383"/>
              <w:jc w:val="right"/>
            </w:pPr>
            <w:r>
              <w:t>2 529</w:t>
            </w:r>
          </w:p>
        </w:tc>
      </w:tr>
      <w:tr>
        <w:trPr>
          <w:cantSplit/>
        </w:trPr>
        <w:tc>
          <w:tcPr>
            <w:tcW w:w="1701" w:type="dxa"/>
            <w:noWrap/>
          </w:tcPr>
          <w:p>
            <w:pPr>
              <w:pStyle w:val="yTableNAm"/>
            </w:pPr>
            <w:r>
              <w:lastRenderedPageBreak/>
              <w:t>Over 36 but not over 37</w:t>
            </w:r>
          </w:p>
        </w:tc>
        <w:tc>
          <w:tcPr>
            <w:tcW w:w="1512" w:type="dxa"/>
            <w:noWrap/>
          </w:tcPr>
          <w:p>
            <w:pPr>
              <w:pStyle w:val="yTableNAm"/>
              <w:tabs>
                <w:tab w:val="clear" w:pos="567"/>
              </w:tabs>
              <w:ind w:right="383"/>
              <w:jc w:val="right"/>
            </w:pPr>
            <w:r>
              <w:t>12 608</w:t>
            </w:r>
          </w:p>
        </w:tc>
        <w:tc>
          <w:tcPr>
            <w:tcW w:w="1512" w:type="dxa"/>
            <w:noWrap/>
          </w:tcPr>
          <w:p>
            <w:pPr>
              <w:pStyle w:val="yTableNAm"/>
              <w:tabs>
                <w:tab w:val="clear" w:pos="567"/>
              </w:tabs>
              <w:ind w:right="383"/>
              <w:jc w:val="right"/>
            </w:pPr>
            <w:r>
              <w:t>26 087</w:t>
            </w:r>
          </w:p>
        </w:tc>
        <w:tc>
          <w:tcPr>
            <w:tcW w:w="1512" w:type="dxa"/>
            <w:noWrap/>
          </w:tcPr>
          <w:p>
            <w:pPr>
              <w:pStyle w:val="yTableNAm"/>
              <w:tabs>
                <w:tab w:val="clear" w:pos="567"/>
              </w:tabs>
              <w:ind w:right="383"/>
              <w:jc w:val="right"/>
            </w:pPr>
            <w:r>
              <w:t>2 642</w:t>
            </w:r>
          </w:p>
        </w:tc>
      </w:tr>
      <w:tr>
        <w:trPr>
          <w:cantSplit/>
        </w:trPr>
        <w:tc>
          <w:tcPr>
            <w:tcW w:w="1701" w:type="dxa"/>
            <w:noWrap/>
          </w:tcPr>
          <w:p>
            <w:pPr>
              <w:pStyle w:val="yTableNAm"/>
            </w:pPr>
            <w:r>
              <w:t>Over 37 but not over 38</w:t>
            </w:r>
          </w:p>
        </w:tc>
        <w:tc>
          <w:tcPr>
            <w:tcW w:w="1512" w:type="dxa"/>
            <w:noWrap/>
          </w:tcPr>
          <w:p>
            <w:pPr>
              <w:pStyle w:val="yTableNAm"/>
              <w:tabs>
                <w:tab w:val="clear" w:pos="567"/>
              </w:tabs>
              <w:ind w:right="383"/>
              <w:jc w:val="right"/>
            </w:pPr>
            <w:r>
              <w:t>13 067</w:t>
            </w:r>
          </w:p>
        </w:tc>
        <w:tc>
          <w:tcPr>
            <w:tcW w:w="1512" w:type="dxa"/>
            <w:noWrap/>
          </w:tcPr>
          <w:p>
            <w:pPr>
              <w:pStyle w:val="yTableNAm"/>
              <w:tabs>
                <w:tab w:val="clear" w:pos="567"/>
              </w:tabs>
              <w:ind w:right="383"/>
              <w:jc w:val="right"/>
            </w:pPr>
            <w:r>
              <w:t>26 993</w:t>
            </w:r>
          </w:p>
        </w:tc>
        <w:tc>
          <w:tcPr>
            <w:tcW w:w="1512" w:type="dxa"/>
            <w:noWrap/>
          </w:tcPr>
          <w:p>
            <w:pPr>
              <w:pStyle w:val="yTableNAm"/>
              <w:tabs>
                <w:tab w:val="clear" w:pos="567"/>
              </w:tabs>
              <w:ind w:right="383"/>
              <w:jc w:val="right"/>
            </w:pPr>
            <w:r>
              <w:t>2 741</w:t>
            </w:r>
          </w:p>
        </w:tc>
      </w:tr>
      <w:tr>
        <w:trPr>
          <w:cantSplit/>
        </w:trPr>
        <w:tc>
          <w:tcPr>
            <w:tcW w:w="1701" w:type="dxa"/>
            <w:noWrap/>
          </w:tcPr>
          <w:p>
            <w:pPr>
              <w:pStyle w:val="yTableNAm"/>
            </w:pPr>
            <w:r>
              <w:t>Over 38 but not over 39</w:t>
            </w:r>
          </w:p>
        </w:tc>
        <w:tc>
          <w:tcPr>
            <w:tcW w:w="1512" w:type="dxa"/>
            <w:noWrap/>
          </w:tcPr>
          <w:p>
            <w:pPr>
              <w:pStyle w:val="yTableNAm"/>
              <w:tabs>
                <w:tab w:val="clear" w:pos="567"/>
              </w:tabs>
              <w:ind w:right="383"/>
              <w:jc w:val="right"/>
            </w:pPr>
            <w:r>
              <w:t>13 550</w:t>
            </w:r>
          </w:p>
        </w:tc>
        <w:tc>
          <w:tcPr>
            <w:tcW w:w="1512" w:type="dxa"/>
            <w:noWrap/>
          </w:tcPr>
          <w:p>
            <w:pPr>
              <w:pStyle w:val="yTableNAm"/>
              <w:tabs>
                <w:tab w:val="clear" w:pos="567"/>
              </w:tabs>
              <w:ind w:right="383"/>
              <w:jc w:val="right"/>
            </w:pPr>
            <w:r>
              <w:t>27 876</w:t>
            </w:r>
          </w:p>
        </w:tc>
        <w:tc>
          <w:tcPr>
            <w:tcW w:w="1512" w:type="dxa"/>
            <w:noWrap/>
          </w:tcPr>
          <w:p>
            <w:pPr>
              <w:pStyle w:val="yTableNAm"/>
              <w:tabs>
                <w:tab w:val="clear" w:pos="567"/>
              </w:tabs>
              <w:ind w:right="383"/>
              <w:jc w:val="right"/>
            </w:pPr>
            <w:r>
              <w:t>2 852</w:t>
            </w:r>
          </w:p>
        </w:tc>
      </w:tr>
      <w:tr>
        <w:trPr>
          <w:cantSplit/>
        </w:trPr>
        <w:tc>
          <w:tcPr>
            <w:tcW w:w="1701" w:type="dxa"/>
            <w:noWrap/>
          </w:tcPr>
          <w:p>
            <w:pPr>
              <w:pStyle w:val="yTableNAm"/>
            </w:pPr>
            <w:r>
              <w:t>Over 39 but not over 40</w:t>
            </w:r>
          </w:p>
        </w:tc>
        <w:tc>
          <w:tcPr>
            <w:tcW w:w="1512" w:type="dxa"/>
            <w:noWrap/>
          </w:tcPr>
          <w:p>
            <w:pPr>
              <w:pStyle w:val="yTableNAm"/>
              <w:tabs>
                <w:tab w:val="clear" w:pos="567"/>
              </w:tabs>
              <w:ind w:right="383"/>
              <w:jc w:val="right"/>
            </w:pPr>
            <w:r>
              <w:t>14 023</w:t>
            </w:r>
          </w:p>
        </w:tc>
        <w:tc>
          <w:tcPr>
            <w:tcW w:w="1512" w:type="dxa"/>
            <w:noWrap/>
          </w:tcPr>
          <w:p>
            <w:pPr>
              <w:pStyle w:val="yTableNAm"/>
              <w:tabs>
                <w:tab w:val="clear" w:pos="567"/>
              </w:tabs>
              <w:ind w:right="383"/>
              <w:jc w:val="right"/>
            </w:pPr>
            <w:r>
              <w:t>28 767</w:t>
            </w:r>
          </w:p>
        </w:tc>
        <w:tc>
          <w:tcPr>
            <w:tcW w:w="1512" w:type="dxa"/>
            <w:noWrap/>
          </w:tcPr>
          <w:p>
            <w:pPr>
              <w:pStyle w:val="yTableNAm"/>
              <w:tabs>
                <w:tab w:val="clear" w:pos="567"/>
              </w:tabs>
              <w:ind w:right="383"/>
              <w:jc w:val="right"/>
            </w:pPr>
            <w:r>
              <w:t>2 961</w:t>
            </w:r>
          </w:p>
        </w:tc>
      </w:tr>
      <w:tr>
        <w:trPr>
          <w:cantSplit/>
        </w:trPr>
        <w:tc>
          <w:tcPr>
            <w:tcW w:w="1701" w:type="dxa"/>
            <w:noWrap/>
          </w:tcPr>
          <w:p>
            <w:pPr>
              <w:pStyle w:val="yTableNAm"/>
            </w:pPr>
            <w:r>
              <w:t>Over 40 but not over 41</w:t>
            </w:r>
          </w:p>
        </w:tc>
        <w:tc>
          <w:tcPr>
            <w:tcW w:w="1512" w:type="dxa"/>
            <w:noWrap/>
          </w:tcPr>
          <w:p>
            <w:pPr>
              <w:pStyle w:val="yTableNAm"/>
              <w:tabs>
                <w:tab w:val="clear" w:pos="567"/>
              </w:tabs>
              <w:ind w:right="383"/>
              <w:jc w:val="right"/>
            </w:pPr>
            <w:r>
              <w:t>14 565</w:t>
            </w:r>
          </w:p>
        </w:tc>
        <w:tc>
          <w:tcPr>
            <w:tcW w:w="1512" w:type="dxa"/>
            <w:noWrap/>
          </w:tcPr>
          <w:p>
            <w:pPr>
              <w:pStyle w:val="yTableNAm"/>
              <w:tabs>
                <w:tab w:val="clear" w:pos="567"/>
              </w:tabs>
              <w:ind w:right="383"/>
              <w:jc w:val="right"/>
            </w:pPr>
            <w:r>
              <w:t>29 711</w:t>
            </w:r>
          </w:p>
        </w:tc>
        <w:tc>
          <w:tcPr>
            <w:tcW w:w="1512" w:type="dxa"/>
            <w:noWrap/>
          </w:tcPr>
          <w:p>
            <w:pPr>
              <w:pStyle w:val="yTableNAm"/>
              <w:tabs>
                <w:tab w:val="clear" w:pos="567"/>
              </w:tabs>
              <w:ind w:right="383"/>
              <w:jc w:val="right"/>
            </w:pPr>
            <w:r>
              <w:t>3 107</w:t>
            </w:r>
          </w:p>
        </w:tc>
      </w:tr>
      <w:tr>
        <w:trPr>
          <w:cantSplit/>
        </w:trPr>
        <w:tc>
          <w:tcPr>
            <w:tcW w:w="1701" w:type="dxa"/>
            <w:noWrap/>
          </w:tcPr>
          <w:p>
            <w:pPr>
              <w:pStyle w:val="yTableNAm"/>
            </w:pPr>
            <w:r>
              <w:t>Over 41 but not over 42</w:t>
            </w:r>
          </w:p>
        </w:tc>
        <w:tc>
          <w:tcPr>
            <w:tcW w:w="1512" w:type="dxa"/>
            <w:noWrap/>
          </w:tcPr>
          <w:p>
            <w:pPr>
              <w:pStyle w:val="yTableNAm"/>
              <w:tabs>
                <w:tab w:val="clear" w:pos="567"/>
              </w:tabs>
              <w:ind w:right="383"/>
              <w:jc w:val="right"/>
            </w:pPr>
            <w:r>
              <w:t>15 093</w:t>
            </w:r>
          </w:p>
        </w:tc>
        <w:tc>
          <w:tcPr>
            <w:tcW w:w="1512" w:type="dxa"/>
            <w:noWrap/>
          </w:tcPr>
          <w:p>
            <w:pPr>
              <w:pStyle w:val="yTableNAm"/>
              <w:tabs>
                <w:tab w:val="clear" w:pos="567"/>
              </w:tabs>
              <w:ind w:right="383"/>
              <w:jc w:val="right"/>
            </w:pPr>
            <w:r>
              <w:t>30 667</w:t>
            </w:r>
          </w:p>
        </w:tc>
        <w:tc>
          <w:tcPr>
            <w:tcW w:w="1512" w:type="dxa"/>
            <w:noWrap/>
          </w:tcPr>
          <w:p>
            <w:pPr>
              <w:pStyle w:val="yTableNAm"/>
              <w:tabs>
                <w:tab w:val="clear" w:pos="567"/>
              </w:tabs>
              <w:ind w:right="383"/>
              <w:jc w:val="right"/>
            </w:pPr>
            <w:r>
              <w:t>3 243</w:t>
            </w:r>
          </w:p>
        </w:tc>
      </w:tr>
      <w:tr>
        <w:trPr>
          <w:cantSplit/>
        </w:trPr>
        <w:tc>
          <w:tcPr>
            <w:tcW w:w="1701" w:type="dxa"/>
            <w:noWrap/>
          </w:tcPr>
          <w:p>
            <w:pPr>
              <w:pStyle w:val="yTableNAm"/>
            </w:pPr>
            <w:r>
              <w:t>Over 42 but not over 43</w:t>
            </w:r>
          </w:p>
        </w:tc>
        <w:tc>
          <w:tcPr>
            <w:tcW w:w="1512" w:type="dxa"/>
            <w:noWrap/>
          </w:tcPr>
          <w:p>
            <w:pPr>
              <w:pStyle w:val="yTableNAm"/>
              <w:tabs>
                <w:tab w:val="clear" w:pos="567"/>
              </w:tabs>
              <w:ind w:right="383"/>
              <w:jc w:val="right"/>
            </w:pPr>
            <w:r>
              <w:t>15 628</w:t>
            </w:r>
          </w:p>
        </w:tc>
        <w:tc>
          <w:tcPr>
            <w:tcW w:w="1512" w:type="dxa"/>
            <w:noWrap/>
          </w:tcPr>
          <w:p>
            <w:pPr>
              <w:pStyle w:val="yTableNAm"/>
              <w:tabs>
                <w:tab w:val="clear" w:pos="567"/>
              </w:tabs>
              <w:ind w:right="383"/>
              <w:jc w:val="right"/>
            </w:pPr>
            <w:r>
              <w:t>31 629</w:t>
            </w:r>
          </w:p>
        </w:tc>
        <w:tc>
          <w:tcPr>
            <w:tcW w:w="1512" w:type="dxa"/>
            <w:noWrap/>
          </w:tcPr>
          <w:p>
            <w:pPr>
              <w:pStyle w:val="yTableNAm"/>
              <w:tabs>
                <w:tab w:val="clear" w:pos="567"/>
              </w:tabs>
              <w:ind w:right="383"/>
              <w:jc w:val="right"/>
            </w:pPr>
            <w:r>
              <w:t>3 374</w:t>
            </w:r>
          </w:p>
        </w:tc>
      </w:tr>
      <w:tr>
        <w:trPr>
          <w:cantSplit/>
        </w:trPr>
        <w:tc>
          <w:tcPr>
            <w:tcW w:w="1701" w:type="dxa"/>
            <w:noWrap/>
          </w:tcPr>
          <w:p>
            <w:pPr>
              <w:pStyle w:val="yTableNAm"/>
            </w:pPr>
            <w:r>
              <w:t>Over 43 but not over 44</w:t>
            </w:r>
          </w:p>
        </w:tc>
        <w:tc>
          <w:tcPr>
            <w:tcW w:w="1512" w:type="dxa"/>
            <w:noWrap/>
          </w:tcPr>
          <w:p>
            <w:pPr>
              <w:pStyle w:val="yTableNAm"/>
              <w:tabs>
                <w:tab w:val="clear" w:pos="567"/>
              </w:tabs>
              <w:ind w:right="383"/>
              <w:jc w:val="right"/>
            </w:pPr>
            <w:r>
              <w:t>16 165</w:t>
            </w:r>
          </w:p>
        </w:tc>
        <w:tc>
          <w:tcPr>
            <w:tcW w:w="1512" w:type="dxa"/>
            <w:noWrap/>
          </w:tcPr>
          <w:p>
            <w:pPr>
              <w:pStyle w:val="yTableNAm"/>
              <w:tabs>
                <w:tab w:val="clear" w:pos="567"/>
              </w:tabs>
              <w:ind w:right="383"/>
              <w:jc w:val="right"/>
            </w:pPr>
            <w:r>
              <w:t>32 563</w:t>
            </w:r>
          </w:p>
        </w:tc>
        <w:tc>
          <w:tcPr>
            <w:tcW w:w="1512" w:type="dxa"/>
            <w:noWrap/>
          </w:tcPr>
          <w:p>
            <w:pPr>
              <w:pStyle w:val="yTableNAm"/>
              <w:tabs>
                <w:tab w:val="clear" w:pos="567"/>
              </w:tabs>
              <w:ind w:right="383"/>
              <w:jc w:val="right"/>
            </w:pPr>
            <w:r>
              <w:t>3 517</w:t>
            </w:r>
          </w:p>
        </w:tc>
      </w:tr>
      <w:tr>
        <w:trPr>
          <w:cantSplit/>
        </w:trPr>
        <w:tc>
          <w:tcPr>
            <w:tcW w:w="1701" w:type="dxa"/>
            <w:noWrap/>
          </w:tcPr>
          <w:p>
            <w:pPr>
              <w:pStyle w:val="yTableNAm"/>
            </w:pPr>
            <w:r>
              <w:t>Over 44 but not over 45</w:t>
            </w:r>
          </w:p>
        </w:tc>
        <w:tc>
          <w:tcPr>
            <w:tcW w:w="1512" w:type="dxa"/>
            <w:noWrap/>
          </w:tcPr>
          <w:p>
            <w:pPr>
              <w:pStyle w:val="yTableNAm"/>
              <w:tabs>
                <w:tab w:val="clear" w:pos="567"/>
              </w:tabs>
              <w:ind w:right="383"/>
              <w:jc w:val="right"/>
            </w:pPr>
            <w:r>
              <w:t>16 698</w:t>
            </w:r>
          </w:p>
        </w:tc>
        <w:tc>
          <w:tcPr>
            <w:tcW w:w="1512" w:type="dxa"/>
            <w:noWrap/>
          </w:tcPr>
          <w:p>
            <w:pPr>
              <w:pStyle w:val="yTableNAm"/>
              <w:tabs>
                <w:tab w:val="clear" w:pos="567"/>
              </w:tabs>
              <w:ind w:right="383"/>
              <w:jc w:val="right"/>
            </w:pPr>
            <w:r>
              <w:t>33 532</w:t>
            </w:r>
          </w:p>
        </w:tc>
        <w:tc>
          <w:tcPr>
            <w:tcW w:w="1512" w:type="dxa"/>
            <w:noWrap/>
          </w:tcPr>
          <w:p>
            <w:pPr>
              <w:pStyle w:val="yTableNAm"/>
              <w:tabs>
                <w:tab w:val="clear" w:pos="567"/>
              </w:tabs>
              <w:ind w:right="383"/>
              <w:jc w:val="right"/>
            </w:pPr>
            <w:r>
              <w:t>3 651</w:t>
            </w:r>
          </w:p>
        </w:tc>
      </w:tr>
      <w:tr>
        <w:trPr>
          <w:cantSplit/>
        </w:trPr>
        <w:tc>
          <w:tcPr>
            <w:tcW w:w="1701" w:type="dxa"/>
            <w:noWrap/>
          </w:tcPr>
          <w:p>
            <w:pPr>
              <w:pStyle w:val="yTableNAm"/>
            </w:pPr>
            <w:r>
              <w:t>Over 45 but not over 46</w:t>
            </w:r>
          </w:p>
        </w:tc>
        <w:tc>
          <w:tcPr>
            <w:tcW w:w="1512" w:type="dxa"/>
            <w:noWrap/>
          </w:tcPr>
          <w:p>
            <w:pPr>
              <w:pStyle w:val="yTableNAm"/>
              <w:tabs>
                <w:tab w:val="clear" w:pos="567"/>
              </w:tabs>
              <w:ind w:right="383"/>
              <w:jc w:val="right"/>
            </w:pPr>
            <w:r>
              <w:t>17 233</w:t>
            </w:r>
          </w:p>
        </w:tc>
        <w:tc>
          <w:tcPr>
            <w:tcW w:w="1512" w:type="dxa"/>
            <w:noWrap/>
          </w:tcPr>
          <w:p>
            <w:pPr>
              <w:pStyle w:val="yTableNAm"/>
              <w:tabs>
                <w:tab w:val="clear" w:pos="567"/>
              </w:tabs>
              <w:ind w:right="383"/>
              <w:jc w:val="right"/>
            </w:pPr>
            <w:r>
              <w:t>34 468</w:t>
            </w:r>
          </w:p>
        </w:tc>
        <w:tc>
          <w:tcPr>
            <w:tcW w:w="1512" w:type="dxa"/>
            <w:noWrap/>
          </w:tcPr>
          <w:p>
            <w:pPr>
              <w:pStyle w:val="yTableNAm"/>
              <w:tabs>
                <w:tab w:val="clear" w:pos="567"/>
              </w:tabs>
              <w:ind w:right="383"/>
              <w:jc w:val="right"/>
            </w:pPr>
            <w:r>
              <w:t>3 782</w:t>
            </w:r>
          </w:p>
        </w:tc>
      </w:tr>
      <w:tr>
        <w:trPr>
          <w:cantSplit/>
        </w:trPr>
        <w:tc>
          <w:tcPr>
            <w:tcW w:w="1701" w:type="dxa"/>
            <w:noWrap/>
          </w:tcPr>
          <w:p>
            <w:pPr>
              <w:pStyle w:val="yTableNAm"/>
            </w:pPr>
            <w:r>
              <w:t>Over 46 but not over 47</w:t>
            </w:r>
          </w:p>
        </w:tc>
        <w:tc>
          <w:tcPr>
            <w:tcW w:w="1512" w:type="dxa"/>
            <w:noWrap/>
          </w:tcPr>
          <w:p>
            <w:pPr>
              <w:pStyle w:val="yTableNAm"/>
              <w:tabs>
                <w:tab w:val="clear" w:pos="567"/>
              </w:tabs>
              <w:ind w:right="383"/>
              <w:jc w:val="right"/>
            </w:pPr>
            <w:r>
              <w:t>17 768</w:t>
            </w:r>
          </w:p>
        </w:tc>
        <w:tc>
          <w:tcPr>
            <w:tcW w:w="1512" w:type="dxa"/>
            <w:noWrap/>
          </w:tcPr>
          <w:p>
            <w:pPr>
              <w:pStyle w:val="yTableNAm"/>
              <w:tabs>
                <w:tab w:val="clear" w:pos="567"/>
              </w:tabs>
              <w:ind w:right="383"/>
              <w:jc w:val="right"/>
            </w:pPr>
            <w:r>
              <w:t>35 418</w:t>
            </w:r>
          </w:p>
        </w:tc>
        <w:tc>
          <w:tcPr>
            <w:tcW w:w="1512" w:type="dxa"/>
            <w:noWrap/>
          </w:tcPr>
          <w:p>
            <w:pPr>
              <w:pStyle w:val="yTableNAm"/>
              <w:tabs>
                <w:tab w:val="clear" w:pos="567"/>
              </w:tabs>
              <w:ind w:right="383"/>
              <w:jc w:val="right"/>
            </w:pPr>
            <w:r>
              <w:t>3 920</w:t>
            </w:r>
          </w:p>
        </w:tc>
      </w:tr>
      <w:tr>
        <w:trPr>
          <w:cantSplit/>
        </w:trPr>
        <w:tc>
          <w:tcPr>
            <w:tcW w:w="1701" w:type="dxa"/>
            <w:noWrap/>
          </w:tcPr>
          <w:p>
            <w:pPr>
              <w:pStyle w:val="yTableNAm"/>
            </w:pPr>
            <w:r>
              <w:t>Over 47 but not over 48</w:t>
            </w:r>
          </w:p>
        </w:tc>
        <w:tc>
          <w:tcPr>
            <w:tcW w:w="1512" w:type="dxa"/>
            <w:noWrap/>
          </w:tcPr>
          <w:p>
            <w:pPr>
              <w:pStyle w:val="yTableNAm"/>
              <w:tabs>
                <w:tab w:val="clear" w:pos="567"/>
              </w:tabs>
              <w:ind w:right="383"/>
              <w:jc w:val="right"/>
            </w:pPr>
            <w:r>
              <w:t>18 299</w:t>
            </w:r>
          </w:p>
        </w:tc>
        <w:tc>
          <w:tcPr>
            <w:tcW w:w="1512" w:type="dxa"/>
            <w:noWrap/>
          </w:tcPr>
          <w:p>
            <w:pPr>
              <w:pStyle w:val="yTableNAm"/>
              <w:tabs>
                <w:tab w:val="clear" w:pos="567"/>
              </w:tabs>
              <w:ind w:right="383"/>
              <w:jc w:val="right"/>
            </w:pPr>
            <w:r>
              <w:t>36 377</w:t>
            </w:r>
          </w:p>
        </w:tc>
        <w:tc>
          <w:tcPr>
            <w:tcW w:w="1512" w:type="dxa"/>
            <w:noWrap/>
          </w:tcPr>
          <w:p>
            <w:pPr>
              <w:pStyle w:val="yTableNAm"/>
              <w:tabs>
                <w:tab w:val="clear" w:pos="567"/>
              </w:tabs>
              <w:ind w:right="383"/>
              <w:jc w:val="right"/>
            </w:pPr>
            <w:r>
              <w:t>4 057</w:t>
            </w:r>
          </w:p>
        </w:tc>
      </w:tr>
      <w:tr>
        <w:trPr>
          <w:cantSplit/>
        </w:trPr>
        <w:tc>
          <w:tcPr>
            <w:tcW w:w="1701" w:type="dxa"/>
            <w:noWrap/>
          </w:tcPr>
          <w:p>
            <w:pPr>
              <w:pStyle w:val="yTableNAm"/>
            </w:pPr>
            <w:r>
              <w:lastRenderedPageBreak/>
              <w:t>Over 48 but not over 49</w:t>
            </w:r>
          </w:p>
        </w:tc>
        <w:tc>
          <w:tcPr>
            <w:tcW w:w="1512" w:type="dxa"/>
            <w:noWrap/>
          </w:tcPr>
          <w:p>
            <w:pPr>
              <w:pStyle w:val="yTableNAm"/>
              <w:tabs>
                <w:tab w:val="clear" w:pos="567"/>
              </w:tabs>
              <w:ind w:right="383"/>
              <w:jc w:val="right"/>
            </w:pPr>
            <w:r>
              <w:t>18 845</w:t>
            </w:r>
          </w:p>
        </w:tc>
        <w:tc>
          <w:tcPr>
            <w:tcW w:w="1512" w:type="dxa"/>
            <w:noWrap/>
          </w:tcPr>
          <w:p>
            <w:pPr>
              <w:pStyle w:val="yTableNAm"/>
              <w:tabs>
                <w:tab w:val="clear" w:pos="567"/>
              </w:tabs>
              <w:ind w:right="383"/>
              <w:jc w:val="right"/>
            </w:pPr>
            <w:r>
              <w:t>37 321</w:t>
            </w:r>
          </w:p>
        </w:tc>
        <w:tc>
          <w:tcPr>
            <w:tcW w:w="1512" w:type="dxa"/>
            <w:noWrap/>
          </w:tcPr>
          <w:p>
            <w:pPr>
              <w:pStyle w:val="yTableNAm"/>
              <w:tabs>
                <w:tab w:val="clear" w:pos="567"/>
              </w:tabs>
              <w:ind w:right="383"/>
              <w:jc w:val="right"/>
            </w:pPr>
            <w:r>
              <w:t>4 189</w:t>
            </w:r>
          </w:p>
        </w:tc>
      </w:tr>
      <w:tr>
        <w:trPr>
          <w:cantSplit/>
        </w:trPr>
        <w:tc>
          <w:tcPr>
            <w:tcW w:w="1701" w:type="dxa"/>
            <w:noWrap/>
          </w:tcPr>
          <w:p>
            <w:pPr>
              <w:pStyle w:val="yTableNAm"/>
            </w:pPr>
            <w:r>
              <w:t>Over 49 but not over 50</w:t>
            </w:r>
          </w:p>
        </w:tc>
        <w:tc>
          <w:tcPr>
            <w:tcW w:w="1512" w:type="dxa"/>
            <w:noWrap/>
          </w:tcPr>
          <w:p>
            <w:pPr>
              <w:pStyle w:val="yTableNAm"/>
              <w:tabs>
                <w:tab w:val="clear" w:pos="567"/>
              </w:tabs>
              <w:ind w:right="383"/>
              <w:jc w:val="right"/>
            </w:pPr>
            <w:r>
              <w:t>19 372</w:t>
            </w:r>
          </w:p>
        </w:tc>
        <w:tc>
          <w:tcPr>
            <w:tcW w:w="1512" w:type="dxa"/>
            <w:noWrap/>
          </w:tcPr>
          <w:p>
            <w:pPr>
              <w:pStyle w:val="yTableNAm"/>
              <w:tabs>
                <w:tab w:val="clear" w:pos="567"/>
              </w:tabs>
              <w:ind w:right="383"/>
              <w:jc w:val="right"/>
            </w:pPr>
            <w:r>
              <w:t>38 268</w:t>
            </w:r>
          </w:p>
        </w:tc>
        <w:tc>
          <w:tcPr>
            <w:tcW w:w="1512" w:type="dxa"/>
            <w:noWrap/>
          </w:tcPr>
          <w:p>
            <w:pPr>
              <w:pStyle w:val="yTableNAm"/>
              <w:tabs>
                <w:tab w:val="clear" w:pos="567"/>
              </w:tabs>
              <w:ind w:right="383"/>
              <w:jc w:val="right"/>
            </w:pPr>
            <w:r>
              <w:t>4 334</w:t>
            </w:r>
          </w:p>
        </w:tc>
      </w:tr>
      <w:tr>
        <w:trPr>
          <w:cantSplit/>
        </w:trPr>
        <w:tc>
          <w:tcPr>
            <w:tcW w:w="1701" w:type="dxa"/>
            <w:noWrap/>
          </w:tcPr>
          <w:p>
            <w:pPr>
              <w:pStyle w:val="yTableNAm"/>
            </w:pPr>
            <w:r>
              <w:t>Over 50</w:t>
            </w:r>
          </w:p>
        </w:tc>
        <w:tc>
          <w:tcPr>
            <w:tcW w:w="1512" w:type="dxa"/>
            <w:noWrap/>
          </w:tcPr>
          <w:p>
            <w:pPr>
              <w:pStyle w:val="yTableNAm"/>
              <w:tabs>
                <w:tab w:val="clear" w:pos="567"/>
              </w:tabs>
              <w:ind w:right="383"/>
              <w:jc w:val="right"/>
            </w:pPr>
            <w:r>
              <w:t>19 673</w:t>
            </w:r>
          </w:p>
        </w:tc>
        <w:tc>
          <w:tcPr>
            <w:tcW w:w="1512" w:type="dxa"/>
            <w:noWrap/>
          </w:tcPr>
          <w:p>
            <w:pPr>
              <w:pStyle w:val="yTableNAm"/>
              <w:tabs>
                <w:tab w:val="clear" w:pos="567"/>
              </w:tabs>
              <w:ind w:right="383"/>
              <w:jc w:val="right"/>
            </w:pPr>
            <w:r>
              <w:t>38 770</w:t>
            </w:r>
          </w:p>
        </w:tc>
        <w:tc>
          <w:tcPr>
            <w:tcW w:w="1512" w:type="dxa"/>
            <w:noWrap/>
          </w:tcPr>
          <w:p>
            <w:pPr>
              <w:pStyle w:val="yTableNAm"/>
              <w:tabs>
                <w:tab w:val="clear" w:pos="567"/>
              </w:tabs>
              <w:ind w:right="383"/>
              <w:jc w:val="right"/>
            </w:pPr>
            <w:r>
              <w:t>4 413</w:t>
            </w:r>
          </w:p>
        </w:tc>
      </w:tr>
    </w:tbl>
    <w:p>
      <w:pPr>
        <w:pStyle w:val="ySubsection"/>
        <w:keepNext/>
        <w:keepLines/>
        <w:spacing w:before="300"/>
      </w:pPr>
      <w:r>
        <w:tab/>
        <w:t>(b)</w:t>
      </w:r>
      <w:r>
        <w:tab/>
        <w:t>The fees set out in paragraph (a) are subject to the following variations —</w:t>
      </w:r>
    </w:p>
    <w:p>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pPr>
            <w:r>
              <w:t xml:space="preserve">The fee for examination of plans provides for the examination of the initial plans and one amendment.  Fee for a second and each further amendment to plans: </w:t>
            </w:r>
          </w:p>
        </w:tc>
        <w:tc>
          <w:tcPr>
            <w:tcW w:w="2223" w:type="dxa"/>
          </w:tcPr>
          <w:p>
            <w:pPr>
              <w:pStyle w:val="yTableNAm"/>
            </w:pPr>
            <w:r>
              <w:rPr>
                <w:szCs w:val="22"/>
              </w:rPr>
              <w:t>$209.30/hour</w:t>
            </w:r>
          </w:p>
        </w:tc>
      </w:tr>
      <w:tr>
        <w:trPr>
          <w:cantSplit/>
        </w:trPr>
        <w:tc>
          <w:tcPr>
            <w:tcW w:w="606" w:type="dxa"/>
          </w:tcPr>
          <w:p>
            <w:pPr>
              <w:pStyle w:val="yTableNAm"/>
            </w:pPr>
            <w:r>
              <w:t>(B)</w:t>
            </w:r>
          </w:p>
        </w:tc>
        <w:tc>
          <w:tcPr>
            <w:tcW w:w="2679" w:type="dxa"/>
          </w:tcPr>
          <w:p>
            <w:pPr>
              <w:pStyle w:val="yTableNAm"/>
            </w:pPr>
            <w:r>
              <w:t>If vessel is to be issued with an additional class or plans are changed to change class of the vessel or to add a class, fee for examination of plans:</w:t>
            </w:r>
          </w:p>
        </w:tc>
        <w:tc>
          <w:tcPr>
            <w:tcW w:w="2223" w:type="dxa"/>
          </w:tcPr>
          <w:p>
            <w:pPr>
              <w:pStyle w:val="yTableNAm"/>
              <w:tabs>
                <w:tab w:val="clear" w:pos="567"/>
                <w:tab w:val="left" w:pos="367"/>
              </w:tabs>
              <w:ind w:left="367" w:hanging="367"/>
              <w:rPr>
                <w:rFonts w:ascii="195" w:hAnsi="195"/>
                <w:shd w:val="clear" w:color="auto" w:fill="FFFF00"/>
              </w:rPr>
            </w:pPr>
            <w:r>
              <w:t>(a)</w:t>
            </w:r>
            <w:r>
              <w:tab/>
            </w:r>
            <w:r>
              <w:rPr>
                <w:szCs w:val="22"/>
              </w:rPr>
              <w:t>$209.30/hour; or</w:t>
            </w:r>
          </w:p>
          <w:p>
            <w:pPr>
              <w:pStyle w:val="yTableNAm"/>
              <w:tabs>
                <w:tab w:val="clear" w:pos="567"/>
                <w:tab w:val="left" w:pos="367"/>
              </w:tabs>
              <w:spacing w:before="80"/>
              <w:ind w:left="367" w:hanging="367"/>
            </w:pPr>
            <w:r>
              <w:t>(b)</w:t>
            </w:r>
            <w:r>
              <w:tab/>
              <w:t>the sum of the amounts set out in item 1(b)(ii)(H)(I) and (II),</w:t>
            </w:r>
          </w:p>
          <w:p>
            <w:pPr>
              <w:pStyle w:val="yTableNAm"/>
              <w:spacing w:before="80"/>
            </w:pPr>
            <w:r>
              <w:t>whichever is greater</w:t>
            </w:r>
          </w:p>
        </w:tc>
      </w:tr>
      <w:tr>
        <w:trPr>
          <w:cantSplit/>
        </w:trPr>
        <w:tc>
          <w:tcPr>
            <w:tcW w:w="606" w:type="dxa"/>
          </w:tcPr>
          <w:p>
            <w:pPr>
              <w:pStyle w:val="yTableNAm"/>
              <w:keepLines/>
            </w:pPr>
            <w:r>
              <w:t>(C)</w:t>
            </w:r>
          </w:p>
        </w:tc>
        <w:tc>
          <w:tcPr>
            <w:tcW w:w="2679" w:type="dxa"/>
          </w:tcPr>
          <w:p>
            <w:pPr>
              <w:pStyle w:val="yTableNAm"/>
              <w:keepLines/>
            </w:pPr>
            <w:r>
              <w:t xml:space="preserve">If vessel is to be issued with a Classification Certificate in respect of its hull and machinery by a recognised classification society —  </w:t>
            </w:r>
          </w:p>
        </w:tc>
        <w:tc>
          <w:tcPr>
            <w:tcW w:w="2223" w:type="dxa"/>
          </w:tcPr>
          <w:p>
            <w:pPr>
              <w:pStyle w:val="yTableNAm"/>
              <w:keepLines/>
            </w:pPr>
          </w:p>
        </w:tc>
      </w:tr>
      <w:tr>
        <w:trPr>
          <w:cantSplit/>
        </w:trPr>
        <w:tc>
          <w:tcPr>
            <w:tcW w:w="606" w:type="dxa"/>
          </w:tcPr>
          <w:p>
            <w:pPr>
              <w:pStyle w:val="yTableNAm"/>
              <w:keepLines/>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keepLines/>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pPr>
            <w:r>
              <w:t>(D)</w:t>
            </w:r>
          </w:p>
        </w:tc>
        <w:tc>
          <w:tcPr>
            <w:tcW w:w="2679" w:type="dxa"/>
          </w:tcPr>
          <w:p>
            <w:pPr>
              <w:pStyle w:val="yTableNAm"/>
            </w:pPr>
            <w:r>
              <w:t>If vessel is to be issued with a Classification Certificate in respect of its hull only, or machinery only, by a recognised classification society —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75% of fee for initial survey set out in item 1(a)</w:t>
            </w:r>
          </w:p>
        </w:tc>
      </w:tr>
      <w:tr>
        <w:trPr>
          <w:cantSplit/>
        </w:trPr>
        <w:tc>
          <w:tcPr>
            <w:tcW w:w="606" w:type="dxa"/>
          </w:tcPr>
          <w:p>
            <w:pPr>
              <w:pStyle w:val="yTableNAm"/>
              <w:keepNext/>
            </w:pPr>
            <w:r>
              <w:t>(E)</w:t>
            </w:r>
          </w:p>
        </w:tc>
        <w:tc>
          <w:tcPr>
            <w:tcW w:w="2679" w:type="dxa"/>
          </w:tcPr>
          <w:p>
            <w:pPr>
              <w:pStyle w:val="yTableNAm"/>
              <w:keepNext/>
            </w:pPr>
            <w:r>
              <w:t>Where a vessel is to be built and surveyed during construction to the Code, for hull structure only, the fee to be paid is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fee for examination of plans:</w:t>
            </w:r>
          </w:p>
        </w:tc>
        <w:tc>
          <w:tcPr>
            <w:tcW w:w="2223" w:type="dxa"/>
          </w:tcPr>
          <w:p>
            <w:pPr>
              <w:pStyle w:val="yTableNAm"/>
            </w:pPr>
            <w:r>
              <w:t>50% of fee for examination of plans set out in item 1(a)</w:t>
            </w: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(II)</w:t>
            </w:r>
            <w:r>
              <w:tab/>
              <w:t>fee for initial survey:</w:t>
            </w:r>
          </w:p>
        </w:tc>
        <w:tc>
          <w:tcPr>
            <w:tcW w:w="2223" w:type="dxa"/>
          </w:tcPr>
          <w:p>
            <w:pPr>
              <w:pStyle w:val="yTableNAm"/>
              <w:keepNext/>
            </w:pPr>
            <w:r>
              <w:t>50% of fee for initial survey set out in item 1(a)</w:t>
            </w:r>
          </w:p>
        </w:tc>
      </w:tr>
      <w:tr>
        <w:trPr>
          <w:cantSplit/>
        </w:trPr>
        <w:tc>
          <w:tcPr>
            <w:tcW w:w="606" w:type="dxa"/>
          </w:tcPr>
          <w:p>
            <w:pPr>
              <w:pStyle w:val="yTableNAm"/>
            </w:pPr>
            <w:r>
              <w:t>(F)</w:t>
            </w:r>
          </w:p>
        </w:tc>
        <w:tc>
          <w:tcPr>
            <w:tcW w:w="2679" w:type="dxa"/>
          </w:tcPr>
          <w:p>
            <w:pPr>
              <w:pStyle w:val="yTableNAm"/>
            </w:pPr>
            <w:r>
              <w:t>Where a vessel is to be built and surveyed during construction to the Code, for hull structure and machinery only,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pPr>
            <w:r>
              <w:t>(G)</w:t>
            </w:r>
          </w:p>
        </w:tc>
        <w:tc>
          <w:tcPr>
            <w:tcW w:w="2679" w:type="dxa"/>
            <w:tcBorders>
              <w:bottom w:val="nil"/>
            </w:tcBorders>
          </w:tcPr>
          <w:p>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25%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25% of fee for initial survey set out in item 1(a)</w:t>
            </w:r>
          </w:p>
        </w:tc>
      </w:tr>
      <w:tr>
        <w:trPr>
          <w:cantSplit/>
        </w:trPr>
        <w:tc>
          <w:tcPr>
            <w:tcW w:w="606" w:type="dxa"/>
          </w:tcPr>
          <w:p>
            <w:pPr>
              <w:pStyle w:val="yTableNAm"/>
              <w:keepNext/>
            </w:pPr>
            <w:r>
              <w:t>(H)</w:t>
            </w:r>
          </w:p>
        </w:tc>
        <w:tc>
          <w:tcPr>
            <w:tcW w:w="2679" w:type="dxa"/>
          </w:tcPr>
          <w:p>
            <w:pPr>
              <w:pStyle w:val="yTableNAm"/>
              <w:keepNext/>
            </w:pPr>
            <w:r>
              <w:t xml:space="preserve">If vessel is a commercial ski boat — </w:t>
            </w:r>
          </w:p>
        </w:tc>
        <w:tc>
          <w:tcPr>
            <w:tcW w:w="2223" w:type="dxa"/>
          </w:tcPr>
          <w:p>
            <w:pPr>
              <w:pStyle w:val="yTableNAm"/>
              <w:keepNext/>
            </w:pP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w:t>
            </w:r>
            <w:r>
              <w:tab/>
              <w:t>fee for examination of plans:</w:t>
            </w:r>
          </w:p>
        </w:tc>
        <w:tc>
          <w:tcPr>
            <w:tcW w:w="2223" w:type="dxa"/>
          </w:tcPr>
          <w:p>
            <w:pPr>
              <w:pStyle w:val="yTableNAm"/>
              <w:keepNext/>
            </w:pPr>
            <w:r>
              <w:t>50%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100% of fee for subsequent survey set out in item 1(a)</w:t>
            </w:r>
          </w:p>
        </w:tc>
      </w:tr>
      <w:tr>
        <w:trPr>
          <w:cantSplit/>
        </w:trPr>
        <w:tc>
          <w:tcPr>
            <w:tcW w:w="606" w:type="dxa"/>
          </w:tcPr>
          <w:p>
            <w:pPr>
              <w:pStyle w:val="yTableNAm"/>
            </w:pPr>
            <w:r>
              <w:lastRenderedPageBreak/>
              <w:t>(I)</w:t>
            </w:r>
          </w:p>
        </w:tc>
        <w:tc>
          <w:tcPr>
            <w:tcW w:w="2679" w:type="dxa"/>
          </w:tcPr>
          <w:p>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where there are common structure plans:</w:t>
            </w:r>
          </w:p>
        </w:tc>
        <w:tc>
          <w:tcPr>
            <w:tcW w:w="2223" w:type="dxa"/>
          </w:tcPr>
          <w:p>
            <w:pPr>
              <w:pStyle w:val="yTableNAm"/>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where there are common structure and machinery plans:</w:t>
            </w:r>
          </w:p>
        </w:tc>
        <w:tc>
          <w:tcPr>
            <w:tcW w:w="2223" w:type="dxa"/>
          </w:tcPr>
          <w:p>
            <w:pPr>
              <w:pStyle w:val="yTableNAm"/>
            </w:pPr>
            <w:r>
              <w:t>50% of fee for subsequent survey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(III)</w:t>
            </w:r>
            <w:r>
              <w:tab/>
              <w:t>where there are fully common plans:</w:t>
            </w:r>
          </w:p>
        </w:tc>
        <w:tc>
          <w:tcPr>
            <w:tcW w:w="2223" w:type="dxa"/>
          </w:tcPr>
          <w:p>
            <w:pPr>
              <w:pStyle w:val="yTableNAm"/>
            </w:pPr>
            <w:r>
              <w:t>no plan approval fee is payable</w:t>
            </w:r>
          </w:p>
        </w:tc>
      </w:tr>
    </w:tbl>
    <w:p>
      <w:pPr>
        <w:pStyle w:val="yIndenta"/>
        <w:keepNext/>
        <w:spacing w:before="240"/>
      </w:pPr>
      <w:r>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pPr>
              <w:pStyle w:val="yTableNAm"/>
              <w:spacing w:before="80"/>
            </w:pPr>
            <w:r>
              <w:rPr>
                <w:szCs w:val="22"/>
              </w:rPr>
              <w:t xml:space="preserve">$209.30/hour </w:t>
            </w:r>
            <w:r>
              <w:t xml:space="preserve">plus  </w:t>
            </w:r>
            <w:r>
              <w:rPr>
                <w:szCs w:val="22"/>
              </w:rPr>
              <w:t>reasonable travel and accommodation costs and expenses incurred</w:t>
            </w:r>
          </w:p>
        </w:tc>
      </w:tr>
      <w:tr>
        <w:trPr>
          <w:cantSplit/>
        </w:trPr>
        <w:tc>
          <w:tcPr>
            <w:tcW w:w="606" w:type="dxa"/>
          </w:tcPr>
          <w:p>
            <w:pPr>
              <w:pStyle w:val="yTableNAm"/>
              <w:spacing w:before="80"/>
              <w:rPr>
                <w:sz w:val="18"/>
              </w:rPr>
            </w:pPr>
            <w:r>
              <w:t>(B)</w:t>
            </w:r>
          </w:p>
        </w:tc>
        <w:tc>
          <w:tcPr>
            <w:tcW w:w="2679" w:type="dxa"/>
          </w:tcPr>
          <w:p>
            <w:pPr>
              <w:pStyle w:val="yTableNAm"/>
              <w:spacing w:before="80"/>
            </w:pPr>
            <w:r>
              <w:t>If vessel is in more than one class, fee for subsequent surveys:</w:t>
            </w:r>
          </w:p>
        </w:tc>
        <w:tc>
          <w:tcPr>
            <w:tcW w:w="2223" w:type="dxa"/>
          </w:tcPr>
          <w:p>
            <w:pPr>
              <w:pStyle w:val="yTableNAm"/>
              <w:spacing w:before="80"/>
            </w:pPr>
            <w:r>
              <w:t>Fee for subsequent surveys set out in item 1(a) plus 50% of that fee for each additional class</w:t>
            </w:r>
          </w:p>
        </w:tc>
      </w:tr>
      <w:tr>
        <w:trPr>
          <w:cantSplit/>
        </w:trPr>
        <w:tc>
          <w:tcPr>
            <w:tcW w:w="606" w:type="dxa"/>
          </w:tcPr>
          <w:p>
            <w:pPr>
              <w:pStyle w:val="yTableNAm"/>
              <w:spacing w:before="80"/>
              <w:rPr>
                <w:sz w:val="18"/>
              </w:rPr>
            </w:pPr>
            <w:r>
              <w:t>(C)</w:t>
            </w:r>
          </w:p>
        </w:tc>
        <w:tc>
          <w:tcPr>
            <w:tcW w:w="2679" w:type="dxa"/>
          </w:tcPr>
          <w:p>
            <w:pPr>
              <w:pStyle w:val="yTableNAm"/>
              <w:spacing w:before="80"/>
            </w:pPr>
            <w:r>
              <w:t>If class of vessel to be changed or a class is to be added — </w:t>
            </w:r>
          </w:p>
        </w:tc>
        <w:tc>
          <w:tcPr>
            <w:tcW w:w="2223" w:type="dxa"/>
          </w:tcPr>
          <w:p>
            <w:pPr>
              <w:pStyle w:val="yTableNAm"/>
              <w:keepNext/>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examination of plans:</w:t>
            </w:r>
          </w:p>
        </w:tc>
        <w:tc>
          <w:tcPr>
            <w:tcW w:w="2223" w:type="dxa"/>
          </w:tcPr>
          <w:p>
            <w:pPr>
              <w:pStyle w:val="yTableNAm"/>
              <w:tabs>
                <w:tab w:val="clear" w:pos="567"/>
                <w:tab w:val="left" w:pos="367"/>
              </w:tabs>
              <w:ind w:left="369" w:hanging="369"/>
            </w:pPr>
            <w:r>
              <w:t>(a)</w:t>
            </w:r>
            <w:r>
              <w:tab/>
            </w:r>
            <w:r>
              <w:rPr>
                <w:szCs w:val="22"/>
              </w:rPr>
              <w:t xml:space="preserve">$209.30/hour </w:t>
            </w:r>
            <w:r>
              <w:t>plus fee for issue of new certificate of survey; or</w:t>
            </w:r>
          </w:p>
        </w:tc>
      </w:tr>
      <w:tr>
        <w:trPr>
          <w:cantSplit/>
        </w:trPr>
        <w:tc>
          <w:tcPr>
            <w:tcW w:w="606" w:type="dxa"/>
          </w:tcPr>
          <w:p>
            <w:pPr>
              <w:pStyle w:val="yTableNAm"/>
              <w:rPr>
                <w:sz w:val="18"/>
              </w:rPr>
            </w:pPr>
          </w:p>
        </w:tc>
        <w:tc>
          <w:tcPr>
            <w:tcW w:w="2679" w:type="dxa"/>
          </w:tcPr>
          <w:p>
            <w:pPr>
              <w:pStyle w:val="yTableNAm"/>
            </w:pPr>
          </w:p>
        </w:tc>
        <w:tc>
          <w:tcPr>
            <w:tcW w:w="2223" w:type="dxa"/>
          </w:tcPr>
          <w:p>
            <w:pPr>
              <w:pStyle w:val="yTableNAm"/>
              <w:tabs>
                <w:tab w:val="clear" w:pos="567"/>
                <w:tab w:val="left" w:pos="367"/>
              </w:tabs>
              <w:ind w:left="369" w:hanging="369"/>
            </w:pPr>
            <w:r>
              <w:t>(b)</w:t>
            </w:r>
            <w:r>
              <w:tab/>
              <w:t>the sum of the amounts set out in item 1(b)(ii)(H)(I) and (II),</w:t>
            </w:r>
          </w:p>
          <w:p>
            <w:pPr>
              <w:pStyle w:val="yTableNAm"/>
            </w:pPr>
            <w:r>
              <w:t>whichever is greater</w:t>
            </w:r>
          </w:p>
        </w:tc>
      </w:tr>
      <w:tr>
        <w:trPr>
          <w:cantSplit/>
        </w:trPr>
        <w:tc>
          <w:tcPr>
            <w:tcW w:w="606" w:type="dxa"/>
          </w:tcPr>
          <w:p>
            <w:pPr>
              <w:pStyle w:val="yTableNAm"/>
              <w:keepNext/>
              <w:rPr>
                <w:sz w:val="18"/>
              </w:rPr>
            </w:pPr>
          </w:p>
        </w:tc>
        <w:tc>
          <w:tcPr>
            <w:tcW w:w="2679" w:type="dxa"/>
          </w:tcPr>
          <w:p>
            <w:pPr>
              <w:pStyle w:val="yTableNAm"/>
              <w:tabs>
                <w:tab w:val="clear" w:pos="567"/>
                <w:tab w:val="left" w:pos="499"/>
              </w:tabs>
              <w:spacing w:before="80"/>
              <w:ind w:left="499" w:hanging="499"/>
            </w:pPr>
            <w:r>
              <w:t>(II)</w:t>
            </w:r>
            <w:r>
              <w:tab/>
              <w:t>conducting survey:</w:t>
            </w:r>
          </w:p>
        </w:tc>
        <w:tc>
          <w:tcPr>
            <w:tcW w:w="2223" w:type="dxa"/>
          </w:tcPr>
          <w:p>
            <w:pPr>
              <w:pStyle w:val="yTableNAm"/>
              <w:keepNext/>
              <w:tabs>
                <w:tab w:val="clear" w:pos="567"/>
                <w:tab w:val="left" w:pos="367"/>
              </w:tabs>
              <w:ind w:left="369" w:hanging="369"/>
              <w:rPr>
                <w:shd w:val="clear" w:color="auto" w:fill="FFFF00"/>
              </w:rPr>
            </w:pPr>
            <w:r>
              <w:t>(a)</w:t>
            </w:r>
            <w:r>
              <w:tab/>
            </w:r>
            <w:r>
              <w:rPr>
                <w:szCs w:val="22"/>
              </w:rPr>
              <w:t>$209.30/hour; or</w:t>
            </w:r>
          </w:p>
          <w:p>
            <w:pPr>
              <w:pStyle w:val="yTableNAm"/>
              <w:keepNext/>
              <w:tabs>
                <w:tab w:val="clear" w:pos="567"/>
                <w:tab w:val="left" w:pos="367"/>
              </w:tabs>
              <w:ind w:left="369" w:hanging="369"/>
            </w:pPr>
            <w:r>
              <w:t>(b)</w:t>
            </w:r>
            <w:r>
              <w:tab/>
              <w:t>the sum of the amounts set out in item 1(b)(ii)(H)(I) and (II),</w:t>
            </w:r>
          </w:p>
          <w:p>
            <w:pPr>
              <w:pStyle w:val="yTableNAm"/>
              <w:keepNext/>
            </w:pPr>
            <w:r>
              <w:t>whichever is greater</w:t>
            </w:r>
          </w:p>
        </w:tc>
      </w:tr>
      <w:tr>
        <w:trPr>
          <w:cantSplit/>
        </w:trPr>
        <w:tc>
          <w:tcPr>
            <w:tcW w:w="606" w:type="dxa"/>
          </w:tcPr>
          <w:p>
            <w:pPr>
              <w:pStyle w:val="yTableNAm"/>
              <w:spacing w:before="80"/>
              <w:rPr>
                <w:sz w:val="18"/>
              </w:rPr>
            </w:pPr>
            <w:r>
              <w:t>(D)</w:t>
            </w:r>
          </w:p>
        </w:tc>
        <w:tc>
          <w:tcPr>
            <w:tcW w:w="2679" w:type="dxa"/>
          </w:tcPr>
          <w:p>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spacing w:before="80"/>
            </w:pPr>
            <w:r>
              <w:lastRenderedPageBreak/>
              <w:t>(E)</w:t>
            </w:r>
          </w:p>
        </w:tc>
        <w:tc>
          <w:tcPr>
            <w:tcW w:w="2679" w:type="dxa"/>
          </w:tcPr>
          <w:p>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spacing w:before="80"/>
              <w:rPr>
                <w:sz w:val="18"/>
              </w:rPr>
            </w:pPr>
            <w:r>
              <w:t>(F</w:t>
            </w:r>
            <w:r>
              <w:rPr>
                <w:sz w:val="18"/>
              </w:rPr>
              <w:t>)</w:t>
            </w:r>
          </w:p>
        </w:tc>
        <w:tc>
          <w:tcPr>
            <w:tcW w:w="2679" w:type="dxa"/>
          </w:tcPr>
          <w:p>
            <w:pPr>
              <w:pStyle w:val="yTableNAm"/>
              <w:spacing w:before="80"/>
            </w:pPr>
            <w:r>
              <w:t>If vessel has a current Classification Certificate in respect of its hull and machinery issued by a recognised classification society, fee for subsequent surveys:</w:t>
            </w:r>
          </w:p>
        </w:tc>
        <w:tc>
          <w:tcPr>
            <w:tcW w:w="2223" w:type="dxa"/>
          </w:tcPr>
          <w:p>
            <w:pPr>
              <w:pStyle w:val="yTableNAm"/>
              <w:spacing w:before="80"/>
            </w:pPr>
            <w:r>
              <w:t>50% of fee for subsequent surveys set out in item 1(a)</w:t>
            </w:r>
          </w:p>
        </w:tc>
      </w:tr>
      <w:tr>
        <w:trPr>
          <w:cantSplit/>
        </w:trPr>
        <w:tc>
          <w:tcPr>
            <w:tcW w:w="606" w:type="dxa"/>
          </w:tcPr>
          <w:p>
            <w:pPr>
              <w:pStyle w:val="yTableNAm"/>
            </w:pPr>
            <w:r>
              <w:t>(G)</w:t>
            </w:r>
          </w:p>
        </w:tc>
        <w:tc>
          <w:tcPr>
            <w:tcW w:w="2679" w:type="dxa"/>
          </w:tcPr>
          <w:p>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pPr>
              <w:pStyle w:val="yTableNAm"/>
              <w:spacing w:before="80"/>
            </w:pPr>
            <w:r>
              <w:t>75% of fee for subsequent surveys set out in item 1(a)</w:t>
            </w:r>
          </w:p>
        </w:tc>
      </w:tr>
      <w:tr>
        <w:trPr>
          <w:cantSplit/>
        </w:trPr>
        <w:tc>
          <w:tcPr>
            <w:tcW w:w="606" w:type="dxa"/>
          </w:tcPr>
          <w:p>
            <w:pPr>
              <w:pStyle w:val="yTableNAm"/>
              <w:keepNext/>
              <w:rPr>
                <w:sz w:val="18"/>
              </w:rPr>
            </w:pPr>
            <w:r>
              <w:lastRenderedPageBreak/>
              <w:t>(H)</w:t>
            </w:r>
          </w:p>
        </w:tc>
        <w:tc>
          <w:tcPr>
            <w:tcW w:w="2679" w:type="dxa"/>
          </w:tcPr>
          <w:p>
            <w:pPr>
              <w:pStyle w:val="yTableNAm"/>
              <w:keepNext/>
            </w:pPr>
            <w:r>
              <w:t>If significant alterations are to be made to vessel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10% of fee for examination of plans set out in item 1(a) if structure requires assessment plus a further 10% of that fee for each of the following that require reassessment —</w:t>
            </w:r>
          </w:p>
        </w:tc>
      </w:tr>
      <w:tr>
        <w:trPr>
          <w:cantSplit/>
        </w:trPr>
        <w:tc>
          <w:tcPr>
            <w:tcW w:w="606" w:type="dxa"/>
          </w:tcPr>
          <w:p>
            <w:pPr>
              <w:pStyle w:val="yTableNAm"/>
            </w:pPr>
          </w:p>
        </w:tc>
        <w:tc>
          <w:tcPr>
            <w:tcW w:w="2679" w:type="dxa"/>
          </w:tcPr>
          <w:p>
            <w:pPr>
              <w:pStyle w:val="yTableNAm"/>
            </w:pPr>
          </w:p>
        </w:tc>
        <w:tc>
          <w:tcPr>
            <w:tcW w:w="2223" w:type="dxa"/>
          </w:tcPr>
          <w:p>
            <w:pPr>
              <w:pStyle w:val="yTableNAm"/>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spacing w:before="60"/>
            </w:pPr>
            <w:r>
              <w:sym w:font="Symbol" w:char="F0B7"/>
            </w:r>
            <w:r>
              <w:t xml:space="preserve"> equipment</w:t>
            </w:r>
          </w:p>
        </w:tc>
      </w:tr>
      <w:tr>
        <w:trPr>
          <w:cantSplit/>
        </w:trPr>
        <w:tc>
          <w:tcPr>
            <w:tcW w:w="606" w:type="dxa"/>
            <w:tcBorders>
              <w:bottom w:val="nil"/>
            </w:tcBorders>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 of fee for initial survey set out in item 1(a) if structure requires assessment plus a further 10% of that fee for each of the following that require reassessment —</w:t>
            </w:r>
          </w:p>
        </w:tc>
      </w:tr>
      <w:tr>
        <w:trPr>
          <w:trHeight w:val="2066"/>
        </w:trPr>
        <w:tc>
          <w:tcPr>
            <w:tcW w:w="606" w:type="dxa"/>
          </w:tcPr>
          <w:p>
            <w:pPr>
              <w:pStyle w:val="yTableNAm"/>
              <w:rPr>
                <w:sz w:val="18"/>
              </w:rPr>
            </w:pPr>
          </w:p>
        </w:tc>
        <w:tc>
          <w:tcPr>
            <w:tcW w:w="2679" w:type="dxa"/>
          </w:tcPr>
          <w:p>
            <w:pPr>
              <w:pStyle w:val="yTableNAm"/>
              <w:keepNext/>
            </w:pPr>
          </w:p>
        </w:tc>
        <w:tc>
          <w:tcPr>
            <w:tcW w:w="2223" w:type="dxa"/>
          </w:tcPr>
          <w:p>
            <w:pPr>
              <w:pStyle w:val="yTableNAm"/>
              <w:keepNext/>
              <w:keepLines/>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keepNext/>
              <w:spacing w:before="60"/>
            </w:pPr>
            <w:r>
              <w:sym w:font="Symbol" w:char="F0B7"/>
            </w:r>
            <w:r>
              <w:t xml:space="preserve"> equipment</w:t>
            </w:r>
          </w:p>
        </w:tc>
      </w:tr>
      <w:tr>
        <w:trPr>
          <w:cantSplit/>
        </w:trPr>
        <w:tc>
          <w:tcPr>
            <w:tcW w:w="606" w:type="dxa"/>
          </w:tcPr>
          <w:p>
            <w:pPr>
              <w:pStyle w:val="yTableNAm"/>
            </w:pPr>
            <w:r>
              <w:lastRenderedPageBreak/>
              <w:t>(I)</w:t>
            </w:r>
          </w:p>
        </w:tc>
        <w:tc>
          <w:tcPr>
            <w:tcW w:w="2679" w:type="dxa"/>
          </w:tcPr>
          <w:p>
            <w:pPr>
              <w:pStyle w:val="yTableNAm"/>
            </w:pPr>
            <w:r>
              <w:t>If certificate of survey previously issued in respect of vessel but not currently valid for the purposes of the Australian Marine Authority, the fee for reissue is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150% of fee for subsequent survey set out in item 1(a)</w:t>
            </w:r>
          </w:p>
        </w:tc>
      </w:tr>
      <w:tr>
        <w:trPr>
          <w:cantSplit/>
        </w:trPr>
        <w:tc>
          <w:tcPr>
            <w:tcW w:w="606" w:type="dxa"/>
          </w:tcPr>
          <w:p>
            <w:pPr>
              <w:pStyle w:val="yTableNAm"/>
            </w:pPr>
            <w:r>
              <w:t>(J)</w:t>
            </w:r>
          </w:p>
        </w:tc>
        <w:tc>
          <w:tcPr>
            <w:tcW w:w="2679" w:type="dxa"/>
          </w:tcPr>
          <w:p>
            <w:pPr>
              <w:pStyle w:val="yTableNAm"/>
            </w:pPr>
            <w:r>
              <w:t>If vessel not fitted with deck structure or machinery:</w:t>
            </w:r>
          </w:p>
        </w:tc>
        <w:tc>
          <w:tcPr>
            <w:tcW w:w="2223" w:type="dxa"/>
          </w:tcPr>
          <w:p>
            <w:pPr>
              <w:pStyle w:val="yTableNAm"/>
            </w:pPr>
            <w:r>
              <w:t>50% of fees set out in item 1(a) may apply</w:t>
            </w:r>
          </w:p>
        </w:tc>
      </w:tr>
    </w:tbl>
    <w:p>
      <w:pPr>
        <w:pStyle w:val="ySubsection"/>
      </w:pPr>
      <w:r>
        <w:tab/>
        <w:t>(c)</w:t>
      </w:r>
      <w:r>
        <w:tab/>
        <w:t>A fee per hour, payable under this clause, is payable for each hour or part of an hour.</w:t>
      </w:r>
    </w:p>
    <w:p>
      <w:pPr>
        <w:pStyle w:val="yFootnotesection"/>
      </w:pPr>
      <w:r>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 SL 2023/45 r. 49(1).]</w:t>
      </w:r>
    </w:p>
    <w:p>
      <w:pPr>
        <w:pStyle w:val="yHeading5"/>
      </w:pPr>
      <w:bookmarkStart w:id="35" w:name="_Toc155176983"/>
      <w:r>
        <w:rPr>
          <w:rStyle w:val="CharSClsNo"/>
        </w:rPr>
        <w:t>2</w:t>
      </w:r>
      <w:r>
        <w:t>.</w:t>
      </w:r>
      <w:r>
        <w:rPr>
          <w:b w:val="0"/>
        </w:rPr>
        <w:tab/>
      </w:r>
      <w:r>
        <w:t>Other fees and charges</w:t>
      </w:r>
      <w:bookmarkEnd w:id="35"/>
    </w:p>
    <w:p>
      <w:pPr>
        <w:pStyle w:val="ySubsection"/>
      </w:pPr>
      <w:r>
        <w:tab/>
        <w:t>(1)</w:t>
      </w:r>
      <w:r>
        <w:tab/>
        <w:t>The fees set out in the Table are payable in relation to the matters set out in the Table.</w:t>
      </w:r>
    </w:p>
    <w:p>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trPr>
          <w:cantSplit/>
          <w:tblHeader/>
        </w:trPr>
        <w:tc>
          <w:tcPr>
            <w:tcW w:w="709" w:type="dxa"/>
          </w:tcPr>
          <w:p>
            <w:pPr>
              <w:pStyle w:val="yTableNAm"/>
            </w:pPr>
            <w:r>
              <w:rPr>
                <w:b/>
              </w:rPr>
              <w:t>Item</w:t>
            </w:r>
          </w:p>
        </w:tc>
        <w:tc>
          <w:tcPr>
            <w:tcW w:w="3969" w:type="dxa"/>
          </w:tcPr>
          <w:p>
            <w:pPr>
              <w:pStyle w:val="yTableNAm"/>
            </w:pPr>
            <w:r>
              <w:rPr>
                <w:b/>
              </w:rPr>
              <w:t>Description</w:t>
            </w:r>
          </w:p>
        </w:tc>
        <w:tc>
          <w:tcPr>
            <w:tcW w:w="2126" w:type="dxa"/>
          </w:tcPr>
          <w:p>
            <w:pPr>
              <w:pStyle w:val="yTableNAm"/>
            </w:pPr>
            <w:r>
              <w:rPr>
                <w:b/>
              </w:rPr>
              <w:t>Fee</w:t>
            </w:r>
          </w:p>
        </w:tc>
      </w:tr>
      <w:tr>
        <w:tblPrEx>
          <w:tblCellMar>
            <w:bottom w:w="0" w:type="dxa"/>
          </w:tblCellMar>
        </w:tblPrEx>
        <w:trPr>
          <w:cantSplit/>
        </w:trPr>
        <w:tc>
          <w:tcPr>
            <w:tcW w:w="709" w:type="dxa"/>
          </w:tcPr>
          <w:p>
            <w:pPr>
              <w:pStyle w:val="yTableNAm"/>
            </w:pPr>
            <w:r>
              <w:t>1.</w:t>
            </w:r>
          </w:p>
        </w:tc>
        <w:tc>
          <w:tcPr>
            <w:tcW w:w="3969" w:type="dxa"/>
          </w:tcPr>
          <w:p>
            <w:pPr>
              <w:pStyle w:val="yTableNAm"/>
            </w:pPr>
            <w:r>
              <w:t>Issue of certificate of survey where Department accepts a certificate of survey issued by another marine authority</w:t>
            </w:r>
          </w:p>
        </w:tc>
        <w:tc>
          <w:tcPr>
            <w:tcW w:w="2126" w:type="dxa"/>
            <w:vAlign w:val="bottom"/>
          </w:tcPr>
          <w:p>
            <w:pPr>
              <w:pStyle w:val="yTableNAm"/>
            </w:pPr>
            <w:r>
              <w:rPr>
                <w:szCs w:val="22"/>
              </w:rPr>
              <w:t>$155.40</w:t>
            </w:r>
          </w:p>
        </w:tc>
      </w:tr>
      <w:tr>
        <w:tblPrEx>
          <w:tblCellMar>
            <w:bottom w:w="0" w:type="dxa"/>
          </w:tblCellMar>
        </w:tblPrEx>
        <w:trPr>
          <w:cantSplit/>
        </w:trPr>
        <w:tc>
          <w:tcPr>
            <w:tcW w:w="709" w:type="dxa"/>
          </w:tcPr>
          <w:p>
            <w:pPr>
              <w:pStyle w:val="yTableNAm"/>
            </w:pPr>
            <w:r>
              <w:lastRenderedPageBreak/>
              <w:t>2.</w:t>
            </w:r>
          </w:p>
        </w:tc>
        <w:tc>
          <w:tcPr>
            <w:tcW w:w="3969" w:type="dxa"/>
          </w:tcPr>
          <w:p>
            <w:pPr>
              <w:pStyle w:val="yTableNAm"/>
            </w:pPr>
            <w:r>
              <w:t>Extension of period of validity of certificate of survey</w:t>
            </w:r>
          </w:p>
        </w:tc>
        <w:tc>
          <w:tcPr>
            <w:tcW w:w="2126" w:type="dxa"/>
            <w:vAlign w:val="bottom"/>
          </w:tcPr>
          <w:p>
            <w:pPr>
              <w:pStyle w:val="yTableNAm"/>
            </w:pPr>
            <w:r>
              <w:t>$152.80</w:t>
            </w:r>
          </w:p>
        </w:tc>
      </w:tr>
      <w:tr>
        <w:tblPrEx>
          <w:tblCellMar>
            <w:bottom w:w="0" w:type="dxa"/>
          </w:tblCellMar>
        </w:tblPrEx>
        <w:trPr>
          <w:cantSplit/>
        </w:trPr>
        <w:tc>
          <w:tcPr>
            <w:tcW w:w="709" w:type="dxa"/>
          </w:tcPr>
          <w:p>
            <w:pPr>
              <w:pStyle w:val="yTableNAm"/>
            </w:pPr>
            <w:r>
              <w:t>3.</w:t>
            </w:r>
          </w:p>
        </w:tc>
        <w:tc>
          <w:tcPr>
            <w:tcW w:w="3969" w:type="dxa"/>
            <w:tcBorders>
              <w:bottom w:val="single" w:sz="4" w:space="0" w:color="auto"/>
            </w:tcBorders>
          </w:tcPr>
          <w:p>
            <w:pPr>
              <w:pStyle w:val="yTableNAm"/>
            </w:pPr>
            <w:r>
              <w:t>Issue of replacement or copy of certificate of survey</w:t>
            </w:r>
          </w:p>
        </w:tc>
        <w:tc>
          <w:tcPr>
            <w:tcW w:w="2126" w:type="dxa"/>
            <w:tcBorders>
              <w:bottom w:val="single" w:sz="4" w:space="0" w:color="auto"/>
            </w:tcBorders>
            <w:vAlign w:val="bottom"/>
          </w:tcPr>
          <w:p>
            <w:pPr>
              <w:pStyle w:val="yTableNAm"/>
            </w:pPr>
            <w:r>
              <w:t>$171.05</w:t>
            </w:r>
          </w:p>
        </w:tc>
      </w:tr>
      <w:tr>
        <w:tblPrEx>
          <w:tblCellMar>
            <w:bottom w:w="0" w:type="dxa"/>
          </w:tblCellMar>
        </w:tblPrEx>
        <w:trPr>
          <w:cantSplit/>
        </w:trPr>
        <w:tc>
          <w:tcPr>
            <w:tcW w:w="709" w:type="dxa"/>
            <w:tcBorders>
              <w:bottom w:val="nil"/>
            </w:tcBorders>
            <w:shd w:val="clear" w:color="auto" w:fill="auto"/>
          </w:tcPr>
          <w:p>
            <w:pPr>
              <w:pStyle w:val="yTableNAm"/>
            </w:pPr>
            <w:r>
              <w:t>4.</w:t>
            </w:r>
          </w:p>
        </w:tc>
        <w:tc>
          <w:tcPr>
            <w:tcW w:w="3969" w:type="dxa"/>
            <w:tcBorders>
              <w:bottom w:val="nil"/>
            </w:tcBorders>
          </w:tcPr>
          <w:p>
            <w:pPr>
              <w:pStyle w:val="yTableNAm"/>
            </w:pPr>
            <w:r>
              <w:t xml:space="preserve">Pressure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5.</w:t>
            </w:r>
          </w:p>
        </w:tc>
        <w:tc>
          <w:tcPr>
            <w:tcW w:w="3969" w:type="dxa"/>
            <w:tcBorders>
              <w:bottom w:val="nil"/>
            </w:tcBorders>
          </w:tcPr>
          <w:p>
            <w:pPr>
              <w:pStyle w:val="yTableNAm"/>
            </w:pPr>
            <w:r>
              <w:t xml:space="preserve">Crane installation on a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keepNext/>
            </w:pPr>
            <w:r>
              <w:t>6.</w:t>
            </w:r>
          </w:p>
        </w:tc>
        <w:tc>
          <w:tcPr>
            <w:tcW w:w="3969" w:type="dxa"/>
            <w:tcBorders>
              <w:bottom w:val="nil"/>
            </w:tcBorders>
          </w:tcPr>
          <w:p>
            <w:pPr>
              <w:pStyle w:val="yTableNAm"/>
              <w:keepNext/>
            </w:pPr>
            <w:r>
              <w:t xml:space="preserve">Towage permit — </w:t>
            </w:r>
          </w:p>
        </w:tc>
        <w:tc>
          <w:tcPr>
            <w:tcW w:w="2126" w:type="dxa"/>
            <w:tcBorders>
              <w:bottom w:val="nil"/>
            </w:tcBorders>
            <w:vAlign w:val="bottom"/>
          </w:tcPr>
          <w:p>
            <w:pPr>
              <w:pStyle w:val="yTableNAm"/>
              <w:keepNext/>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pPr>
              <w:pStyle w:val="yTableNAm"/>
            </w:pPr>
            <w:r>
              <w:t xml:space="preserve">$345.55/hour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$358.15</w:t>
            </w:r>
          </w:p>
        </w:tc>
      </w:tr>
      <w:tr>
        <w:tblPrEx>
          <w:tblCellMar>
            <w:bottom w:w="0" w:type="dxa"/>
          </w:tblCellMar>
        </w:tblPrEx>
        <w:trPr>
          <w:cantSplit/>
        </w:trPr>
        <w:tc>
          <w:tcPr>
            <w:tcW w:w="709" w:type="dxa"/>
            <w:tcBorders>
              <w:bottom w:val="nil"/>
            </w:tcBorders>
            <w:shd w:val="clear" w:color="auto" w:fill="auto"/>
          </w:tcPr>
          <w:p>
            <w:pPr>
              <w:pStyle w:val="yTableNAm"/>
            </w:pPr>
            <w:r>
              <w:t>7.</w:t>
            </w:r>
          </w:p>
        </w:tc>
        <w:tc>
          <w:tcPr>
            <w:tcW w:w="3969" w:type="dxa"/>
            <w:tcBorders>
              <w:bottom w:val="nil"/>
            </w:tcBorders>
          </w:tcPr>
          <w:p>
            <w:pPr>
              <w:pStyle w:val="yTableNAm"/>
            </w:pPr>
            <w:r>
              <w:t xml:space="preserve">Permit to operate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8.</w:t>
            </w:r>
          </w:p>
        </w:tc>
        <w:tc>
          <w:tcPr>
            <w:tcW w:w="3969" w:type="dxa"/>
            <w:tcBorders>
              <w:bottom w:val="nil"/>
            </w:tcBorders>
          </w:tcPr>
          <w:p>
            <w:pPr>
              <w:pStyle w:val="yTableNAm"/>
            </w:pPr>
            <w:r>
              <w:t xml:space="preserve">Permit to trial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9.</w:t>
            </w:r>
          </w:p>
        </w:tc>
        <w:tc>
          <w:tcPr>
            <w:tcW w:w="3969" w:type="dxa"/>
            <w:tcBorders>
              <w:bottom w:val="nil"/>
            </w:tcBorders>
          </w:tcPr>
          <w:p>
            <w:pPr>
              <w:pStyle w:val="yTableNAm"/>
            </w:pPr>
            <w:r>
              <w:t xml:space="preserve">Data checking for vessel that is not a List 7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shd w:val="clear" w:color="auto" w:fill="auto"/>
          </w:tcPr>
          <w:p>
            <w:pPr>
              <w:pStyle w:val="zyTableNAm"/>
              <w:keepNext/>
            </w:pPr>
          </w:p>
        </w:tc>
        <w:tc>
          <w:tcPr>
            <w:tcW w:w="3969" w:type="dxa"/>
            <w:tcBorders>
              <w:top w:val="nil"/>
              <w:bottom w:val="nil"/>
            </w:tcBorders>
          </w:tcPr>
          <w:p>
            <w:pPr>
              <w:pStyle w:val="yTableNAm"/>
              <w:keepNext/>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pPr>
              <w:pStyle w:val="yTableNAm"/>
              <w:keepNext/>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pPr>
              <w:pStyle w:val="yTableNAm"/>
            </w:pPr>
            <w:r>
              <w:t>$1 045.40</w:t>
            </w:r>
          </w:p>
        </w:tc>
      </w:tr>
      <w:tr>
        <w:tblPrEx>
          <w:tblCellMar>
            <w:bottom w:w="0" w:type="dxa"/>
          </w:tblCellMar>
        </w:tblPrEx>
        <w:trPr>
          <w:cantSplit/>
        </w:trPr>
        <w:tc>
          <w:tcPr>
            <w:tcW w:w="709" w:type="dxa"/>
            <w:tcBorders>
              <w:top w:val="single" w:sz="4" w:space="0" w:color="auto"/>
              <w:bottom w:val="nil"/>
            </w:tcBorders>
            <w:shd w:val="clear" w:color="auto" w:fill="auto"/>
          </w:tcPr>
          <w:p>
            <w:pPr>
              <w:pStyle w:val="zyTableNAm"/>
            </w:pPr>
          </w:p>
        </w:tc>
        <w:tc>
          <w:tcPr>
            <w:tcW w:w="3969" w:type="dxa"/>
            <w:tcBorders>
              <w:top w:val="single" w:sz="4" w:space="0" w:color="auto"/>
              <w:bottom w:val="nil"/>
            </w:tcBorders>
          </w:tcPr>
          <w:p>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pPr>
              <w:pStyle w:val="yTableNAm"/>
            </w:pPr>
            <w:r>
              <w:t>$523.50</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Borders>
              <w:bottom w:val="nil"/>
            </w:tcBorders>
          </w:tcPr>
          <w:p>
            <w:pPr>
              <w:pStyle w:val="yTableNAm"/>
            </w:pPr>
            <w:r>
              <w:t>10.</w:t>
            </w:r>
          </w:p>
        </w:tc>
        <w:tc>
          <w:tcPr>
            <w:tcW w:w="3969" w:type="dxa"/>
            <w:tcBorders>
              <w:top w:val="nil"/>
              <w:bottom w:val="nil"/>
            </w:tcBorders>
          </w:tcPr>
          <w:p>
            <w:pPr>
              <w:pStyle w:val="yTableNAm"/>
            </w:pPr>
            <w:r>
              <w:t xml:space="preserve">Data checking for List 7 vessel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tcBorders>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Pr>
          <w:p>
            <w:pPr>
              <w:pStyle w:val="yTableNAm"/>
            </w:pPr>
            <w:r>
              <w:t>11.</w:t>
            </w:r>
          </w:p>
        </w:tc>
        <w:tc>
          <w:tcPr>
            <w:tcW w:w="3969" w:type="dxa"/>
          </w:tcPr>
          <w:p>
            <w:pPr>
              <w:pStyle w:val="yTableNAm"/>
            </w:pPr>
            <w:r>
              <w:t>Attendance at inclining experiment, roll period test, authorised practical stability test or lightship test</w:t>
            </w:r>
          </w:p>
        </w:tc>
        <w:tc>
          <w:tcPr>
            <w:tcW w:w="2126" w:type="dxa"/>
            <w:vAlign w:val="bottom"/>
          </w:tcPr>
          <w:p>
            <w:pPr>
              <w:pStyle w:val="yTableNAm"/>
            </w:pPr>
            <w:r>
              <w:t>$1 045.40</w:t>
            </w:r>
          </w:p>
        </w:tc>
      </w:tr>
      <w:tr>
        <w:tblPrEx>
          <w:tblCellMar>
            <w:bottom w:w="0" w:type="dxa"/>
          </w:tblCellMar>
        </w:tblPrEx>
        <w:trPr>
          <w:cantSplit/>
        </w:trPr>
        <w:tc>
          <w:tcPr>
            <w:tcW w:w="709" w:type="dxa"/>
          </w:tcPr>
          <w:p>
            <w:pPr>
              <w:pStyle w:val="yTableNAm"/>
            </w:pPr>
            <w:r>
              <w:t>12.</w:t>
            </w:r>
          </w:p>
        </w:tc>
        <w:tc>
          <w:tcPr>
            <w:tcW w:w="3969" w:type="dxa"/>
          </w:tcPr>
          <w:p>
            <w:pPr>
              <w:pStyle w:val="yTableNAm"/>
            </w:pPr>
            <w:r>
              <w:t>Attendance by surveyor at vessel, site or meeting</w:t>
            </w:r>
          </w:p>
        </w:tc>
        <w:tc>
          <w:tcPr>
            <w:tcW w:w="2126" w:type="dxa"/>
            <w:vAlign w:val="bottom"/>
          </w:tcPr>
          <w:p>
            <w:pPr>
              <w:pStyle w:val="yTableNAm"/>
            </w:pPr>
            <w:r>
              <w:t xml:space="preserve">$198.90/hour plus </w:t>
            </w:r>
            <w:r>
              <w:rPr>
                <w:szCs w:val="22"/>
              </w:rPr>
              <w:t>reasonable travel and accommodation costs and expenses incurred</w:t>
            </w:r>
          </w:p>
        </w:tc>
      </w:tr>
      <w:tr>
        <w:tblPrEx>
          <w:tblCellMar>
            <w:bottom w:w="0" w:type="dxa"/>
          </w:tblCellMar>
        </w:tblPrEx>
        <w:trPr>
          <w:cantSplit/>
        </w:trPr>
        <w:tc>
          <w:tcPr>
            <w:tcW w:w="709" w:type="dxa"/>
          </w:tcPr>
          <w:p>
            <w:pPr>
              <w:pStyle w:val="yTableNAm"/>
            </w:pPr>
            <w:r>
              <w:t>13.</w:t>
            </w:r>
          </w:p>
        </w:tc>
        <w:tc>
          <w:tcPr>
            <w:tcW w:w="3969" w:type="dxa"/>
            <w:tcBorders>
              <w:bottom w:val="single" w:sz="4" w:space="0" w:color="auto"/>
            </w:tcBorders>
          </w:tcPr>
          <w:p>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pPr>
              <w:pStyle w:val="yTableNAm"/>
            </w:pPr>
            <w:r>
              <w:t>$300.00/hour</w:t>
            </w:r>
          </w:p>
        </w:tc>
      </w:tr>
      <w:tr>
        <w:tblPrEx>
          <w:tblCellMar>
            <w:bottom w:w="0" w:type="dxa"/>
          </w:tblCellMar>
        </w:tblPrEx>
        <w:trPr>
          <w:cantSplit/>
        </w:trPr>
        <w:tc>
          <w:tcPr>
            <w:tcW w:w="709" w:type="dxa"/>
          </w:tcPr>
          <w:p>
            <w:pPr>
              <w:pStyle w:val="yTableNAm"/>
            </w:pPr>
            <w:r>
              <w:t>14.</w:t>
            </w:r>
          </w:p>
        </w:tc>
        <w:tc>
          <w:tcPr>
            <w:tcW w:w="3969" w:type="dxa"/>
          </w:tcPr>
          <w:p>
            <w:pPr>
              <w:pStyle w:val="yTableNAm"/>
            </w:pPr>
            <w:r>
              <w:t>Request for information requiring search of records (printed or computer)</w:t>
            </w:r>
          </w:p>
        </w:tc>
        <w:tc>
          <w:tcPr>
            <w:tcW w:w="2126" w:type="dxa"/>
            <w:vAlign w:val="bottom"/>
          </w:tcPr>
          <w:p>
            <w:pPr>
              <w:pStyle w:val="yTableNAm"/>
            </w:pPr>
            <w:r>
              <w:t>$212.10/hour</w:t>
            </w:r>
          </w:p>
        </w:tc>
      </w:tr>
      <w:tr>
        <w:tblPrEx>
          <w:tblCellMar>
            <w:bottom w:w="0" w:type="dxa"/>
          </w:tblCellMar>
        </w:tblPrEx>
        <w:trPr>
          <w:cantSplit/>
        </w:trPr>
        <w:tc>
          <w:tcPr>
            <w:tcW w:w="709" w:type="dxa"/>
          </w:tcPr>
          <w:p>
            <w:pPr>
              <w:pStyle w:val="yTableNAm"/>
            </w:pPr>
            <w:r>
              <w:lastRenderedPageBreak/>
              <w:t>15.</w:t>
            </w:r>
          </w:p>
        </w:tc>
        <w:tc>
          <w:tcPr>
            <w:tcW w:w="3969" w:type="dxa"/>
          </w:tcPr>
          <w:p>
            <w:pPr>
              <w:pStyle w:val="yTableNAm"/>
            </w:pPr>
            <w:r>
              <w:t>Photocopying</w:t>
            </w:r>
          </w:p>
        </w:tc>
        <w:tc>
          <w:tcPr>
            <w:tcW w:w="2126" w:type="dxa"/>
            <w:vAlign w:val="bottom"/>
          </w:tcPr>
          <w:p>
            <w:pPr>
              <w:pStyle w:val="yTableNAm"/>
            </w:pPr>
            <w:r>
              <w:t>$1.75/page</w:t>
            </w:r>
          </w:p>
        </w:tc>
      </w:tr>
      <w:tr>
        <w:tblPrEx>
          <w:tblCellMar>
            <w:bottom w:w="0" w:type="dxa"/>
          </w:tblCellMar>
        </w:tblPrEx>
        <w:trPr>
          <w:cantSplit/>
        </w:trPr>
        <w:tc>
          <w:tcPr>
            <w:tcW w:w="709" w:type="dxa"/>
          </w:tcPr>
          <w:p>
            <w:pPr>
              <w:pStyle w:val="yTableNAm"/>
            </w:pPr>
            <w:r>
              <w:t>16.</w:t>
            </w:r>
          </w:p>
        </w:tc>
        <w:tc>
          <w:tcPr>
            <w:tcW w:w="3969" w:type="dxa"/>
          </w:tcPr>
          <w:p>
            <w:pPr>
              <w:pStyle w:val="yTableNAm"/>
            </w:pPr>
            <w:r>
              <w:t>Purchase of stickers referred to in regulation 12(1)</w:t>
            </w:r>
          </w:p>
        </w:tc>
        <w:tc>
          <w:tcPr>
            <w:tcW w:w="2126" w:type="dxa"/>
            <w:vAlign w:val="bottom"/>
          </w:tcPr>
          <w:p>
            <w:pPr>
              <w:pStyle w:val="yTableNAm"/>
            </w:pPr>
            <w:r>
              <w:t>$33.10</w:t>
            </w:r>
          </w:p>
        </w:tc>
      </w:tr>
    </w:tbl>
    <w:p>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pPr>
        <w:pStyle w:val="ySubsection"/>
      </w:pPr>
      <w:r>
        <w:tab/>
        <w:t>(4)</w:t>
      </w:r>
      <w:r>
        <w:tab/>
        <w:t>A fee per hour, payable under this clause, is payable for each hour or part of an hour.</w:t>
      </w:r>
    </w:p>
    <w:p>
      <w:pPr>
        <w:pStyle w:val="ySubsection"/>
        <w:keepNext/>
      </w:pPr>
      <w:r>
        <w:tab/>
        <w:t>(5)</w:t>
      </w:r>
      <w:r>
        <w:tab/>
        <w:t>Fees provided for in this clause may be waived if, in the opinion of the chief executive officer —</w:t>
      </w:r>
    </w:p>
    <w:p>
      <w:pPr>
        <w:pStyle w:val="yIndenta"/>
      </w:pPr>
      <w:r>
        <w:tab/>
        <w:t>(a)</w:t>
      </w:r>
      <w:r>
        <w:tab/>
        <w:t>the service is delivered in the interest of the Commercial Vessel Safety Branch (e.g. extension of survey where surveyor unavailable); or</w:t>
      </w:r>
    </w:p>
    <w:p>
      <w:pPr>
        <w:pStyle w:val="yIndenta"/>
      </w:pPr>
      <w:r>
        <w:tab/>
        <w:t>(b)</w:t>
      </w:r>
      <w:r>
        <w:tab/>
        <w:t>the service is to remedy an oversight or delay for which the regulations have not allowed (e.g. a permit to operate is issued because a certificate of survey, although authorised, cannot be printed).</w:t>
      </w:r>
    </w:p>
    <w:p>
      <w:pPr>
        <w:pStyle w:val="yFootnotesection"/>
      </w:pPr>
      <w:r>
        <w:tab/>
        <w:t>[Clause 2 inserted: Gazette 21 Jun 2011 p. 2235-8; amended: Gazette 29 Jun 2012 p. 2957-9; 28 Jun 2013 p. 2774-6; 30 May 2014 p. 1689; 12 Jun 2015 p. 2031; 14 Jun 2016 p. 2002; 23 Jun 2017 p. 3277; 31 May 2019 p. 1727</w:t>
      </w:r>
      <w:r>
        <w:noBreakHyphen/>
        <w:t>8; SL 2021/92 r. 31; SL 2022/67 r. 32; SL 2023/45 r. 49(2).]</w:t>
      </w:r>
    </w:p>
    <w:p>
      <w:pPr>
        <w:pStyle w:val="yHeading5"/>
      </w:pPr>
      <w:bookmarkStart w:id="36" w:name="_Toc155176984"/>
      <w:r>
        <w:rPr>
          <w:rStyle w:val="CharSClsNo"/>
        </w:rPr>
        <w:lastRenderedPageBreak/>
        <w:t>3</w:t>
      </w:r>
      <w:r>
        <w:t>.</w:t>
      </w:r>
      <w:r>
        <w:rPr>
          <w:b w:val="0"/>
        </w:rPr>
        <w:tab/>
      </w:r>
      <w:r>
        <w:t>Fees for hire and drive vessels</w:t>
      </w:r>
      <w:bookmarkEnd w:id="36"/>
    </w:p>
    <w:p>
      <w:pPr>
        <w:pStyle w:val="ySubsection"/>
      </w:pPr>
      <w:r>
        <w:tab/>
      </w:r>
      <w:r>
        <w:tab/>
        <w:t xml:space="preserve">The survey fees for vessels with a current licence under the </w:t>
      </w:r>
      <w:r>
        <w:rPr>
          <w:i/>
        </w:rPr>
        <w:t>W.A. Marine (Hire and Drive Vessels) Regulations 1983</w:t>
      </w:r>
      <w:r>
        <w:t xml:space="preserve"> are set out in the Table.</w:t>
      </w:r>
    </w:p>
    <w:p>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trPr>
          <w:tblHeader/>
        </w:trPr>
        <w:tc>
          <w:tcPr>
            <w:tcW w:w="855" w:type="dxa"/>
          </w:tcPr>
          <w:p>
            <w:pPr>
              <w:pStyle w:val="yTableNAm"/>
              <w:jc w:val="center"/>
              <w:rPr>
                <w:b/>
              </w:rPr>
            </w:pPr>
            <w:r>
              <w:rPr>
                <w:b/>
              </w:rPr>
              <w:t>Item</w:t>
            </w:r>
          </w:p>
        </w:tc>
        <w:tc>
          <w:tcPr>
            <w:tcW w:w="3876" w:type="dxa"/>
          </w:tcPr>
          <w:p>
            <w:pPr>
              <w:pStyle w:val="yTableNAm"/>
              <w:jc w:val="center"/>
              <w:rPr>
                <w:b/>
              </w:rPr>
            </w:pPr>
            <w:r>
              <w:rPr>
                <w:b/>
              </w:rPr>
              <w:t>Description</w:t>
            </w:r>
          </w:p>
        </w:tc>
        <w:tc>
          <w:tcPr>
            <w:tcW w:w="1539"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Power boats not exceeding 5 m in length:</w:t>
            </w:r>
          </w:p>
        </w:tc>
        <w:tc>
          <w:tcPr>
            <w:tcW w:w="1539" w:type="dxa"/>
            <w:vAlign w:val="bottom"/>
          </w:tcPr>
          <w:p>
            <w:pPr>
              <w:pStyle w:val="yTableNAm"/>
            </w:pPr>
            <w:r>
              <w:rPr>
                <w:szCs w:val="22"/>
              </w:rPr>
              <w:t>$124.90</w:t>
            </w:r>
          </w:p>
        </w:tc>
      </w:tr>
      <w:tr>
        <w:tc>
          <w:tcPr>
            <w:tcW w:w="855" w:type="dxa"/>
          </w:tcPr>
          <w:p>
            <w:pPr>
              <w:pStyle w:val="yTableNAm"/>
            </w:pPr>
            <w:r>
              <w:t>2.</w:t>
            </w:r>
          </w:p>
        </w:tc>
        <w:tc>
          <w:tcPr>
            <w:tcW w:w="3876" w:type="dxa"/>
          </w:tcPr>
          <w:p>
            <w:pPr>
              <w:pStyle w:val="yTableNAm"/>
            </w:pPr>
            <w:r>
              <w:t>Sailing boats other than sailboards:</w:t>
            </w:r>
          </w:p>
        </w:tc>
        <w:tc>
          <w:tcPr>
            <w:tcW w:w="1539" w:type="dxa"/>
            <w:vAlign w:val="bottom"/>
          </w:tcPr>
          <w:p>
            <w:pPr>
              <w:pStyle w:val="yTableNAm"/>
            </w:pPr>
            <w:r>
              <w:rPr>
                <w:szCs w:val="22"/>
              </w:rPr>
              <w:t>$124.90</w:t>
            </w:r>
          </w:p>
        </w:tc>
      </w:tr>
      <w:tr>
        <w:tc>
          <w:tcPr>
            <w:tcW w:w="855" w:type="dxa"/>
          </w:tcPr>
          <w:p>
            <w:pPr>
              <w:pStyle w:val="yTableNAm"/>
            </w:pPr>
            <w:r>
              <w:t>3.</w:t>
            </w:r>
          </w:p>
        </w:tc>
        <w:tc>
          <w:tcPr>
            <w:tcW w:w="3876" w:type="dxa"/>
          </w:tcPr>
          <w:p>
            <w:pPr>
              <w:pStyle w:val="yTableNAm"/>
            </w:pPr>
            <w:r>
              <w:t>Boats propelled exclusively by oars or paddles, and sailboards:</w:t>
            </w:r>
          </w:p>
        </w:tc>
        <w:tc>
          <w:tcPr>
            <w:tcW w:w="1539" w:type="dxa"/>
            <w:vAlign w:val="bottom"/>
          </w:tcPr>
          <w:p>
            <w:pPr>
              <w:pStyle w:val="yTableNAm"/>
            </w:pPr>
            <w:r>
              <w:rPr>
                <w:szCs w:val="22"/>
              </w:rPr>
              <w:t>$80.40</w:t>
            </w:r>
          </w:p>
        </w:tc>
      </w:tr>
      <w:tr>
        <w:tc>
          <w:tcPr>
            <w:tcW w:w="855" w:type="dxa"/>
          </w:tcPr>
          <w:p>
            <w:pPr>
              <w:pStyle w:val="yTableNAm"/>
            </w:pPr>
            <w:r>
              <w:t>4.</w:t>
            </w:r>
          </w:p>
        </w:tc>
        <w:tc>
          <w:tcPr>
            <w:tcW w:w="3876" w:type="dxa"/>
          </w:tcPr>
          <w:p>
            <w:pPr>
              <w:pStyle w:val="yTableNAm"/>
            </w:pPr>
            <w:r>
              <w:t>All other boats exceeding 5 m in length (including houseboats):</w:t>
            </w:r>
          </w:p>
        </w:tc>
        <w:tc>
          <w:tcPr>
            <w:tcW w:w="1539" w:type="dxa"/>
            <w:vAlign w:val="bottom"/>
          </w:tcPr>
          <w:p>
            <w:pPr>
              <w:pStyle w:val="yTableNAm"/>
            </w:pPr>
            <w:r>
              <w:t>Fees set out in clause 1</w:t>
            </w:r>
          </w:p>
        </w:tc>
      </w:tr>
    </w:tbl>
    <w:p>
      <w:pPr>
        <w:pStyle w:val="yFootnotesection"/>
      </w:pPr>
      <w:r>
        <w:tab/>
        <w:t>[Clause 3 inserted: Gazette 21 Jun 2011 p. 2238; amended: Gazette 29 Jun 2012 p. 2959.]</w:t>
      </w:r>
    </w:p>
    <w:p>
      <w:pPr>
        <w:pStyle w:val="yHeading5"/>
      </w:pPr>
      <w:bookmarkStart w:id="37" w:name="_Toc155176985"/>
      <w:r>
        <w:rPr>
          <w:rStyle w:val="CharSClsNo"/>
        </w:rPr>
        <w:t>4</w:t>
      </w:r>
      <w:r>
        <w:t>.</w:t>
      </w:r>
      <w:r>
        <w:rPr>
          <w:b w:val="0"/>
        </w:rPr>
        <w:tab/>
      </w:r>
      <w:r>
        <w:t>Annual exemption fee</w:t>
      </w:r>
      <w:bookmarkEnd w:id="37"/>
    </w:p>
    <w:p>
      <w:pPr>
        <w:pStyle w:val="ySubsection"/>
      </w:pPr>
      <w:r>
        <w:tab/>
        <w:t>(1)</w:t>
      </w:r>
      <w:r>
        <w:tab/>
        <w:t>The annual exemption fee for a vessel is set out in the Table.</w:t>
      </w:r>
    </w:p>
    <w:p>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trPr>
          <w:tblHeader/>
        </w:trPr>
        <w:tc>
          <w:tcPr>
            <w:tcW w:w="855" w:type="dxa"/>
          </w:tcPr>
          <w:p>
            <w:pPr>
              <w:pStyle w:val="yTableNAm"/>
              <w:keepNext/>
              <w:jc w:val="center"/>
              <w:rPr>
                <w:b/>
              </w:rPr>
            </w:pPr>
            <w:r>
              <w:rPr>
                <w:b/>
              </w:rPr>
              <w:t>Item</w:t>
            </w:r>
          </w:p>
        </w:tc>
        <w:tc>
          <w:tcPr>
            <w:tcW w:w="3876" w:type="dxa"/>
          </w:tcPr>
          <w:p>
            <w:pPr>
              <w:pStyle w:val="yTableNAm"/>
              <w:jc w:val="center"/>
              <w:rPr>
                <w:b/>
              </w:rPr>
            </w:pPr>
            <w:r>
              <w:rPr>
                <w:b/>
              </w:rPr>
              <w:t>Length of vessel</w:t>
            </w:r>
          </w:p>
        </w:tc>
        <w:tc>
          <w:tcPr>
            <w:tcW w:w="1596"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Does not exceed 5 m:</w:t>
            </w:r>
          </w:p>
        </w:tc>
        <w:tc>
          <w:tcPr>
            <w:tcW w:w="1596" w:type="dxa"/>
            <w:vAlign w:val="bottom"/>
          </w:tcPr>
          <w:p>
            <w:pPr>
              <w:pStyle w:val="yTableNAm"/>
            </w:pPr>
            <w:r>
              <w:rPr>
                <w:szCs w:val="22"/>
              </w:rPr>
              <w:t>$109.80</w:t>
            </w:r>
          </w:p>
        </w:tc>
      </w:tr>
      <w:tr>
        <w:tc>
          <w:tcPr>
            <w:tcW w:w="855" w:type="dxa"/>
          </w:tcPr>
          <w:p>
            <w:pPr>
              <w:pStyle w:val="yTableNAm"/>
            </w:pPr>
            <w:r>
              <w:t>2.</w:t>
            </w:r>
          </w:p>
        </w:tc>
        <w:tc>
          <w:tcPr>
            <w:tcW w:w="3876" w:type="dxa"/>
          </w:tcPr>
          <w:p>
            <w:pPr>
              <w:pStyle w:val="yTableNAm"/>
            </w:pPr>
            <w:r>
              <w:t>Exceeds 5 m but does not exceed 10 m:</w:t>
            </w:r>
          </w:p>
        </w:tc>
        <w:tc>
          <w:tcPr>
            <w:tcW w:w="1596" w:type="dxa"/>
            <w:vAlign w:val="bottom"/>
          </w:tcPr>
          <w:p>
            <w:pPr>
              <w:pStyle w:val="yTableNAm"/>
            </w:pPr>
            <w:r>
              <w:rPr>
                <w:szCs w:val="22"/>
              </w:rPr>
              <w:t>$219.50</w:t>
            </w:r>
          </w:p>
        </w:tc>
      </w:tr>
      <w:tr>
        <w:tc>
          <w:tcPr>
            <w:tcW w:w="855" w:type="dxa"/>
          </w:tcPr>
          <w:p>
            <w:pPr>
              <w:pStyle w:val="yTableNAm"/>
            </w:pPr>
            <w:r>
              <w:t>3.</w:t>
            </w:r>
          </w:p>
        </w:tc>
        <w:tc>
          <w:tcPr>
            <w:tcW w:w="3876" w:type="dxa"/>
          </w:tcPr>
          <w:p>
            <w:pPr>
              <w:pStyle w:val="yTableNAm"/>
            </w:pPr>
            <w:r>
              <w:t>Exceeds 10 m but does not exceed 20 m:</w:t>
            </w:r>
          </w:p>
        </w:tc>
        <w:tc>
          <w:tcPr>
            <w:tcW w:w="1596" w:type="dxa"/>
            <w:vAlign w:val="bottom"/>
          </w:tcPr>
          <w:p>
            <w:pPr>
              <w:pStyle w:val="yTableNAm"/>
            </w:pPr>
            <w:r>
              <w:rPr>
                <w:szCs w:val="22"/>
              </w:rPr>
              <w:t>$405.40</w:t>
            </w:r>
          </w:p>
        </w:tc>
      </w:tr>
      <w:tr>
        <w:tc>
          <w:tcPr>
            <w:tcW w:w="855" w:type="dxa"/>
          </w:tcPr>
          <w:p>
            <w:pPr>
              <w:pStyle w:val="yTableNAm"/>
            </w:pPr>
            <w:r>
              <w:t>4.</w:t>
            </w:r>
          </w:p>
        </w:tc>
        <w:tc>
          <w:tcPr>
            <w:tcW w:w="3876" w:type="dxa"/>
          </w:tcPr>
          <w:p>
            <w:pPr>
              <w:pStyle w:val="yTableNAm"/>
            </w:pPr>
            <w:r>
              <w:t>Exceeds 20 m but does not exceed 30 m:</w:t>
            </w:r>
          </w:p>
        </w:tc>
        <w:tc>
          <w:tcPr>
            <w:tcW w:w="1596" w:type="dxa"/>
            <w:vAlign w:val="bottom"/>
          </w:tcPr>
          <w:p>
            <w:pPr>
              <w:pStyle w:val="yTableNAm"/>
            </w:pPr>
            <w:r>
              <w:rPr>
                <w:szCs w:val="22"/>
              </w:rPr>
              <w:t>$552.50</w:t>
            </w:r>
          </w:p>
        </w:tc>
      </w:tr>
    </w:tbl>
    <w:p>
      <w:pPr>
        <w:pStyle w:val="ySubsection"/>
        <w:keepNext/>
      </w:pPr>
      <w:r>
        <w:lastRenderedPageBreak/>
        <w:tab/>
        <w:t>(2)</w:t>
      </w:r>
      <w:r>
        <w:tab/>
        <w:t xml:space="preserve">The fee payable for recording the transfer of an exempt vessel is </w:t>
      </w:r>
      <w:r>
        <w:rPr>
          <w:szCs w:val="22"/>
        </w:rPr>
        <w:t>$56.40.</w:t>
      </w:r>
    </w:p>
    <w:p>
      <w:pPr>
        <w:pStyle w:val="yFootnotesection"/>
      </w:pPr>
      <w:r>
        <w:tab/>
        <w:t>[Clause 4 inserted: Gazette 21 Jun 2011 p. 2238-9; amended: Gazette 29 Jun 2012 p. 2959-60; 28 Jun 2013 p. 2776.]</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39" w:name="_Toc155176986"/>
      <w:r>
        <w:rPr>
          <w:rStyle w:val="CharSchNo"/>
        </w:rPr>
        <w:lastRenderedPageBreak/>
        <w:t>Schedule 2</w:t>
      </w:r>
      <w:bookmarkEnd w:id="39"/>
    </w:p>
    <w:p>
      <w:pPr>
        <w:pStyle w:val="yHeading2"/>
      </w:pPr>
      <w:bookmarkStart w:id="40" w:name="_Toc155176987"/>
      <w:r>
        <w:rPr>
          <w:rStyle w:val="CharSchText"/>
        </w:rPr>
        <w:t>Survey requirements and intervals</w:t>
      </w:r>
      <w:bookmarkEnd w:id="40"/>
    </w:p>
    <w:p>
      <w:pPr>
        <w:pStyle w:val="yTable"/>
        <w:jc w:val="right"/>
      </w:pPr>
      <w:r>
        <w:t>[r. 6]</w:t>
      </w:r>
    </w:p>
    <w:p>
      <w:pPr>
        <w:pStyle w:val="yMiscellaneousHeading"/>
        <w:rPr>
          <w:b/>
          <w:bCs/>
        </w:rPr>
      </w:pPr>
      <w:r>
        <w:rPr>
          <w:b/>
          <w:bCs/>
        </w:rPr>
        <w:t>Appendix II</w:t>
      </w:r>
    </w:p>
    <w:p>
      <w:pPr>
        <w:pStyle w:val="yMiscellaneousBody"/>
      </w:pPr>
      <w:r>
        <w:t>In this Appendix items listed shall be subjected to a survey unless otherwise indicated.</w:t>
      </w:r>
    </w:p>
    <w:p>
      <w:pPr>
        <w:pStyle w:val="yMiscellaneousHeading"/>
        <w:rPr>
          <w:b/>
          <w:bCs/>
        </w:rPr>
      </w:pPr>
      <w:r>
        <w:rPr>
          <w:b/>
          <w:bCs/>
        </w:rPr>
        <w:t>Part I — Vessels less than 35 m in length</w:t>
      </w:r>
    </w:p>
    <w:p>
      <w:pPr>
        <w:pStyle w:val="yMiscellaneousBody"/>
        <w:tabs>
          <w:tab w:val="left" w:pos="600"/>
        </w:tabs>
        <w:ind w:left="600" w:hanging="600"/>
        <w:rPr>
          <w:b/>
          <w:bCs/>
        </w:rPr>
      </w:pPr>
      <w:r>
        <w:rPr>
          <w:b/>
          <w:bCs/>
        </w:rPr>
        <w:t>Annual surveys</w:t>
      </w:r>
    </w:p>
    <w:p>
      <w:pPr>
        <w:pStyle w:val="yMiscellaneousBody"/>
        <w:tabs>
          <w:tab w:val="left" w:pos="600"/>
        </w:tabs>
        <w:ind w:left="600" w:hanging="600"/>
      </w:pPr>
      <w:r>
        <w:t>1.</w:t>
      </w:r>
      <w:r>
        <w:tab/>
        <w:t>Equipment.</w:t>
      </w:r>
    </w:p>
    <w:p>
      <w:pPr>
        <w:pStyle w:val="yMiscellaneousBody"/>
        <w:tabs>
          <w:tab w:val="left" w:pos="600"/>
        </w:tabs>
        <w:ind w:left="600" w:hanging="600"/>
      </w:pPr>
      <w:r>
        <w:t>2.</w:t>
      </w:r>
      <w:r>
        <w:tab/>
        <w:t>Running trial of each main engine and associated gear box.</w:t>
      </w:r>
    </w:p>
    <w:p>
      <w:pPr>
        <w:pStyle w:val="yMiscellaneousBody"/>
        <w:tabs>
          <w:tab w:val="left" w:pos="600"/>
        </w:tabs>
        <w:ind w:left="600" w:hanging="600"/>
      </w:pPr>
      <w:r>
        <w:t>3.</w:t>
      </w:r>
      <w:r>
        <w:tab/>
        <w:t>Operational test of bilge pumps, bilge alarms and bilge valves.</w:t>
      </w:r>
    </w:p>
    <w:p>
      <w:pPr>
        <w:pStyle w:val="yMiscellaneousBody"/>
        <w:tabs>
          <w:tab w:val="left" w:pos="600"/>
        </w:tabs>
        <w:ind w:left="600" w:hanging="600"/>
      </w:pPr>
      <w:r>
        <w:t>4.</w:t>
      </w:r>
      <w:r>
        <w:tab/>
        <w:t>Operational test of all valves in the fire main systems.</w:t>
      </w:r>
    </w:p>
    <w:p>
      <w:pPr>
        <w:pStyle w:val="yMiscellaneousBody"/>
        <w:tabs>
          <w:tab w:val="left" w:pos="600"/>
        </w:tabs>
        <w:ind w:left="600" w:hanging="600"/>
      </w:pPr>
      <w:r>
        <w:t>5.</w:t>
      </w:r>
      <w:r>
        <w:tab/>
        <w:t>Operational test of all sea injections and overboard discharge valves and cocks.</w:t>
      </w:r>
    </w:p>
    <w:p>
      <w:pPr>
        <w:pStyle w:val="yMiscellaneousBody"/>
        <w:tabs>
          <w:tab w:val="left" w:pos="600"/>
        </w:tabs>
        <w:ind w:left="600" w:hanging="600"/>
      </w:pPr>
      <w:r>
        <w:t>6.</w:t>
      </w:r>
      <w:r>
        <w:tab/>
        <w:t>Operational test of main and emergency means of steering.</w:t>
      </w:r>
    </w:p>
    <w:p>
      <w:pPr>
        <w:pStyle w:val="yMiscellaneousBody"/>
        <w:tabs>
          <w:tab w:val="left" w:pos="600"/>
        </w:tabs>
        <w:ind w:left="600" w:hanging="600"/>
      </w:pPr>
      <w:r>
        <w:t>7.</w:t>
      </w:r>
      <w:r>
        <w:tab/>
        <w:t>Running trial of all machinery essential to the safe operation of the vessel.</w:t>
      </w:r>
    </w:p>
    <w:p>
      <w:pPr>
        <w:pStyle w:val="yMiscellaneousBody"/>
        <w:tabs>
          <w:tab w:val="left" w:pos="600"/>
        </w:tabs>
        <w:ind w:left="600" w:hanging="600"/>
      </w:pPr>
      <w:r>
        <w:t>8.</w:t>
      </w:r>
      <w:r>
        <w:tab/>
        <w:t>Inspection of all pipe arrangements.</w:t>
      </w:r>
    </w:p>
    <w:p>
      <w:pPr>
        <w:pStyle w:val="yMiscellaneousBody"/>
        <w:tabs>
          <w:tab w:val="left" w:pos="600"/>
        </w:tabs>
        <w:ind w:left="600" w:hanging="600"/>
      </w:pPr>
      <w:r>
        <w:t>9.</w:t>
      </w:r>
      <w:r>
        <w:tab/>
        <w:t>General examination of machinery installation and electrical installation.</w:t>
      </w:r>
    </w:p>
    <w:p>
      <w:pPr>
        <w:pStyle w:val="yMiscellaneousBody"/>
        <w:tabs>
          <w:tab w:val="left" w:pos="600"/>
        </w:tabs>
        <w:ind w:left="600" w:hanging="600"/>
      </w:pPr>
      <w:r>
        <w:t>10.</w:t>
      </w:r>
      <w:r>
        <w:tab/>
        <w:t>All safety and relief valves associated with the safe operation of the vessel to be set at the required working pressure.</w:t>
      </w:r>
    </w:p>
    <w:p>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pPr>
        <w:pStyle w:val="yMiscellaneousBody"/>
        <w:tabs>
          <w:tab w:val="left" w:pos="600"/>
        </w:tabs>
        <w:ind w:left="600" w:hanging="600"/>
      </w:pPr>
      <w:r>
        <w:t>12.</w:t>
      </w:r>
      <w:r>
        <w:tab/>
        <w:t>Inspection of the liquefied petroleum gas installation.</w:t>
      </w:r>
    </w:p>
    <w:p>
      <w:pPr>
        <w:pStyle w:val="yMiscellaneousBody"/>
        <w:tabs>
          <w:tab w:val="left" w:pos="600"/>
        </w:tabs>
        <w:ind w:left="600" w:hanging="600"/>
      </w:pPr>
      <w:r>
        <w:t>13.</w:t>
      </w:r>
      <w:r>
        <w:tab/>
        <w:t>Inspection of cargo handling, fishing and trawling gear.</w:t>
      </w:r>
    </w:p>
    <w:p>
      <w:pPr>
        <w:pStyle w:val="yMiscellaneousBody"/>
        <w:tabs>
          <w:tab w:val="left" w:pos="600"/>
        </w:tabs>
        <w:ind w:left="600" w:hanging="600"/>
      </w:pPr>
      <w:r>
        <w:t>14.</w:t>
      </w:r>
      <w:r>
        <w:tab/>
        <w:t>Inspection of escapes from engine room and accommodation spaces.</w:t>
      </w:r>
    </w:p>
    <w:p>
      <w:pPr>
        <w:pStyle w:val="yMiscellaneousBody"/>
        <w:tabs>
          <w:tab w:val="left" w:pos="600"/>
        </w:tabs>
        <w:ind w:left="600" w:hanging="600"/>
      </w:pPr>
      <w:r>
        <w:lastRenderedPageBreak/>
        <w:t>15.</w:t>
      </w:r>
      <w:r>
        <w:tab/>
        <w:t>Inspection of personnel protection arrangements in machinery spaces.</w:t>
      </w:r>
    </w:p>
    <w:p>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pPr>
        <w:pStyle w:val="yMiscellaneousBody"/>
        <w:tabs>
          <w:tab w:val="left" w:pos="600"/>
        </w:tabs>
        <w:ind w:left="600" w:hanging="600"/>
      </w:pPr>
      <w:r>
        <w:t>17.</w:t>
      </w:r>
      <w:r>
        <w:tab/>
        <w:t>Inspection of ground tackle.</w:t>
      </w:r>
    </w:p>
    <w:p>
      <w:pPr>
        <w:pStyle w:val="yMiscellaneousBody"/>
        <w:tabs>
          <w:tab w:val="left" w:pos="600"/>
        </w:tabs>
        <w:ind w:left="600" w:hanging="600"/>
        <w:rPr>
          <w:b/>
          <w:bCs/>
        </w:rPr>
      </w:pPr>
      <w:r>
        <w:rPr>
          <w:b/>
          <w:bCs/>
        </w:rPr>
        <w:t>2</w:t>
      </w:r>
      <w:r>
        <w:rPr>
          <w:b/>
          <w:bCs/>
        </w:rPr>
        <w:noBreakHyphen/>
        <w:t>Yearly surveys</w:t>
      </w:r>
    </w:p>
    <w:p>
      <w:pPr>
        <w:pStyle w:val="yMiscellaneousBody"/>
        <w:tabs>
          <w:tab w:val="left" w:pos="600"/>
        </w:tabs>
        <w:ind w:left="600" w:hanging="600"/>
      </w:pPr>
      <w:r>
        <w:t>18.</w:t>
      </w:r>
      <w:r>
        <w:tab/>
        <w:t>Hull externally and internally except in way of tanks forming part of the structure.</w:t>
      </w:r>
    </w:p>
    <w:p>
      <w:pPr>
        <w:pStyle w:val="yMiscellaneousBody"/>
        <w:tabs>
          <w:tab w:val="left" w:pos="600"/>
        </w:tabs>
        <w:ind w:left="600" w:hanging="600"/>
      </w:pPr>
      <w:r>
        <w:t>19.</w:t>
      </w:r>
      <w:r>
        <w:tab/>
        <w:t>Sea injection and overboard discharge valves and cocks.</w:t>
      </w:r>
    </w:p>
    <w:p>
      <w:pPr>
        <w:pStyle w:val="yMiscellaneousBody"/>
        <w:tabs>
          <w:tab w:val="left" w:pos="600"/>
        </w:tabs>
        <w:ind w:left="600" w:hanging="600"/>
      </w:pPr>
      <w:r>
        <w:t>20.</w:t>
      </w:r>
      <w:r>
        <w:tab/>
        <w:t>Inspection of propellers, rudders and underwater fittings.</w:t>
      </w:r>
    </w:p>
    <w:p>
      <w:pPr>
        <w:pStyle w:val="yMiscellaneousBody"/>
        <w:tabs>
          <w:tab w:val="left" w:pos="600"/>
        </w:tabs>
        <w:ind w:left="600" w:hanging="600"/>
      </w:pPr>
      <w:r>
        <w:t>21.</w:t>
      </w:r>
      <w:r>
        <w:tab/>
        <w:t>Pressure vessel and associated mountings, of an air pressure/salt water system having a working pressure of more than 275 kPa.</w:t>
      </w:r>
    </w:p>
    <w:p>
      <w:pPr>
        <w:pStyle w:val="yMiscellaneousBody"/>
        <w:tabs>
          <w:tab w:val="left" w:pos="600"/>
        </w:tabs>
        <w:ind w:left="600" w:hanging="600"/>
        <w:rPr>
          <w:b/>
          <w:bCs/>
        </w:rPr>
      </w:pPr>
      <w:r>
        <w:rPr>
          <w:b/>
          <w:bCs/>
        </w:rPr>
        <w:t>4</w:t>
      </w:r>
      <w:r>
        <w:rPr>
          <w:b/>
          <w:bCs/>
        </w:rPr>
        <w:noBreakHyphen/>
        <w:t>Yearly surveys</w:t>
      </w:r>
    </w:p>
    <w:p>
      <w:pPr>
        <w:pStyle w:val="yMiscellaneousBody"/>
        <w:tabs>
          <w:tab w:val="left" w:pos="600"/>
        </w:tabs>
        <w:ind w:left="600" w:hanging="600"/>
      </w:pPr>
      <w:r>
        <w:t>22.</w:t>
      </w:r>
      <w:r>
        <w:tab/>
        <w:t>Each screw and tube shaft.</w:t>
      </w:r>
    </w:p>
    <w:p>
      <w:pPr>
        <w:pStyle w:val="yMiscellaneousBody"/>
        <w:tabs>
          <w:tab w:val="left" w:pos="600"/>
        </w:tabs>
        <w:ind w:left="600" w:hanging="600"/>
      </w:pPr>
      <w:r>
        <w:t>23.</w:t>
      </w:r>
      <w:r>
        <w:tab/>
        <w:t>Anchors and cables to range.</w:t>
      </w:r>
    </w:p>
    <w:p>
      <w:pPr>
        <w:pStyle w:val="yMiscellaneousBody"/>
        <w:tabs>
          <w:tab w:val="left" w:pos="600"/>
        </w:tabs>
        <w:ind w:left="600" w:hanging="600"/>
      </w:pPr>
      <w:r>
        <w:t>24.</w:t>
      </w:r>
      <w:r>
        <w:tab/>
        <w:t>Chain locker internally.</w:t>
      </w:r>
    </w:p>
    <w:p>
      <w:pPr>
        <w:pStyle w:val="yMiscellaneousBody"/>
        <w:tabs>
          <w:tab w:val="left" w:pos="600"/>
        </w:tabs>
        <w:ind w:left="600" w:hanging="600"/>
      </w:pPr>
      <w:r>
        <w:t>25.</w:t>
      </w:r>
      <w:r>
        <w:tab/>
        <w:t>Tanks forming part of the hull, other than oil tanks, internally.</w:t>
      </w:r>
    </w:p>
    <w:p>
      <w:pPr>
        <w:pStyle w:val="yMiscellaneousBody"/>
        <w:tabs>
          <w:tab w:val="left" w:pos="600"/>
        </w:tabs>
        <w:ind w:left="600" w:hanging="600"/>
      </w:pPr>
      <w:r>
        <w:t>26.</w:t>
      </w:r>
      <w:r>
        <w:tab/>
        <w:t>Void spaces internally.</w:t>
      </w:r>
    </w:p>
    <w:p>
      <w:pPr>
        <w:pStyle w:val="yMiscellaneousBody"/>
        <w:tabs>
          <w:tab w:val="left" w:pos="600"/>
        </w:tabs>
        <w:ind w:left="600" w:hanging="600"/>
      </w:pPr>
      <w:r>
        <w:t>27.</w:t>
      </w:r>
      <w:r>
        <w:tab/>
        <w:t>Compressed air pressure vessels having a working pressure of more than 275 kPa and associated mountings.</w:t>
      </w:r>
    </w:p>
    <w:p>
      <w:pPr>
        <w:pStyle w:val="yMiscellaneousBody"/>
        <w:tabs>
          <w:tab w:val="left" w:pos="600"/>
        </w:tabs>
        <w:ind w:left="600" w:hanging="600"/>
      </w:pPr>
      <w:r>
        <w:t>28.</w:t>
      </w:r>
      <w:r>
        <w:tab/>
        <w:t>Pressure vessel and associated mountings of an air pressure/fresh water system having a working pressure of more than 275 kPa.</w:t>
      </w:r>
    </w:p>
    <w:p>
      <w:pPr>
        <w:pStyle w:val="yMiscellaneousBody"/>
        <w:tabs>
          <w:tab w:val="left" w:pos="600"/>
        </w:tabs>
        <w:ind w:left="600" w:hanging="600"/>
      </w:pPr>
      <w:r>
        <w:t>29.</w:t>
      </w:r>
      <w:r>
        <w:tab/>
        <w:t>Cargo handling, fishing and trawling gear.</w:t>
      </w:r>
    </w:p>
    <w:p>
      <w:pPr>
        <w:pStyle w:val="yMiscellaneousBody"/>
        <w:tabs>
          <w:tab w:val="left" w:pos="600"/>
        </w:tabs>
        <w:ind w:left="600" w:hanging="600"/>
      </w:pPr>
      <w:r>
        <w:t>30.</w:t>
      </w:r>
      <w:r>
        <w:tab/>
        <w:t>Insulation tests of all electrical installations above 32 V a.c. or d.c.</w:t>
      </w:r>
    </w:p>
    <w:p>
      <w:pPr>
        <w:pStyle w:val="yMiscellaneousBody"/>
        <w:tabs>
          <w:tab w:val="left" w:pos="600"/>
        </w:tabs>
        <w:ind w:left="600" w:hanging="600"/>
        <w:rPr>
          <w:b/>
          <w:bCs/>
        </w:rPr>
      </w:pPr>
      <w:r>
        <w:rPr>
          <w:b/>
          <w:bCs/>
        </w:rPr>
        <w:t>8</w:t>
      </w:r>
      <w:r>
        <w:rPr>
          <w:b/>
          <w:bCs/>
        </w:rPr>
        <w:noBreakHyphen/>
        <w:t>Yearly surveys</w:t>
      </w:r>
    </w:p>
    <w:p>
      <w:pPr>
        <w:pStyle w:val="yMiscellaneousBody"/>
        <w:tabs>
          <w:tab w:val="left" w:pos="600"/>
        </w:tabs>
        <w:ind w:left="600" w:hanging="600"/>
      </w:pPr>
      <w:r>
        <w:t>31.</w:t>
      </w:r>
      <w:r>
        <w:tab/>
        <w:t>Each rudder stock and rudder stock bearing.</w:t>
      </w:r>
    </w:p>
    <w:p>
      <w:pPr>
        <w:pStyle w:val="yMiscellaneousBody"/>
        <w:tabs>
          <w:tab w:val="left" w:pos="600"/>
        </w:tabs>
        <w:ind w:left="600" w:hanging="600"/>
      </w:pPr>
      <w:r>
        <w:t>32.</w:t>
      </w:r>
      <w:r>
        <w:tab/>
        <w:t>Steering gear.</w:t>
      </w:r>
    </w:p>
    <w:p>
      <w:pPr>
        <w:pStyle w:val="yMiscellaneousBody"/>
        <w:tabs>
          <w:tab w:val="left" w:pos="600"/>
        </w:tabs>
        <w:ind w:left="600" w:hanging="600"/>
      </w:pPr>
      <w:r>
        <w:lastRenderedPageBreak/>
        <w:t>33.</w:t>
      </w:r>
      <w:r>
        <w:tab/>
        <w:t>Hull in way of removable ballast.</w:t>
      </w:r>
    </w:p>
    <w:p>
      <w:pPr>
        <w:pStyle w:val="yMiscellaneousBody"/>
        <w:tabs>
          <w:tab w:val="left" w:pos="600"/>
        </w:tabs>
        <w:ind w:left="600" w:hanging="600"/>
      </w:pPr>
      <w:r>
        <w:t>34.</w:t>
      </w:r>
      <w:r>
        <w:tab/>
        <w:t>Selected sections of internal structure in way of refrigerated space.</w:t>
      </w:r>
    </w:p>
    <w:p>
      <w:pPr>
        <w:pStyle w:val="yMiscellaneousBody"/>
        <w:keepNext/>
        <w:tabs>
          <w:tab w:val="left" w:pos="480"/>
        </w:tabs>
        <w:ind w:left="480" w:hanging="480"/>
      </w:pPr>
      <w:r>
        <w:rPr>
          <w:b/>
          <w:bCs/>
        </w:rPr>
        <w:t>12</w:t>
      </w:r>
      <w:r>
        <w:rPr>
          <w:b/>
          <w:bCs/>
        </w:rPr>
        <w:noBreakHyphen/>
        <w:t>Yearly surveys</w:t>
      </w:r>
    </w:p>
    <w:p>
      <w:pPr>
        <w:pStyle w:val="yMiscellaneousBody"/>
        <w:tabs>
          <w:tab w:val="left" w:pos="600"/>
        </w:tabs>
        <w:ind w:left="600" w:hanging="600"/>
      </w:pPr>
      <w:r>
        <w:t>35.</w:t>
      </w:r>
      <w:r>
        <w:tab/>
        <w:t>Fuel oil tanks internally.</w:t>
      </w:r>
    </w:p>
    <w:p>
      <w:pPr>
        <w:pStyle w:val="yMiscellaneousBody"/>
        <w:tabs>
          <w:tab w:val="left" w:pos="600"/>
        </w:tabs>
        <w:ind w:left="600" w:hanging="600"/>
        <w:rPr>
          <w:b/>
          <w:bCs/>
        </w:rPr>
      </w:pPr>
      <w:r>
        <w:rPr>
          <w:b/>
          <w:bCs/>
        </w:rPr>
        <w:t>Other survey periods</w:t>
      </w:r>
    </w:p>
    <w:p>
      <w:pPr>
        <w:pStyle w:val="yMiscellaneousBody"/>
        <w:tabs>
          <w:tab w:val="left" w:pos="600"/>
        </w:tabs>
        <w:ind w:left="600" w:hanging="600"/>
      </w:pPr>
      <w:r>
        <w:t>36.</w:t>
      </w:r>
      <w:r>
        <w:tab/>
        <w:t>The survey period for an item not specified in this Part shall be that period determined by the Authority.</w:t>
      </w:r>
    </w:p>
    <w:p>
      <w:pPr>
        <w:pStyle w:val="yMiscellaneousHeading"/>
        <w:rPr>
          <w:b/>
          <w:bCs/>
        </w:rPr>
      </w:pPr>
      <w:r>
        <w:rPr>
          <w:b/>
          <w:bCs/>
        </w:rPr>
        <w:t>Part II — Vessels of 35 m in length and over</w:t>
      </w:r>
    </w:p>
    <w:p>
      <w:pPr>
        <w:pStyle w:val="yMiscellaneousBody"/>
        <w:tabs>
          <w:tab w:val="left" w:pos="480"/>
        </w:tabs>
        <w:ind w:left="480" w:hanging="480"/>
        <w:rPr>
          <w:b/>
          <w:bCs/>
        </w:rPr>
      </w:pPr>
      <w:r>
        <w:rPr>
          <w:b/>
          <w:bCs/>
        </w:rPr>
        <w:t>Annual surveys</w:t>
      </w:r>
    </w:p>
    <w:p>
      <w:pPr>
        <w:pStyle w:val="yMiscellaneousBody"/>
        <w:tabs>
          <w:tab w:val="left" w:pos="480"/>
        </w:tabs>
        <w:ind w:left="480" w:hanging="480"/>
      </w:pPr>
      <w:r>
        <w:t>1.</w:t>
      </w:r>
      <w:r>
        <w:tab/>
        <w:t>Equipment.</w:t>
      </w:r>
    </w:p>
    <w:p>
      <w:pPr>
        <w:pStyle w:val="yMiscellaneousBody"/>
        <w:tabs>
          <w:tab w:val="left" w:pos="480"/>
        </w:tabs>
        <w:ind w:left="480" w:hanging="480"/>
      </w:pPr>
      <w:r>
        <w:t>2.</w:t>
      </w:r>
      <w:r>
        <w:tab/>
        <w:t>Running trial of each main engine and associated gear box.</w:t>
      </w:r>
    </w:p>
    <w:p>
      <w:pPr>
        <w:pStyle w:val="yMiscellaneousBody"/>
        <w:tabs>
          <w:tab w:val="left" w:pos="480"/>
        </w:tabs>
        <w:ind w:left="480" w:hanging="480"/>
      </w:pPr>
      <w:r>
        <w:t>3.</w:t>
      </w:r>
      <w:r>
        <w:tab/>
        <w:t>Operation test of all valves in the fire main system.</w:t>
      </w:r>
    </w:p>
    <w:p>
      <w:pPr>
        <w:pStyle w:val="yMiscellaneousBody"/>
        <w:tabs>
          <w:tab w:val="left" w:pos="480"/>
        </w:tabs>
        <w:ind w:left="480" w:hanging="480"/>
      </w:pPr>
      <w:r>
        <w:t>4.</w:t>
      </w:r>
      <w:r>
        <w:tab/>
        <w:t>Operational test of all sea injection and overboard discharge valves and cocks.</w:t>
      </w:r>
    </w:p>
    <w:p>
      <w:pPr>
        <w:pStyle w:val="yMiscellaneousBody"/>
        <w:tabs>
          <w:tab w:val="left" w:pos="480"/>
        </w:tabs>
        <w:ind w:left="480" w:hanging="480"/>
      </w:pPr>
      <w:r>
        <w:t>5.</w:t>
      </w:r>
      <w:r>
        <w:tab/>
        <w:t>Operational test of main and emergency means of steering.</w:t>
      </w:r>
    </w:p>
    <w:p>
      <w:pPr>
        <w:pStyle w:val="yMiscellaneousBody"/>
        <w:tabs>
          <w:tab w:val="left" w:pos="480"/>
        </w:tabs>
        <w:ind w:left="480" w:hanging="480"/>
      </w:pPr>
      <w:r>
        <w:t>6.</w:t>
      </w:r>
      <w:r>
        <w:tab/>
        <w:t>Running trial of all machinery essential to the safe operation of the vessel.</w:t>
      </w:r>
    </w:p>
    <w:p>
      <w:pPr>
        <w:pStyle w:val="yMiscellaneousBody"/>
        <w:tabs>
          <w:tab w:val="left" w:pos="480"/>
        </w:tabs>
        <w:ind w:left="480" w:hanging="480"/>
      </w:pPr>
      <w:r>
        <w:t>7.</w:t>
      </w:r>
      <w:r>
        <w:tab/>
        <w:t>Inspection of all pipe arrangements.</w:t>
      </w:r>
    </w:p>
    <w:p>
      <w:pPr>
        <w:pStyle w:val="yMiscellaneousBody"/>
        <w:tabs>
          <w:tab w:val="left" w:pos="480"/>
        </w:tabs>
        <w:ind w:left="480" w:hanging="480"/>
      </w:pPr>
      <w:r>
        <w:t>8.</w:t>
      </w:r>
      <w:r>
        <w:tab/>
        <w:t>General inspection of machinery installation and electrical installation.</w:t>
      </w:r>
    </w:p>
    <w:p>
      <w:pPr>
        <w:pStyle w:val="yMiscellaneousBody"/>
        <w:tabs>
          <w:tab w:val="left" w:pos="480"/>
        </w:tabs>
        <w:ind w:left="480" w:hanging="480"/>
      </w:pPr>
      <w:r>
        <w:t>9.</w:t>
      </w:r>
      <w:r>
        <w:tab/>
        <w:t>All safety and relief valves associated with the safe operation of the vessel to be set at the required working pressure.</w:t>
      </w:r>
    </w:p>
    <w:p>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pPr>
        <w:pStyle w:val="yMiscellaneousBody"/>
        <w:tabs>
          <w:tab w:val="left" w:pos="480"/>
        </w:tabs>
        <w:ind w:left="480" w:hanging="480"/>
      </w:pPr>
      <w:r>
        <w:t>11.</w:t>
      </w:r>
      <w:r>
        <w:tab/>
        <w:t>Inspection of the liquefied petroleum gas installation.</w:t>
      </w:r>
    </w:p>
    <w:p>
      <w:pPr>
        <w:pStyle w:val="yMiscellaneousBody"/>
        <w:tabs>
          <w:tab w:val="left" w:pos="480"/>
        </w:tabs>
        <w:ind w:left="480" w:hanging="480"/>
      </w:pPr>
      <w:r>
        <w:t>12.</w:t>
      </w:r>
      <w:r>
        <w:tab/>
        <w:t>Inspection of cargo handling, fishing and trawling gear.</w:t>
      </w:r>
    </w:p>
    <w:p>
      <w:pPr>
        <w:pStyle w:val="yMiscellaneousBody"/>
        <w:tabs>
          <w:tab w:val="left" w:pos="480"/>
        </w:tabs>
        <w:ind w:left="480" w:hanging="480"/>
      </w:pPr>
      <w:r>
        <w:t>13.</w:t>
      </w:r>
      <w:r>
        <w:tab/>
        <w:t>Inspection of escapes from engine room and accommodation spaces.</w:t>
      </w:r>
    </w:p>
    <w:p>
      <w:pPr>
        <w:pStyle w:val="yMiscellaneousBody"/>
        <w:tabs>
          <w:tab w:val="left" w:pos="480"/>
        </w:tabs>
        <w:ind w:left="480" w:hanging="480"/>
      </w:pPr>
      <w:r>
        <w:lastRenderedPageBreak/>
        <w:t>14.</w:t>
      </w:r>
      <w:r>
        <w:tab/>
        <w:t>Inspection of personnel protection arrangements in machinery spaces.</w:t>
      </w:r>
    </w:p>
    <w:p>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pPr>
        <w:pStyle w:val="yMiscellaneousBody"/>
        <w:tabs>
          <w:tab w:val="left" w:pos="480"/>
        </w:tabs>
        <w:ind w:left="480" w:hanging="480"/>
      </w:pPr>
      <w:r>
        <w:t>16.</w:t>
      </w:r>
      <w:r>
        <w:tab/>
        <w:t>A boiler and its mountings where the boiler has been in service for more than 8 years (not being a pressure vessel referred to in item 10).</w:t>
      </w:r>
    </w:p>
    <w:p>
      <w:pPr>
        <w:pStyle w:val="yMiscellaneousBody"/>
        <w:tabs>
          <w:tab w:val="left" w:pos="480"/>
        </w:tabs>
        <w:ind w:left="480" w:hanging="480"/>
      </w:pPr>
      <w:r>
        <w:t>17.</w:t>
      </w:r>
      <w:r>
        <w:tab/>
        <w:t>An evaporator and its mountings which has been in service for more than 8 years, and in which the operating pressure is above atmospheric.</w:t>
      </w:r>
    </w:p>
    <w:p>
      <w:pPr>
        <w:pStyle w:val="yMiscellaneousBody"/>
        <w:tabs>
          <w:tab w:val="left" w:pos="480"/>
        </w:tabs>
        <w:ind w:left="480" w:hanging="480"/>
        <w:rPr>
          <w:b/>
          <w:bCs/>
        </w:rPr>
      </w:pPr>
      <w:r>
        <w:rPr>
          <w:b/>
          <w:bCs/>
        </w:rPr>
        <w:t>2</w:t>
      </w:r>
      <w:r>
        <w:rPr>
          <w:b/>
          <w:bCs/>
        </w:rPr>
        <w:noBreakHyphen/>
        <w:t>Yearly surveys</w:t>
      </w:r>
    </w:p>
    <w:p>
      <w:pPr>
        <w:pStyle w:val="yMiscellaneousBody"/>
        <w:tabs>
          <w:tab w:val="left" w:pos="480"/>
        </w:tabs>
        <w:ind w:left="480" w:hanging="480"/>
      </w:pPr>
      <w:r>
        <w:t>18.</w:t>
      </w:r>
      <w:r>
        <w:tab/>
        <w:t>Hull externally and internally except in way of tanks forming part of the structure.</w:t>
      </w:r>
    </w:p>
    <w:p>
      <w:pPr>
        <w:pStyle w:val="yMiscellaneousBody"/>
        <w:tabs>
          <w:tab w:val="left" w:pos="480"/>
        </w:tabs>
        <w:ind w:left="480" w:hanging="480"/>
      </w:pPr>
      <w:r>
        <w:t>19.</w:t>
      </w:r>
      <w:r>
        <w:tab/>
        <w:t>Sea cocks and valves, bilge injection valves and overboard discharge valves, of ferrous construction.</w:t>
      </w:r>
    </w:p>
    <w:p>
      <w:pPr>
        <w:pStyle w:val="yMiscellaneousBody"/>
        <w:tabs>
          <w:tab w:val="left" w:pos="480"/>
        </w:tabs>
        <w:ind w:left="480" w:hanging="480"/>
      </w:pPr>
      <w:r>
        <w:t>20.</w:t>
      </w:r>
      <w:r>
        <w:tab/>
        <w:t>Inspection of propellers, rudders, and under water fittings.</w:t>
      </w:r>
    </w:p>
    <w:p>
      <w:pPr>
        <w:pStyle w:val="yMiscellaneousBody"/>
        <w:tabs>
          <w:tab w:val="left" w:pos="480"/>
        </w:tabs>
        <w:ind w:left="480" w:hanging="480"/>
      </w:pPr>
      <w:r>
        <w:t>21.</w:t>
      </w:r>
      <w:r>
        <w:tab/>
        <w:t>Operational test of bilge pumps, bilge valves and bilge alarms.</w:t>
      </w:r>
    </w:p>
    <w:p>
      <w:pPr>
        <w:pStyle w:val="yMiscellaneousBody"/>
        <w:tabs>
          <w:tab w:val="left" w:pos="480"/>
        </w:tabs>
        <w:ind w:left="480" w:hanging="480"/>
      </w:pPr>
      <w:r>
        <w:t>22.</w:t>
      </w:r>
      <w:r>
        <w:tab/>
        <w:t>Pressure vessel and associate mountings of an air pressure/salt system having a working pressure of more than 275 kPa.</w:t>
      </w:r>
    </w:p>
    <w:p>
      <w:pPr>
        <w:pStyle w:val="yMiscellaneousBody"/>
        <w:tabs>
          <w:tab w:val="left" w:pos="480"/>
        </w:tabs>
        <w:ind w:left="480" w:hanging="480"/>
      </w:pPr>
      <w:r>
        <w:t>23.</w:t>
      </w:r>
      <w:r>
        <w:tab/>
        <w:t>A boiler and its mountings where the boiler has been in service for less than 8 years (not being a pressure vessel referred to in item 10).</w:t>
      </w:r>
    </w:p>
    <w:p>
      <w:pPr>
        <w:pStyle w:val="yMiscellaneousBody"/>
        <w:tabs>
          <w:tab w:val="left" w:pos="480"/>
        </w:tabs>
        <w:ind w:left="480" w:hanging="480"/>
      </w:pPr>
      <w:r>
        <w:t>24.</w:t>
      </w:r>
      <w:r>
        <w:tab/>
        <w:t>An evaporator and its mountings, which has been in service for less than 8 years, and in which the operating pressure is above atmospheric.</w:t>
      </w:r>
    </w:p>
    <w:p>
      <w:pPr>
        <w:pStyle w:val="yMiscellaneousBody"/>
        <w:tabs>
          <w:tab w:val="left" w:pos="480"/>
        </w:tabs>
        <w:ind w:left="480" w:hanging="480"/>
        <w:rPr>
          <w:b/>
          <w:bCs/>
        </w:rPr>
      </w:pPr>
      <w:r>
        <w:rPr>
          <w:b/>
          <w:bCs/>
        </w:rPr>
        <w:t>4</w:t>
      </w:r>
      <w:r>
        <w:rPr>
          <w:b/>
          <w:bCs/>
        </w:rPr>
        <w:noBreakHyphen/>
        <w:t>Yearly surveys</w:t>
      </w:r>
    </w:p>
    <w:p>
      <w:pPr>
        <w:pStyle w:val="yMiscellaneousBody"/>
        <w:tabs>
          <w:tab w:val="left" w:pos="480"/>
        </w:tabs>
        <w:ind w:left="480" w:hanging="480"/>
      </w:pPr>
      <w:r>
        <w:t>25.</w:t>
      </w:r>
      <w:r>
        <w:tab/>
        <w:t>Sea cocks and valves, bilge injection valves and overboard discharge valves, of non</w:t>
      </w:r>
      <w:r>
        <w:noBreakHyphen/>
        <w:t>ferrous construction.</w:t>
      </w:r>
    </w:p>
    <w:p>
      <w:pPr>
        <w:pStyle w:val="yMiscellaneousBody"/>
        <w:tabs>
          <w:tab w:val="left" w:pos="480"/>
        </w:tabs>
        <w:ind w:left="480" w:hanging="480"/>
      </w:pPr>
      <w:r>
        <w:t>26.</w:t>
      </w:r>
      <w:r>
        <w:tab/>
        <w:t>Bilge pumps.</w:t>
      </w:r>
    </w:p>
    <w:p>
      <w:pPr>
        <w:pStyle w:val="yMiscellaneousBody"/>
        <w:tabs>
          <w:tab w:val="left" w:pos="480"/>
        </w:tabs>
        <w:ind w:left="480" w:hanging="480"/>
      </w:pPr>
      <w:r>
        <w:t>27.</w:t>
      </w:r>
      <w:r>
        <w:tab/>
        <w:t>Independent pumps used for pumping sea water, fresh water, fuel oil, condensate and boiler feed.</w:t>
      </w:r>
    </w:p>
    <w:p>
      <w:pPr>
        <w:pStyle w:val="yMiscellaneousBody"/>
        <w:tabs>
          <w:tab w:val="left" w:pos="480"/>
        </w:tabs>
        <w:ind w:left="480" w:hanging="480"/>
      </w:pPr>
      <w:r>
        <w:t>28.</w:t>
      </w:r>
      <w:r>
        <w:tab/>
        <w:t>Air receivers and mountings, selected sections of air piping and explosion protection devices.</w:t>
      </w:r>
    </w:p>
    <w:p>
      <w:pPr>
        <w:pStyle w:val="yMiscellaneousBody"/>
        <w:tabs>
          <w:tab w:val="left" w:pos="480"/>
        </w:tabs>
        <w:ind w:left="480" w:hanging="480"/>
      </w:pPr>
      <w:r>
        <w:lastRenderedPageBreak/>
        <w:t>29.</w:t>
      </w:r>
      <w:r>
        <w:tab/>
        <w:t>Main propulsion intermediate shafting.</w:t>
      </w:r>
    </w:p>
    <w:p>
      <w:pPr>
        <w:pStyle w:val="yMiscellaneousBody"/>
        <w:tabs>
          <w:tab w:val="left" w:pos="480"/>
        </w:tabs>
        <w:ind w:left="480" w:hanging="480"/>
      </w:pPr>
      <w:r>
        <w:t>30.</w:t>
      </w:r>
      <w:r>
        <w:tab/>
        <w:t>Evaporators and mountings in which the operating pressure is at or below atmospheric pressure.</w:t>
      </w:r>
    </w:p>
    <w:p>
      <w:pPr>
        <w:pStyle w:val="yMiscellaneousBody"/>
        <w:tabs>
          <w:tab w:val="left" w:pos="480"/>
        </w:tabs>
        <w:ind w:left="480" w:hanging="480"/>
      </w:pPr>
      <w:r>
        <w:t>31.</w:t>
      </w:r>
      <w:r>
        <w:tab/>
        <w:t>Anchors and cables and all links and joining shackles.</w:t>
      </w:r>
    </w:p>
    <w:p>
      <w:pPr>
        <w:pStyle w:val="yMiscellaneousBody"/>
        <w:tabs>
          <w:tab w:val="left" w:pos="480"/>
        </w:tabs>
        <w:ind w:left="480" w:hanging="480"/>
      </w:pPr>
      <w:r>
        <w:t>32.</w:t>
      </w:r>
      <w:r>
        <w:tab/>
        <w:t>Windlass.</w:t>
      </w:r>
    </w:p>
    <w:p>
      <w:pPr>
        <w:pStyle w:val="yMiscellaneousBody"/>
        <w:tabs>
          <w:tab w:val="left" w:pos="480"/>
        </w:tabs>
        <w:ind w:left="480" w:hanging="480"/>
      </w:pPr>
      <w:r>
        <w:t>33.</w:t>
      </w:r>
      <w:r>
        <w:tab/>
        <w:t>Condensers, lubricating oil coolers, jacket water coolers, drain coolers, distillers and air ejectors.</w:t>
      </w:r>
    </w:p>
    <w:p>
      <w:pPr>
        <w:pStyle w:val="yMiscellaneousBody"/>
        <w:tabs>
          <w:tab w:val="left" w:pos="480"/>
        </w:tabs>
        <w:ind w:left="480" w:hanging="480"/>
      </w:pPr>
      <w:r>
        <w:t>34.</w:t>
      </w:r>
      <w:r>
        <w:tab/>
        <w:t>Boiler feed water heaters.</w:t>
      </w:r>
    </w:p>
    <w:p>
      <w:pPr>
        <w:pStyle w:val="yMiscellaneousBody"/>
        <w:tabs>
          <w:tab w:val="left" w:pos="480"/>
        </w:tabs>
        <w:ind w:left="480" w:hanging="480"/>
      </w:pPr>
      <w:r>
        <w:t>35.</w:t>
      </w:r>
      <w:r>
        <w:tab/>
        <w:t>Oil fuel heaters.</w:t>
      </w:r>
    </w:p>
    <w:p>
      <w:pPr>
        <w:pStyle w:val="yMiscellaneousBody"/>
        <w:tabs>
          <w:tab w:val="left" w:pos="480"/>
        </w:tabs>
        <w:ind w:left="480" w:hanging="480"/>
      </w:pPr>
      <w:r>
        <w:t>36.</w:t>
      </w:r>
      <w:r>
        <w:tab/>
        <w:t>Gear boxes to such extent necessary to ensure satisfactory condition.</w:t>
      </w:r>
    </w:p>
    <w:p>
      <w:pPr>
        <w:pStyle w:val="yMiscellaneousBody"/>
        <w:tabs>
          <w:tab w:val="left" w:pos="480"/>
        </w:tabs>
        <w:ind w:left="480" w:hanging="480"/>
      </w:pPr>
      <w:r>
        <w:t>37.</w:t>
      </w:r>
      <w:r>
        <w:tab/>
        <w:t>Screw and tube shafts.</w:t>
      </w:r>
    </w:p>
    <w:p>
      <w:pPr>
        <w:pStyle w:val="yMiscellaneousBody"/>
        <w:tabs>
          <w:tab w:val="left" w:pos="480"/>
        </w:tabs>
        <w:ind w:left="480" w:hanging="480"/>
      </w:pPr>
      <w:r>
        <w:t>38.</w:t>
      </w:r>
      <w:r>
        <w:tab/>
        <w:t>Internal combustion engined auxiliary generators other than emergency generators.</w:t>
      </w:r>
    </w:p>
    <w:p>
      <w:pPr>
        <w:pStyle w:val="yMiscellaneousBody"/>
        <w:tabs>
          <w:tab w:val="left" w:pos="480"/>
        </w:tabs>
        <w:ind w:left="480" w:hanging="480"/>
      </w:pPr>
      <w:r>
        <w:t>39.</w:t>
      </w:r>
      <w:r>
        <w:tab/>
        <w:t>Turbo</w:t>
      </w:r>
      <w:r>
        <w:noBreakHyphen/>
        <w:t>generators.</w:t>
      </w:r>
    </w:p>
    <w:p>
      <w:pPr>
        <w:pStyle w:val="yMiscellaneousBody"/>
        <w:tabs>
          <w:tab w:val="left" w:pos="480"/>
        </w:tabs>
        <w:ind w:left="480" w:hanging="480"/>
      </w:pPr>
      <w:r>
        <w:t>40.</w:t>
      </w:r>
      <w:r>
        <w:tab/>
        <w:t>Main engine, steam turbines.</w:t>
      </w:r>
    </w:p>
    <w:p>
      <w:pPr>
        <w:pStyle w:val="yMiscellaneousBody"/>
        <w:tabs>
          <w:tab w:val="left" w:pos="480"/>
        </w:tabs>
        <w:ind w:left="480" w:hanging="480"/>
      </w:pPr>
      <w:r>
        <w:t>41.</w:t>
      </w:r>
      <w:r>
        <w:tab/>
        <w:t>Main engine, internal combustion engines.</w:t>
      </w:r>
    </w:p>
    <w:p>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pPr>
        <w:pStyle w:val="yMiscellaneousBody"/>
        <w:tabs>
          <w:tab w:val="left" w:pos="480"/>
        </w:tabs>
        <w:ind w:left="480" w:hanging="480"/>
      </w:pPr>
      <w:r>
        <w:t>43.</w:t>
      </w:r>
      <w:r>
        <w:tab/>
        <w:t>Steel pipes having welded joints carrying steam at a temperature exceeding 455°C.  Also hydraulic test of those lengths.</w:t>
      </w:r>
    </w:p>
    <w:p>
      <w:pPr>
        <w:pStyle w:val="yMiscellaneousBody"/>
        <w:tabs>
          <w:tab w:val="left" w:pos="480"/>
        </w:tabs>
        <w:ind w:left="480" w:hanging="480"/>
      </w:pPr>
      <w:r>
        <w:t>44.</w:t>
      </w:r>
      <w:r>
        <w:tab/>
        <w:t>Pressure vessel and associated mountings of an air pressure/fresh water system having a working pressure of more than 275 kPa.</w:t>
      </w:r>
    </w:p>
    <w:p>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pPr>
        <w:pStyle w:val="yMiscellaneousBody"/>
        <w:keepNext/>
        <w:tabs>
          <w:tab w:val="left" w:pos="480"/>
        </w:tabs>
        <w:ind w:left="480" w:hanging="480"/>
        <w:rPr>
          <w:b/>
          <w:bCs/>
        </w:rPr>
      </w:pPr>
      <w:r>
        <w:rPr>
          <w:b/>
          <w:bCs/>
        </w:rPr>
        <w:lastRenderedPageBreak/>
        <w:t>5</w:t>
      </w:r>
      <w:r>
        <w:rPr>
          <w:b/>
          <w:bCs/>
        </w:rPr>
        <w:noBreakHyphen/>
        <w:t>Yearly surveys</w:t>
      </w:r>
    </w:p>
    <w:p>
      <w:pPr>
        <w:pStyle w:val="yMiscellaneousBody"/>
        <w:tabs>
          <w:tab w:val="left" w:pos="480"/>
        </w:tabs>
        <w:ind w:left="480" w:hanging="480"/>
      </w:pPr>
      <w:r>
        <w:t>47.</w:t>
      </w:r>
      <w:r>
        <w:tab/>
        <w:t>Peak tanks internally.  Peak tanks are to be tested to a head sufficient to give the maximum pressure than can be experienced in service.</w:t>
      </w:r>
    </w:p>
    <w:p>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pPr>
        <w:pStyle w:val="yMiscellaneousBody"/>
        <w:tabs>
          <w:tab w:val="left" w:pos="480"/>
        </w:tabs>
        <w:ind w:left="480" w:hanging="480"/>
        <w:rPr>
          <w:b/>
          <w:bCs/>
        </w:rPr>
      </w:pPr>
      <w:r>
        <w:rPr>
          <w:b/>
          <w:bCs/>
        </w:rPr>
        <w:t>6</w:t>
      </w:r>
      <w:r>
        <w:rPr>
          <w:b/>
          <w:bCs/>
        </w:rPr>
        <w:noBreakHyphen/>
        <w:t>Yearly survey</w:t>
      </w:r>
    </w:p>
    <w:p>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pPr>
        <w:pStyle w:val="yMiscellaneousBody"/>
        <w:tabs>
          <w:tab w:val="left" w:pos="480"/>
        </w:tabs>
        <w:ind w:left="480" w:hanging="480"/>
        <w:rPr>
          <w:b/>
          <w:bCs/>
        </w:rPr>
      </w:pPr>
      <w:r>
        <w:rPr>
          <w:b/>
          <w:bCs/>
        </w:rPr>
        <w:t>8</w:t>
      </w:r>
      <w:r>
        <w:rPr>
          <w:b/>
          <w:bCs/>
        </w:rPr>
        <w:noBreakHyphen/>
        <w:t>Yearly surveys</w:t>
      </w:r>
    </w:p>
    <w:p>
      <w:pPr>
        <w:pStyle w:val="yMiscellaneousBody"/>
        <w:tabs>
          <w:tab w:val="left" w:pos="480"/>
        </w:tabs>
        <w:ind w:left="480" w:hanging="480"/>
      </w:pPr>
      <w:r>
        <w:t>52.</w:t>
      </w:r>
      <w:r>
        <w:tab/>
        <w:t>Independent pumps used for the supply of lubricating oil under pressure to  hydraulically operated machinery.</w:t>
      </w:r>
    </w:p>
    <w:p>
      <w:pPr>
        <w:pStyle w:val="yMiscellaneousBody"/>
        <w:tabs>
          <w:tab w:val="left" w:pos="480"/>
        </w:tabs>
        <w:ind w:left="480" w:hanging="480"/>
      </w:pPr>
      <w:r>
        <w:t>53.</w:t>
      </w:r>
      <w:r>
        <w:tab/>
        <w:t>Electrically operated or hydraulically operated steering gear.</w:t>
      </w:r>
    </w:p>
    <w:p>
      <w:pPr>
        <w:pStyle w:val="yMiscellaneousBody"/>
        <w:tabs>
          <w:tab w:val="left" w:pos="480"/>
        </w:tabs>
        <w:ind w:left="480" w:hanging="480"/>
      </w:pPr>
      <w:r>
        <w:t>54.</w:t>
      </w:r>
      <w:r>
        <w:tab/>
        <w:t>All solid drawn copper steam pipes having an internal diameter exceeding 75 mm are to be annealed and hydraulically tested.</w:t>
      </w:r>
    </w:p>
    <w:p>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pPr>
        <w:pStyle w:val="yMiscellaneousBody"/>
        <w:keepNext/>
        <w:tabs>
          <w:tab w:val="left" w:pos="480"/>
        </w:tabs>
        <w:ind w:left="480" w:hanging="480"/>
        <w:rPr>
          <w:b/>
          <w:bCs/>
        </w:rPr>
      </w:pPr>
      <w:r>
        <w:rPr>
          <w:b/>
          <w:bCs/>
        </w:rPr>
        <w:lastRenderedPageBreak/>
        <w:t>Other survey periods</w:t>
      </w:r>
    </w:p>
    <w:p>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pPr>
        <w:pStyle w:val="yMiscellaneousBody"/>
        <w:tabs>
          <w:tab w:val="left" w:pos="480"/>
        </w:tabs>
        <w:ind w:left="480" w:hanging="480"/>
      </w:pPr>
      <w:r>
        <w:t>59.</w:t>
      </w:r>
      <w:r>
        <w:tab/>
        <w:t>The survey period for an item not specified in this Part shall be that period determined by the Authority.</w:t>
      </w:r>
    </w:p>
    <w:p>
      <w:pPr>
        <w:pStyle w:val="yEdnoteschedule"/>
      </w:pPr>
      <w:r>
        <w:t>[Schedule 3 deleted: Gazette 11 Dec 2009 p. 5109.]</w:t>
      </w:r>
    </w:p>
    <w:p>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41" w:name="_Toc155176988"/>
      <w:r>
        <w:lastRenderedPageBreak/>
        <w:t>Notes</w:t>
      </w:r>
      <w:bookmarkEnd w:id="41"/>
    </w:p>
    <w:p>
      <w:pPr>
        <w:pStyle w:val="nStatement"/>
      </w:pPr>
      <w:r>
        <w:t xml:space="preserve">This is a compilation of the </w:t>
      </w:r>
      <w:r>
        <w:rPr>
          <w:i/>
          <w:noProof/>
        </w:rPr>
        <w:t>W.A. Marine (Surveys and Certificates of Survey) Regulations 1983</w:t>
      </w:r>
      <w:r>
        <w:t xml:space="preserve"> and includes amendments made by other written laws. For provisions that have come into operation, and for information about any reprints, see the compilation table. </w:t>
      </w:r>
    </w:p>
    <w:p>
      <w:pPr>
        <w:pStyle w:val="nHeading3"/>
      </w:pPr>
      <w:bookmarkStart w:id="42" w:name="_Toc155176989"/>
      <w:r>
        <w:t>Compilation table</w:t>
      </w:r>
      <w:bookmarkEnd w:id="42"/>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W.A. Marine (Surveys and Certificates of Survey) Regulations 1983</w:t>
            </w:r>
          </w:p>
        </w:tc>
        <w:tc>
          <w:tcPr>
            <w:tcW w:w="1276" w:type="dxa"/>
            <w:tcBorders>
              <w:top w:val="single" w:sz="8" w:space="0" w:color="auto"/>
            </w:tcBorders>
          </w:tcPr>
          <w:p>
            <w:pPr>
              <w:pStyle w:val="nTable"/>
              <w:spacing w:after="40"/>
            </w:pPr>
            <w:r>
              <w:t>1 Jul 1983 p. 2195</w:t>
            </w:r>
            <w:r>
              <w:noBreakHyphen/>
              <w:t>208</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1983</w:t>
            </w:r>
          </w:p>
        </w:tc>
        <w:tc>
          <w:tcPr>
            <w:tcW w:w="1276" w:type="dxa"/>
          </w:tcPr>
          <w:p>
            <w:pPr>
              <w:pStyle w:val="nTable"/>
              <w:spacing w:after="40"/>
            </w:pPr>
            <w:r>
              <w:t>5 Aug 1983 p. 2839</w:t>
            </w:r>
            <w:r>
              <w:noBreakHyphen/>
              <w:t>40</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1985</w:t>
            </w:r>
          </w:p>
        </w:tc>
        <w:tc>
          <w:tcPr>
            <w:tcW w:w="1276" w:type="dxa"/>
          </w:tcPr>
          <w:p>
            <w:pPr>
              <w:pStyle w:val="nTable"/>
              <w:spacing w:after="40"/>
            </w:pPr>
            <w:r>
              <w:t>30 Aug 1985 p. 3081</w:t>
            </w:r>
            <w:r>
              <w:noBreakHyphen/>
              <w:t>2</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1986</w:t>
            </w:r>
          </w:p>
        </w:tc>
        <w:tc>
          <w:tcPr>
            <w:tcW w:w="1276" w:type="dxa"/>
          </w:tcPr>
          <w:p>
            <w:pPr>
              <w:pStyle w:val="nTable"/>
              <w:spacing w:after="40"/>
            </w:pPr>
            <w:r>
              <w:t>8 Aug 1986 p. 2834</w:t>
            </w:r>
            <w:r>
              <w:noBreakHyphen/>
              <w:t>6</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1987</w:t>
            </w:r>
          </w:p>
        </w:tc>
        <w:tc>
          <w:tcPr>
            <w:tcW w:w="1276" w:type="dxa"/>
          </w:tcPr>
          <w:p>
            <w:pPr>
              <w:pStyle w:val="nTable"/>
              <w:spacing w:after="40"/>
            </w:pPr>
            <w:r>
              <w:t>16 Oct 1987 p. 3898</w:t>
            </w:r>
            <w:r>
              <w:noBreakHyphen/>
              <w:t>9</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1988</w:t>
            </w:r>
          </w:p>
        </w:tc>
        <w:tc>
          <w:tcPr>
            <w:tcW w:w="1276" w:type="dxa"/>
          </w:tcPr>
          <w:p>
            <w:pPr>
              <w:pStyle w:val="nTable"/>
              <w:spacing w:after="40"/>
            </w:pPr>
            <w:r>
              <w:t>12 Aug 1988 p. 2713</w:t>
            </w:r>
            <w:r>
              <w:noBreakHyphen/>
              <w:t>14</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1989</w:t>
            </w:r>
          </w:p>
        </w:tc>
        <w:tc>
          <w:tcPr>
            <w:tcW w:w="1276" w:type="dxa"/>
          </w:tcPr>
          <w:p>
            <w:pPr>
              <w:pStyle w:val="nTable"/>
              <w:spacing w:after="40"/>
            </w:pPr>
            <w:r>
              <w:t>23 Jun 1989 p. 1812</w:t>
            </w:r>
            <w:r>
              <w:noBreakHyphen/>
              <w:t>13</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(No. 2) 1989</w:t>
            </w:r>
          </w:p>
        </w:tc>
        <w:tc>
          <w:tcPr>
            <w:tcW w:w="1276" w:type="dxa"/>
          </w:tcPr>
          <w:p>
            <w:pPr>
              <w:pStyle w:val="nTable"/>
              <w:spacing w:after="40"/>
            </w:pPr>
            <w:r>
              <w:t>30 Jun 1989 p. 1924</w:t>
            </w:r>
            <w:r>
              <w:noBreakHyphen/>
              <w:t>6</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(No. 3) 1989</w:t>
            </w:r>
          </w:p>
        </w:tc>
        <w:tc>
          <w:tcPr>
            <w:tcW w:w="1276" w:type="dxa"/>
          </w:tcPr>
          <w:p>
            <w:pPr>
              <w:pStyle w:val="nTable"/>
              <w:spacing w:after="40"/>
            </w:pPr>
            <w:r>
              <w:t>3 Nov 1989 p. 3964</w:t>
            </w:r>
            <w:r>
              <w:noBreakHyphen/>
              <w:t>5</w:t>
            </w:r>
          </w:p>
        </w:tc>
        <w:tc>
          <w:tcPr>
            <w:tcW w:w="2693" w:type="dxa"/>
          </w:tcPr>
          <w:p>
            <w:pPr>
              <w:pStyle w:val="nTable"/>
              <w:spacing w:after="40"/>
            </w:pPr>
            <w:r>
              <w:t>3 Nov 1989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1990</w:t>
            </w:r>
          </w:p>
        </w:tc>
        <w:tc>
          <w:tcPr>
            <w:tcW w:w="1276" w:type="dxa"/>
          </w:tcPr>
          <w:p>
            <w:pPr>
              <w:pStyle w:val="nTable"/>
              <w:spacing w:after="40"/>
            </w:pPr>
            <w:r>
              <w:t>1 Aug 1990 p. 3645</w:t>
            </w:r>
            <w:r>
              <w:noBreakHyphen/>
              <w:t>6</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(Surveys and Certificates of Survey) Amendment Regulations 1991</w:t>
            </w:r>
          </w:p>
        </w:tc>
        <w:tc>
          <w:tcPr>
            <w:tcW w:w="1276" w:type="dxa"/>
          </w:tcPr>
          <w:p>
            <w:pPr>
              <w:pStyle w:val="nTable"/>
              <w:spacing w:after="40"/>
            </w:pPr>
            <w:r>
              <w:t>26 Jul 1991 p. 3930</w:t>
            </w:r>
            <w:r>
              <w:noBreakHyphen/>
              <w:t>3</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lastRenderedPageBreak/>
              <w:t>W.A. Marine (Surveys and Certificates of Survey) Amendment Regulations (No. 2) 1991</w:t>
            </w:r>
          </w:p>
        </w:tc>
        <w:tc>
          <w:tcPr>
            <w:tcW w:w="1276" w:type="dxa"/>
          </w:tcPr>
          <w:p>
            <w:pPr>
              <w:pStyle w:val="nTable"/>
              <w:spacing w:after="40"/>
            </w:pPr>
            <w:r>
              <w:t>13 Dec 1991 p. 6235</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(No. 2) 1992</w:t>
            </w:r>
            <w:r>
              <w:t xml:space="preserve"> Pt. 8</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1992</w:t>
            </w:r>
            <w:r>
              <w:t xml:space="preserve"> Pt. 12</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(Surveys and Certificates of Survey) Amendment Regulations 1993</w:t>
            </w:r>
          </w:p>
        </w:tc>
        <w:tc>
          <w:tcPr>
            <w:tcW w:w="1276" w:type="dxa"/>
          </w:tcPr>
          <w:p>
            <w:pPr>
              <w:pStyle w:val="nTable"/>
              <w:keepNext/>
              <w:spacing w:after="40"/>
            </w:pPr>
            <w:r>
              <w:t>29 Jun 1993 p. 3188</w:t>
            </w:r>
            <w:r>
              <w:noBreakHyphen/>
              <w:t>91</w:t>
            </w:r>
          </w:p>
        </w:tc>
        <w:tc>
          <w:tcPr>
            <w:tcW w:w="2693" w:type="dxa"/>
          </w:tcPr>
          <w:p>
            <w:pPr>
              <w:pStyle w:val="nTable"/>
              <w:keepNext/>
              <w:spacing w:after="40"/>
            </w:pPr>
            <w:r>
              <w:t>1 Jul 1993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1994</w:t>
            </w:r>
            <w:r>
              <w:t xml:space="preserve"> Pt. 8</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1995</w:t>
            </w:r>
            <w:r>
              <w:t xml:space="preserve"> Pt. 6</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1996</w:t>
            </w:r>
            <w:r>
              <w:t xml:space="preserve"> Pt. 6</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1997</w:t>
            </w:r>
            <w:r>
              <w:t xml:space="preserve"> Div. 5</w:t>
            </w:r>
          </w:p>
        </w:tc>
        <w:tc>
          <w:tcPr>
            <w:tcW w:w="1276" w:type="dxa"/>
          </w:tcPr>
          <w:p>
            <w:pPr>
              <w:pStyle w:val="nTable"/>
              <w:keepNext/>
              <w:keepLines/>
              <w:spacing w:after="40"/>
            </w:pPr>
            <w:r>
              <w:t>27 Jun 1997 p. 3141</w:t>
            </w:r>
            <w:r>
              <w:noBreakHyphen/>
              <w:t>6</w:t>
            </w:r>
          </w:p>
        </w:tc>
        <w:tc>
          <w:tcPr>
            <w:tcW w:w="2693" w:type="dxa"/>
          </w:tcPr>
          <w:p>
            <w:pPr>
              <w:pStyle w:val="nTable"/>
              <w:keepNext/>
              <w:keepLines/>
              <w:spacing w:after="40"/>
            </w:pPr>
            <w:r>
              <w:t>1 Jul 1997 (see r. 2)</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1998</w:t>
            </w:r>
            <w:r>
              <w:t xml:space="preserve"> Div. 5</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(Surveys and Certificates of Survey) Amendment Regulations 1998</w:t>
            </w:r>
          </w:p>
        </w:tc>
        <w:tc>
          <w:tcPr>
            <w:tcW w:w="1276" w:type="dxa"/>
          </w:tcPr>
          <w:p>
            <w:pPr>
              <w:pStyle w:val="nTable"/>
              <w:spacing w:after="40"/>
            </w:pPr>
            <w:r>
              <w:t>4 Aug 1998 p. 3990</w:t>
            </w:r>
            <w:r>
              <w:noBreakHyphen/>
              <w:t>1</w:t>
            </w:r>
          </w:p>
        </w:tc>
        <w:tc>
          <w:tcPr>
            <w:tcW w:w="2693" w:type="dxa"/>
          </w:tcPr>
          <w:p>
            <w:pPr>
              <w:pStyle w:val="nTable"/>
              <w:spacing w:after="40"/>
            </w:pPr>
            <w:r>
              <w:t>4 Aug 1998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Western Australian Marine (Surveys and Certificates of Survey) Amendment Regulations 1999</w:t>
            </w:r>
          </w:p>
        </w:tc>
        <w:tc>
          <w:tcPr>
            <w:tcW w:w="1276" w:type="dxa"/>
          </w:tcPr>
          <w:p>
            <w:pPr>
              <w:pStyle w:val="nTable"/>
              <w:spacing w:after="40"/>
            </w:pPr>
            <w:r>
              <w:t>22 Jun 1999 p. 2691</w:t>
            </w:r>
            <w:r>
              <w:noBreakHyphen/>
              <w:t>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W.A. Marine Amendment Regulations 2000</w:t>
            </w:r>
            <w:r>
              <w:t xml:space="preserve"> r. 6</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 Marine Amendment Regulations 2001</w:t>
            </w:r>
            <w:r>
              <w:t xml:space="preserve"> r. 6</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W.A. Marine (Surveys and Certificates of Survey) Amendment Regulations 2002</w:t>
            </w:r>
            <w:r>
              <w:rPr>
                <w:vertAlign w:val="superscript"/>
              </w:rPr>
              <w:t> 2</w:t>
            </w:r>
          </w:p>
        </w:tc>
        <w:tc>
          <w:tcPr>
            <w:tcW w:w="1276" w:type="dxa"/>
          </w:tcPr>
          <w:p>
            <w:pPr>
              <w:pStyle w:val="nTable"/>
              <w:spacing w:after="40"/>
            </w:pPr>
            <w:r>
              <w:t>22 Mar 2002 p. 1656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W.A. Marine Amendment Regulations 2002</w:t>
            </w:r>
            <w:r>
              <w:t xml:space="preserve"> r. 6</w:t>
            </w:r>
          </w:p>
        </w:tc>
        <w:tc>
          <w:tcPr>
            <w:tcW w:w="1276" w:type="dxa"/>
          </w:tcPr>
          <w:p>
            <w:pPr>
              <w:pStyle w:val="nTable"/>
              <w:spacing w:after="40"/>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b/>
              </w:rPr>
            </w:pPr>
            <w:r>
              <w:rPr>
                <w:i/>
              </w:rPr>
              <w:lastRenderedPageBreak/>
              <w:t>W.A. Marine (Surveys and Certificates of Survey) Amendment Regulations 2003</w:t>
            </w:r>
          </w:p>
        </w:tc>
        <w:tc>
          <w:tcPr>
            <w:tcW w:w="1276" w:type="dxa"/>
          </w:tcPr>
          <w:p>
            <w:pPr>
              <w:pStyle w:val="nTable"/>
              <w:spacing w:after="40"/>
            </w:pPr>
            <w:r>
              <w:rPr>
                <w:color w:val="000000"/>
              </w:rPr>
              <w:t>27 Jun 2003 p. 2529</w:t>
            </w:r>
            <w:r>
              <w:rPr>
                <w:color w:val="000000"/>
              </w:rPr>
              <w:noBreakHyphen/>
              <w:t>31</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2004</w:t>
            </w:r>
          </w:p>
        </w:tc>
        <w:tc>
          <w:tcPr>
            <w:tcW w:w="1276" w:type="dxa"/>
          </w:tcPr>
          <w:p>
            <w:pPr>
              <w:pStyle w:val="nTable"/>
              <w:spacing w:after="40"/>
              <w:rPr>
                <w:color w:val="000000"/>
              </w:rPr>
            </w:pPr>
            <w:r>
              <w:rPr>
                <w:color w:val="000000"/>
              </w:rPr>
              <w:t>25 Jun 2004 p. 2250</w:t>
            </w:r>
            <w:r>
              <w:rPr>
                <w:color w:val="000000"/>
              </w:rPr>
              <w:noBreakHyphen/>
              <w:t>60</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2005</w:t>
            </w:r>
          </w:p>
        </w:tc>
        <w:tc>
          <w:tcPr>
            <w:tcW w:w="1276" w:type="dxa"/>
          </w:tcPr>
          <w:p>
            <w:pPr>
              <w:pStyle w:val="nTable"/>
              <w:spacing w:after="40"/>
              <w:rPr>
                <w:color w:val="000000"/>
              </w:rPr>
            </w:pPr>
            <w:r>
              <w:rPr>
                <w:color w:val="000000"/>
              </w:rPr>
              <w:t>24 Jun 2005 p. 2784</w:t>
            </w:r>
            <w:r>
              <w:rPr>
                <w:color w:val="000000"/>
              </w:rP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2006</w:t>
            </w:r>
          </w:p>
        </w:tc>
        <w:tc>
          <w:tcPr>
            <w:tcW w:w="1276" w:type="dxa"/>
          </w:tcPr>
          <w:p>
            <w:pPr>
              <w:pStyle w:val="nTable"/>
              <w:spacing w:after="40"/>
              <w:rPr>
                <w:color w:val="000000"/>
              </w:rPr>
            </w:pPr>
            <w:r>
              <w:rPr>
                <w:color w:val="000000"/>
              </w:rPr>
              <w:t>23 Jun 2006 p. 2214</w:t>
            </w:r>
            <w:r>
              <w:rPr>
                <w:color w:val="000000"/>
              </w:rPr>
              <w:noBreakHyphen/>
              <w:t>19</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2007</w:t>
            </w:r>
          </w:p>
        </w:tc>
        <w:tc>
          <w:tcPr>
            <w:tcW w:w="1276" w:type="dxa"/>
          </w:tcPr>
          <w:p>
            <w:pPr>
              <w:pStyle w:val="nTable"/>
              <w:spacing w:after="40"/>
              <w:rPr>
                <w:color w:val="000000"/>
              </w:rPr>
            </w:pPr>
            <w:r>
              <w:rPr>
                <w:color w:val="000000"/>
              </w:rPr>
              <w:t>22 Jun 2007 p. 2853</w:t>
            </w:r>
            <w:r>
              <w:rPr>
                <w:color w:val="000000"/>
              </w:rP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2008</w:t>
            </w:r>
          </w:p>
        </w:tc>
        <w:tc>
          <w:tcPr>
            <w:tcW w:w="1276" w:type="dxa"/>
          </w:tcPr>
          <w:p>
            <w:pPr>
              <w:pStyle w:val="nTable"/>
              <w:spacing w:after="40"/>
              <w:rPr>
                <w:color w:val="000000"/>
              </w:rPr>
            </w:pPr>
            <w:r>
              <w:rPr>
                <w:color w:val="000000"/>
              </w:rPr>
              <w:t>24 Jun 2008 p. 2898</w:t>
            </w:r>
            <w:r>
              <w:rPr>
                <w:color w:val="000000"/>
              </w:rPr>
              <w:noBreakHyphen/>
              <w:t>903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(No. 2) 2008</w:t>
            </w:r>
          </w:p>
        </w:tc>
        <w:tc>
          <w:tcPr>
            <w:tcW w:w="1276" w:type="dxa"/>
          </w:tcPr>
          <w:p>
            <w:pPr>
              <w:pStyle w:val="nTable"/>
              <w:spacing w:after="40"/>
              <w:rPr>
                <w:color w:val="000000"/>
              </w:rPr>
            </w:pPr>
            <w:r>
              <w:rPr>
                <w:color w:val="000000"/>
              </w:rPr>
              <w:t>24 Oct 2008 p. 4678</w:t>
            </w:r>
            <w:r>
              <w:rPr>
                <w:color w:val="000000"/>
              </w:rPr>
              <w:noBreakHyphen/>
              <w:t>82</w:t>
            </w:r>
          </w:p>
        </w:tc>
        <w:tc>
          <w:tcPr>
            <w:tcW w:w="2693" w:type="dxa"/>
          </w:tcPr>
          <w:p>
            <w:pPr>
              <w:pStyle w:val="nTable"/>
              <w:spacing w:after="40"/>
            </w:pPr>
            <w:r>
              <w:t>r</w:t>
            </w:r>
            <w:r>
              <w:rPr>
                <w:snapToGrid w:val="0"/>
              </w:rPr>
              <w:t>.</w:t>
            </w:r>
            <w:r>
              <w:t> 1 and 2: 24 Oct 2008 (see r. 2(a));</w:t>
            </w:r>
            <w:r>
              <w:br/>
              <w:t>Regulations other than r. 1 and 2: 25 Oct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W.A. Marine (Surveys and Certificates of Survey) Amendment Regulations 2009</w:t>
            </w:r>
          </w:p>
        </w:tc>
        <w:tc>
          <w:tcPr>
            <w:tcW w:w="1276" w:type="dxa"/>
          </w:tcPr>
          <w:p>
            <w:pPr>
              <w:pStyle w:val="nTable"/>
              <w:spacing w:after="40"/>
              <w:rPr>
                <w:color w:val="000000"/>
              </w:rPr>
            </w:pPr>
            <w:r>
              <w:rPr>
                <w:color w:val="000000"/>
              </w:rPr>
              <w:t>12 Jun 2009 p. 2121</w:t>
            </w:r>
            <w:r>
              <w:rPr>
                <w:color w:val="000000"/>
              </w:rPr>
              <w:noBreakHyphen/>
              <w:t>6</w:t>
            </w:r>
          </w:p>
        </w:tc>
        <w:tc>
          <w:tcPr>
            <w:tcW w:w="2693" w:type="dxa"/>
          </w:tcPr>
          <w:p>
            <w:pPr>
              <w:pStyle w:val="nTable"/>
              <w:spacing w:after="40"/>
            </w:pPr>
            <w:r>
              <w:t>r</w:t>
            </w:r>
            <w:r>
              <w:rPr>
                <w:snapToGrid w:val="0"/>
              </w:rPr>
              <w:t>.</w:t>
            </w:r>
            <w:r>
              <w:t>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11</w:t>
            </w:r>
          </w:p>
        </w:tc>
        <w:tc>
          <w:tcPr>
            <w:tcW w:w="1276" w:type="dxa"/>
          </w:tcPr>
          <w:p>
            <w:pPr>
              <w:pStyle w:val="nTable"/>
              <w:spacing w:after="40"/>
            </w:pPr>
            <w:r>
              <w:t>11 Dec 2009 p. 5087</w:t>
            </w:r>
            <w:r>
              <w:noBreakHyphen/>
              <w:t>109</w:t>
            </w:r>
          </w:p>
        </w:tc>
        <w:tc>
          <w:tcPr>
            <w:tcW w:w="2693" w:type="dxa"/>
          </w:tcPr>
          <w:p>
            <w:pPr>
              <w:pStyle w:val="nTable"/>
              <w:spacing w:after="40"/>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(Surveys and Certificates of Survey) Amendment Regulations 2010</w:t>
            </w:r>
          </w:p>
        </w:tc>
        <w:tc>
          <w:tcPr>
            <w:tcW w:w="1276" w:type="dxa"/>
          </w:tcPr>
          <w:p>
            <w:pPr>
              <w:pStyle w:val="nTable"/>
              <w:spacing w:after="40"/>
            </w:pPr>
            <w:r>
              <w:t>18 Jun 2010 p. 2684-9</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(Surveys and Certificates of Survey) Amendment Regulations 2011</w:t>
            </w:r>
          </w:p>
        </w:tc>
        <w:tc>
          <w:tcPr>
            <w:tcW w:w="1276" w:type="dxa"/>
          </w:tcPr>
          <w:p>
            <w:pPr>
              <w:pStyle w:val="nTable"/>
              <w:spacing w:after="40"/>
            </w:pPr>
            <w:r>
              <w:t>20 May 2011 p. 1853</w:t>
            </w:r>
          </w:p>
        </w:tc>
        <w:tc>
          <w:tcPr>
            <w:tcW w:w="2693" w:type="dxa"/>
          </w:tcPr>
          <w:p>
            <w:pPr>
              <w:pStyle w:val="nTable"/>
              <w:spacing w:after="40"/>
            </w:pPr>
            <w:r>
              <w:t>r. 1 and 2: 20 May 2011 (see r. 2(a));</w:t>
            </w:r>
            <w:r>
              <w:br/>
              <w:t>Regulations other than r. 1 and 2: 21 May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(No. 2) 2011</w:t>
            </w:r>
          </w:p>
        </w:tc>
        <w:tc>
          <w:tcPr>
            <w:tcW w:w="1276" w:type="dxa"/>
            <w:shd w:val="clear" w:color="auto" w:fill="auto"/>
          </w:tcPr>
          <w:p>
            <w:pPr>
              <w:pStyle w:val="nTable"/>
              <w:spacing w:after="40"/>
            </w:pPr>
            <w:r>
              <w:t>21 Jun 2011 p. 2233-9</w:t>
            </w:r>
          </w:p>
        </w:tc>
        <w:tc>
          <w:tcPr>
            <w:tcW w:w="2693" w:type="dxa"/>
            <w:shd w:val="clear" w:color="auto" w:fill="auto"/>
          </w:tcPr>
          <w:p>
            <w:pPr>
              <w:pStyle w:val="nTable"/>
              <w:spacing w:after="40"/>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2012</w:t>
            </w:r>
          </w:p>
        </w:tc>
        <w:tc>
          <w:tcPr>
            <w:tcW w:w="1276" w:type="dxa"/>
            <w:shd w:val="clear" w:color="auto" w:fill="auto"/>
          </w:tcPr>
          <w:p>
            <w:pPr>
              <w:pStyle w:val="nTable"/>
              <w:spacing w:after="40"/>
            </w:pPr>
            <w:r>
              <w:t>29 Jun 2012 p. 2954-60</w:t>
            </w:r>
          </w:p>
        </w:tc>
        <w:tc>
          <w:tcPr>
            <w:tcW w:w="2693" w:type="dxa"/>
            <w:shd w:val="clear" w:color="auto" w:fill="auto"/>
          </w:tcPr>
          <w:p>
            <w:pPr>
              <w:pStyle w:val="nTable"/>
              <w:spacing w:after="40"/>
            </w:pPr>
            <w:r>
              <w:t>r. 1 and 2: 29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2013</w:t>
            </w:r>
          </w:p>
        </w:tc>
        <w:tc>
          <w:tcPr>
            <w:tcW w:w="1276" w:type="dxa"/>
            <w:shd w:val="clear" w:color="auto" w:fill="auto"/>
          </w:tcPr>
          <w:p>
            <w:pPr>
              <w:pStyle w:val="nTable"/>
              <w:spacing w:after="40"/>
            </w:pPr>
            <w:r>
              <w:t>28 Jun 2013 p. 2773-6</w:t>
            </w:r>
          </w:p>
        </w:tc>
        <w:tc>
          <w:tcPr>
            <w:tcW w:w="2693" w:type="dxa"/>
            <w:shd w:val="clear" w:color="auto" w:fill="auto"/>
          </w:tcPr>
          <w:p>
            <w:pPr>
              <w:pStyle w:val="nTable"/>
              <w:spacing w:after="40"/>
              <w:rPr>
                <w:b/>
              </w:rPr>
            </w:pPr>
            <w:r>
              <w:t>r. 1 and 2: 28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2014</w:t>
            </w:r>
          </w:p>
        </w:tc>
        <w:tc>
          <w:tcPr>
            <w:tcW w:w="1276" w:type="dxa"/>
            <w:shd w:val="clear" w:color="auto" w:fill="auto"/>
          </w:tcPr>
          <w:p>
            <w:pPr>
              <w:pStyle w:val="nTable"/>
              <w:spacing w:after="40"/>
            </w:pPr>
            <w:r>
              <w:t>30 May 2014 p. 1689</w:t>
            </w:r>
          </w:p>
        </w:tc>
        <w:tc>
          <w:tcPr>
            <w:tcW w:w="2693" w:type="dxa"/>
            <w:shd w:val="clear" w:color="auto" w:fill="auto"/>
          </w:tcPr>
          <w:p>
            <w:pPr>
              <w:pStyle w:val="nTable"/>
              <w:spacing w:after="40"/>
            </w:pPr>
            <w:r>
              <w:t>r. 1 and 2: 30 May 2014 (see r. 2(a));</w:t>
            </w:r>
            <w: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(Surveys and Certificates of Survey) Amendment Regulations 2015</w:t>
            </w:r>
          </w:p>
        </w:tc>
        <w:tc>
          <w:tcPr>
            <w:tcW w:w="1276" w:type="dxa"/>
            <w:shd w:val="clear" w:color="auto" w:fill="auto"/>
          </w:tcPr>
          <w:p>
            <w:pPr>
              <w:pStyle w:val="nTable"/>
              <w:spacing w:after="40"/>
            </w:pPr>
            <w:r>
              <w:t>12 Jun 2015 p. 2031</w:t>
            </w:r>
          </w:p>
        </w:tc>
        <w:tc>
          <w:tcPr>
            <w:tcW w:w="2693" w:type="dxa"/>
            <w:shd w:val="clear" w:color="auto" w:fill="auto"/>
          </w:tcPr>
          <w:p>
            <w:pPr>
              <w:pStyle w:val="nTable"/>
              <w:spacing w:after="40"/>
            </w:pPr>
            <w:r>
              <w:t>r. 1 and 2: 12 Jun 2015 (see r. 2(a));</w:t>
            </w:r>
            <w: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Transport Regulations Amendment (Fees and Charges) Regulations (No. 2) 2016 </w:t>
            </w:r>
            <w:r>
              <w:t>Pt. 8</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2017</w:t>
            </w:r>
            <w:r>
              <w:t xml:space="preserve"> Pt. 9</w:t>
            </w:r>
          </w:p>
        </w:tc>
        <w:tc>
          <w:tcPr>
            <w:tcW w:w="1276" w:type="dxa"/>
            <w:shd w:val="clear" w:color="auto" w:fill="auto"/>
          </w:tcPr>
          <w:p>
            <w:pPr>
              <w:pStyle w:val="nTable"/>
              <w:spacing w:after="40"/>
            </w:pPr>
            <w:r>
              <w:t>23 Jun 2017 p. 3253</w:t>
            </w:r>
            <w:r>
              <w:noBreakHyphen/>
              <w:t>78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2019</w:t>
            </w:r>
            <w:r>
              <w:t xml:space="preserve"> Pt. 9</w:t>
            </w:r>
          </w:p>
        </w:tc>
        <w:tc>
          <w:tcPr>
            <w:tcW w:w="1276" w:type="dxa"/>
            <w:shd w:val="clear" w:color="auto" w:fill="auto"/>
          </w:tcPr>
          <w:p>
            <w:pPr>
              <w:pStyle w:val="nTable"/>
              <w:spacing w:after="40"/>
            </w:pPr>
            <w:r>
              <w:t>31 May 2019 p. 1721</w:t>
            </w:r>
            <w:r>
              <w:noBreakHyphen/>
              <w:t>8</w:t>
            </w:r>
          </w:p>
        </w:tc>
        <w:tc>
          <w:tcPr>
            <w:tcW w:w="2693" w:type="dxa"/>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10</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bottom w:val="nil"/>
            </w:tcBorders>
            <w:shd w:val="clear" w:color="auto" w:fill="auto"/>
          </w:tcPr>
          <w:p>
            <w:pPr>
              <w:pStyle w:val="nTable"/>
              <w:spacing w:after="40"/>
              <w:ind w:right="113"/>
              <w:rPr>
                <w:i/>
              </w:rPr>
            </w:pPr>
            <w:r>
              <w:rPr>
                <w:i/>
              </w:rPr>
              <w:lastRenderedPageBreak/>
              <w:t>Transport Regulations Amendment (Fees and Charges) Regulations (No. 2) 2022</w:t>
            </w:r>
            <w:r>
              <w:t xml:space="preserve"> Pt. 10</w:t>
            </w:r>
          </w:p>
        </w:tc>
        <w:tc>
          <w:tcPr>
            <w:tcW w:w="1276" w:type="dxa"/>
            <w:tcBorders>
              <w:bottom w:val="nil"/>
            </w:tcBorders>
            <w:shd w:val="clear" w:color="auto" w:fill="auto"/>
          </w:tcPr>
          <w:p>
            <w:pPr>
              <w:pStyle w:val="nTable"/>
              <w:spacing w:after="40"/>
            </w:pPr>
            <w:r>
              <w:t>SL 2022/67 3 Jun 2022</w:t>
            </w:r>
          </w:p>
        </w:tc>
        <w:tc>
          <w:tcPr>
            <w:tcW w:w="2693" w:type="dxa"/>
            <w:tcBorders>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2023</w:t>
            </w:r>
            <w:r>
              <w:t xml:space="preserve"> Pt. 13</w:t>
            </w:r>
          </w:p>
        </w:tc>
        <w:tc>
          <w:tcPr>
            <w:tcW w:w="1276" w:type="dxa"/>
            <w:tcBorders>
              <w:bottom w:val="single" w:sz="4" w:space="0" w:color="auto"/>
            </w:tcBorders>
            <w:shd w:val="clear" w:color="auto" w:fill="auto"/>
          </w:tcPr>
          <w:p>
            <w:pPr>
              <w:pStyle w:val="nTable"/>
              <w:spacing w:after="40"/>
            </w:pPr>
            <w:r>
              <w:t>SL 2023/45 19 May 2023</w:t>
            </w:r>
          </w:p>
        </w:tc>
        <w:tc>
          <w:tcPr>
            <w:tcW w:w="2693" w:type="dxa"/>
            <w:tcBorders>
              <w:bottom w:val="single" w:sz="4" w:space="0" w:color="auto"/>
            </w:tcBorders>
            <w:shd w:val="clear" w:color="auto" w:fill="auto"/>
          </w:tcPr>
          <w:p>
            <w:pPr>
              <w:pStyle w:val="nTable"/>
              <w:spacing w:after="40"/>
            </w:pPr>
            <w:r>
              <w:t>1 Jul 2023 (see r. 2(c))</w:t>
            </w:r>
          </w:p>
        </w:tc>
      </w:tr>
    </w:tbl>
    <w:p>
      <w:pPr>
        <w:pStyle w:val="nHeading3"/>
      </w:pPr>
      <w:bookmarkStart w:id="43" w:name="_Toc155176990"/>
      <w:r>
        <w:t>Other notes</w:t>
      </w:r>
      <w:bookmarkEnd w:id="43"/>
    </w:p>
    <w:p>
      <w:pPr>
        <w:pStyle w:val="nNote"/>
        <w:spacing w:before="160"/>
      </w:pPr>
      <w:r>
        <w:rPr>
          <w:vertAlign w:val="superscript"/>
        </w:rPr>
        <w:t>1</w:t>
      </w:r>
      <w:r>
        <w:tab/>
        <w:t>The Standards Association of Australia has changed its corporate status and its name. It is now Standards Australia International Limited (ACN 087 326 690). It also trades as Standards Australia.</w:t>
      </w:r>
    </w:p>
    <w:p>
      <w:pPr>
        <w:pStyle w:val="nNote"/>
        <w:keepNext/>
        <w:spacing w:before="120"/>
      </w:pPr>
      <w:r>
        <w:rPr>
          <w:vertAlign w:val="superscript"/>
        </w:rPr>
        <w:t>2</w:t>
      </w:r>
      <w:r>
        <w:tab/>
        <w:t xml:space="preserve">The </w:t>
      </w:r>
      <w:r>
        <w:rPr>
          <w:i/>
        </w:rPr>
        <w:t>W.A. Marine (Surveys and Certificates of Survey) Amendment Regulations 2002</w:t>
      </w:r>
      <w:r>
        <w:t xml:space="preserve"> r. 4 reads as follows:</w:t>
      </w:r>
    </w:p>
    <w:p>
      <w:pPr>
        <w:pStyle w:val="BlankOpen"/>
      </w:pPr>
    </w:p>
    <w:p>
      <w:pPr>
        <w:pStyle w:val="nzHeading5"/>
      </w:pPr>
      <w:r>
        <w:rPr>
          <w:rStyle w:val="CharSectno"/>
        </w:rPr>
        <w:t>4</w:t>
      </w:r>
      <w:r>
        <w:t>.</w:t>
      </w:r>
      <w:r>
        <w:tab/>
        <w:t>Saving</w:t>
      </w:r>
    </w:p>
    <w:p>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pPr>
        <w:pStyle w:val="BlankClose"/>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45" w:name="_Toc155176991"/>
      <w:r>
        <w:rPr>
          <w:sz w:val="28"/>
        </w:rPr>
        <w:lastRenderedPageBreak/>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3(1)</w:t>
      </w:r>
    </w:p>
    <w:p>
      <w:pPr>
        <w:pStyle w:val="DefinedTerms"/>
      </w:pPr>
      <w:r>
        <w:t>Code</w:t>
      </w:r>
      <w:r>
        <w:tab/>
        <w:t>3(1)</w:t>
      </w:r>
    </w:p>
    <w:p>
      <w:pPr>
        <w:pStyle w:val="DefinedTerms"/>
      </w:pPr>
      <w:r>
        <w:t>inspection</w:t>
      </w:r>
      <w:r>
        <w:tab/>
        <w:t>3(1)</w:t>
      </w:r>
    </w:p>
    <w:p>
      <w:pPr>
        <w:pStyle w:val="DefinedTerms"/>
      </w:pPr>
      <w:r>
        <w:t>List 7 vessel</w:t>
      </w:r>
      <w:r>
        <w:tab/>
        <w:t>3(1)</w:t>
      </w:r>
    </w:p>
    <w:p>
      <w:pPr>
        <w:pStyle w:val="DefinedTerms"/>
      </w:pPr>
      <w:r>
        <w:t>marine authority</w:t>
      </w:r>
      <w:r>
        <w:tab/>
        <w:t>3(1)</w:t>
      </w:r>
    </w:p>
    <w:p>
      <w:pPr>
        <w:pStyle w:val="DefinedTerms"/>
      </w:pPr>
      <w:r>
        <w:t>measured length</w:t>
      </w:r>
      <w:r>
        <w:tab/>
        <w:t>3(1)</w:t>
      </w:r>
    </w:p>
    <w:p>
      <w:pPr>
        <w:pStyle w:val="DefinedTerms"/>
      </w:pPr>
      <w:r>
        <w:t>NSCV Part C Section 6A</w:t>
      </w:r>
      <w:r>
        <w:tab/>
        <w:t>3(1)</w:t>
      </w:r>
    </w:p>
    <w:p>
      <w:pPr>
        <w:pStyle w:val="DefinedTerms"/>
      </w:pPr>
      <w:r>
        <w:t>specified form</w:t>
      </w:r>
      <w:r>
        <w:tab/>
        <w:t>3(1)</w:t>
      </w:r>
    </w:p>
    <w:p>
      <w:pPr>
        <w:pStyle w:val="DefinedTerms"/>
      </w:pPr>
      <w:r>
        <w:t>survey</w:t>
      </w:r>
      <w:r>
        <w:tab/>
        <w:t>3(1)</w:t>
      </w:r>
    </w:p>
    <w:p>
      <w:pPr>
        <w:pStyle w:val="DefinedTerms"/>
      </w:pPr>
      <w:r>
        <w:t>survey authority</w:t>
      </w:r>
      <w:r>
        <w:tab/>
        <w:t>3(1)</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1DDDB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EEF1408" w14:textId="59E5F2F2" w:rsidR="004B0DB0" w:rsidRDefault="004B0DB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4E0420E" w14:textId="77777777" w:rsidR="004B0DB0" w:rsidRDefault="004B0DB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A531A68" w14:textId="465BB0C3" w:rsidR="004B0DB0" w:rsidRDefault="004B0DB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128E36B" w14:textId="77777777" w:rsidR="004B0DB0" w:rsidRDefault="004B0DB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05-r0-01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r>
      <w:trPr>
        <w:jc w:val="center"/>
      </w:trP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472"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r>
      <w:trPr>
        <w:jc w:val="center"/>
      </w:trP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 w:name="Coversheet"/>
    <w:bookmarkEnd w:id="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319"/>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 w:name="WAFER_20190530154009" w:val="RemoveTocBookmarks,RemoveUnusedBookmarks,RemoveLanguageTags,ResetPageSize,RunningHeaders,UpdateStyles,UsedStyles"/>
    <w:docVar w:name="WAFER_20190530154009_GUID" w:val="12450905-2023-4865-ac15-28a629712eb9"/>
    <w:docVar w:name="WAFER_20210617130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7130126_GUID" w:val="bd7ce902-964d-449e-a6e4-1c6ea788dff5"/>
    <w:docVar w:name="WAFER_202106251123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341_GUID" w:val="4bdb6acc-7755-45d4-b063-4c45a0a555cf"/>
    <w:docVar w:name="WAFER_202206011448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44858_GUID" w:val="aa246e58-ae74-4f8f-91b1-8bb25fab9151"/>
    <w:docVar w:name="WAFER_202206241224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58_GUID" w:val="faac2425-9231-49fd-b321-099373a10a6c"/>
    <w:docVar w:name="WAFER_20230516144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18_GUID" w:val="60132d84-295e-4dba-add1-ce51057b0dc9"/>
    <w:docVar w:name="WAFER_20230629112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2543_GUID" w:val="a864ab90-c28e-4b94-9cad-44b162196aa5"/>
    <w:docVar w:name="WAFER_202312290853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319_GUID" w:val="e1028007-fe21-4ec4-92a3-2aeaaf9f7c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76BF0F70-0185-4F6D-B9D0-FDE15D50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88E0-4254-4565-90F5-38F849EF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10861</Words>
  <Characters>51378</Characters>
  <Application>Microsoft Office Word</Application>
  <DocSecurity>0</DocSecurity>
  <Lines>2140</Lines>
  <Paragraphs>1270</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1983 - 05-r0-01</dc:title>
  <dc:subject/>
  <dc:creator/>
  <cp:keywords/>
  <dc:description/>
  <cp:lastModifiedBy>Master Repository Process</cp:lastModifiedBy>
  <cp:revision>4</cp:revision>
  <cp:lastPrinted>2019-06-21T07:58:00Z</cp:lastPrinted>
  <dcterms:created xsi:type="dcterms:W3CDTF">2024-01-03T04:22:00Z</dcterms:created>
  <dcterms:modified xsi:type="dcterms:W3CDTF">2024-01-03T04:22:00Z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AsAtDate">
    <vt:lpwstr>01 Jul 2023</vt:lpwstr>
  </property>
  <property fmtid="{D5CDD505-2E9C-101B-9397-08002B2CF9AE}" pid="8" name="Suffix">
    <vt:lpwstr>05-r0-01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