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_Toc155171783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_Toc155171784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_Toc155171785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Tribunal established</w:t>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_Toc155171787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Inquiries, determinations and reports</w:t>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_Toc155171789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_Toc155171790 \h </w:instrText>
      </w:r>
      <w:r>
        <w:fldChar w:fldCharType="separate"/>
      </w:r>
      <w:r>
        <w:t>7</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_Toc155171791 \h </w:instrText>
      </w:r>
      <w:r>
        <w:fldChar w:fldCharType="separate"/>
      </w:r>
      <w:r>
        <w:t>11</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_Toc155171792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_Toc155171793 \h </w:instrText>
      </w:r>
      <w:r>
        <w:fldChar w:fldCharType="separate"/>
      </w:r>
      <w:r>
        <w:t>12</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_Toc155171794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_Toc155171795 \h </w:instrText>
      </w:r>
      <w:r>
        <w:fldChar w:fldCharType="separate"/>
      </w:r>
      <w:r>
        <w:t>14</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_Toc155171796 \h </w:instrText>
      </w:r>
      <w:r>
        <w:fldChar w:fldCharType="separate"/>
      </w:r>
      <w:r>
        <w:t>15</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_Toc155171797 \h </w:instrText>
      </w:r>
      <w:r>
        <w:fldChar w:fldCharType="separate"/>
      </w:r>
      <w:r>
        <w:t>16</w:t>
      </w:r>
      <w:r>
        <w:fldChar w:fldCharType="end"/>
      </w:r>
    </w:p>
    <w:p>
      <w:pPr>
        <w:pStyle w:val="TOC8"/>
        <w:rPr>
          <w:rFonts w:asciiTheme="minorHAnsi" w:eastAsiaTheme="minorEastAsia" w:hAnsiTheme="minorHAnsi" w:cstheme="minorBidi"/>
          <w:szCs w:val="22"/>
        </w:rPr>
      </w:pPr>
      <w:r>
        <w:t>7BA.</w:t>
      </w:r>
      <w:r>
        <w:tab/>
        <w:t>Term used: Government entity</w:t>
      </w:r>
      <w:r>
        <w:tab/>
      </w:r>
      <w:r>
        <w:fldChar w:fldCharType="begin"/>
      </w:r>
      <w:r>
        <w:instrText xml:space="preserve"> PAGEREF _Toc155171798 \h </w:instrText>
      </w:r>
      <w:r>
        <w:fldChar w:fldCharType="separate"/>
      </w:r>
      <w:r>
        <w:t>16</w:t>
      </w:r>
      <w:r>
        <w:fldChar w:fldCharType="end"/>
      </w:r>
    </w:p>
    <w:p>
      <w:pPr>
        <w:pStyle w:val="TOC8"/>
        <w:rPr>
          <w:rFonts w:asciiTheme="minorHAnsi" w:eastAsiaTheme="minorEastAsia" w:hAnsiTheme="minorHAnsi" w:cstheme="minorBidi"/>
          <w:szCs w:val="22"/>
        </w:rPr>
      </w:pPr>
      <w:r>
        <w:t>7C.</w:t>
      </w:r>
      <w:r>
        <w:tab/>
        <w:t>Determinations as to remuneration of executive officers of Government entities</w:t>
      </w:r>
      <w:r>
        <w:tab/>
      </w:r>
      <w:r>
        <w:fldChar w:fldCharType="begin"/>
      </w:r>
      <w:r>
        <w:instrText xml:space="preserve"> PAGEREF _Toc155171799 \h </w:instrText>
      </w:r>
      <w:r>
        <w:fldChar w:fldCharType="separate"/>
      </w:r>
      <w:r>
        <w:t>17</w:t>
      </w:r>
      <w:r>
        <w:fldChar w:fldCharType="end"/>
      </w:r>
    </w:p>
    <w:p>
      <w:pPr>
        <w:pStyle w:val="TOC8"/>
        <w:rPr>
          <w:rFonts w:asciiTheme="minorHAnsi" w:eastAsiaTheme="minorEastAsia" w:hAnsiTheme="minorHAnsi" w:cstheme="minorBidi"/>
          <w:szCs w:val="22"/>
        </w:rPr>
      </w:pPr>
      <w:r>
        <w:lastRenderedPageBreak/>
        <w:t>7D.</w:t>
      </w:r>
      <w:r>
        <w:tab/>
        <w:t>Determinations as to remuneration of directors of certain Government entities</w:t>
      </w:r>
      <w:r>
        <w:tab/>
      </w:r>
      <w:r>
        <w:fldChar w:fldCharType="begin"/>
      </w:r>
      <w:r>
        <w:instrText xml:space="preserve"> PAGEREF _Toc155171800 \h </w:instrText>
      </w:r>
      <w:r>
        <w:fldChar w:fldCharType="separate"/>
      </w:r>
      <w:r>
        <w:t>17</w:t>
      </w:r>
      <w:r>
        <w:fldChar w:fldCharType="end"/>
      </w:r>
    </w:p>
    <w:p>
      <w:pPr>
        <w:pStyle w:val="TOC8"/>
        <w:rPr>
          <w:rFonts w:asciiTheme="minorHAnsi" w:eastAsiaTheme="minorEastAsia" w:hAnsiTheme="minorHAnsi" w:cstheme="minorBidi"/>
          <w:szCs w:val="22"/>
        </w:rPr>
      </w:pPr>
      <w:r>
        <w:t>7E.</w:t>
      </w:r>
      <w:r>
        <w:tab/>
        <w:t>Determinations as to allowance for directors of certain GTEs: audit and risk committee members</w:t>
      </w:r>
      <w:r>
        <w:tab/>
      </w:r>
      <w:r>
        <w:fldChar w:fldCharType="begin"/>
      </w:r>
      <w:r>
        <w:instrText xml:space="preserve"> PAGEREF _Toc155171801 \h </w:instrText>
      </w:r>
      <w:r>
        <w:fldChar w:fldCharType="separate"/>
      </w:r>
      <w:r>
        <w:t>18</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_Toc155171802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_Toc155171803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_Toc155171804 \h </w:instrText>
      </w:r>
      <w:r>
        <w:fldChar w:fldCharType="separate"/>
      </w:r>
      <w:r>
        <w:t>20</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_Toc155171805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No remuneration increases before 1 July 2021</w:t>
      </w:r>
    </w:p>
    <w:p>
      <w:pPr>
        <w:pStyle w:val="TOC8"/>
        <w:rPr>
          <w:rFonts w:asciiTheme="minorHAnsi" w:eastAsiaTheme="minorEastAsia" w:hAnsiTheme="minorHAnsi" w:cstheme="minorBidi"/>
          <w:szCs w:val="22"/>
        </w:rPr>
      </w:pPr>
      <w:r>
        <w:t>10B.</w:t>
      </w:r>
      <w:r>
        <w:tab/>
        <w:t>Term used: commencement day</w:t>
      </w:r>
      <w:r>
        <w:tab/>
      </w:r>
      <w:r>
        <w:fldChar w:fldCharType="begin"/>
      </w:r>
      <w:r>
        <w:instrText xml:space="preserve"> PAGEREF _Toc155171807 \h </w:instrText>
      </w:r>
      <w:r>
        <w:fldChar w:fldCharType="separate"/>
      </w:r>
      <w:r>
        <w:t>24</w:t>
      </w:r>
      <w:r>
        <w:fldChar w:fldCharType="end"/>
      </w:r>
    </w:p>
    <w:p>
      <w:pPr>
        <w:pStyle w:val="TOC8"/>
        <w:rPr>
          <w:rFonts w:asciiTheme="minorHAnsi" w:eastAsiaTheme="minorEastAsia" w:hAnsiTheme="minorHAnsi" w:cstheme="minorBidi"/>
          <w:szCs w:val="22"/>
        </w:rPr>
      </w:pPr>
      <w:r>
        <w:t>10C.</w:t>
      </w:r>
      <w:r>
        <w:tab/>
        <w:t>No increases in Governor’s remuneration before 1 July 2021</w:t>
      </w:r>
      <w:r>
        <w:tab/>
      </w:r>
      <w:r>
        <w:fldChar w:fldCharType="begin"/>
      </w:r>
      <w:r>
        <w:instrText xml:space="preserve"> PAGEREF _Toc155171808 \h </w:instrText>
      </w:r>
      <w:r>
        <w:fldChar w:fldCharType="separate"/>
      </w:r>
      <w:r>
        <w:t>24</w:t>
      </w:r>
      <w:r>
        <w:fldChar w:fldCharType="end"/>
      </w:r>
    </w:p>
    <w:p>
      <w:pPr>
        <w:pStyle w:val="TOC8"/>
        <w:rPr>
          <w:rFonts w:asciiTheme="minorHAnsi" w:eastAsiaTheme="minorEastAsia" w:hAnsiTheme="minorHAnsi" w:cstheme="minorBidi"/>
          <w:szCs w:val="22"/>
        </w:rPr>
      </w:pPr>
      <w:r>
        <w:t>10D.</w:t>
      </w:r>
      <w:r>
        <w:tab/>
        <w:t>No increases in remuneration under s. 6 before 1 July 2021</w:t>
      </w:r>
      <w:r>
        <w:tab/>
      </w:r>
      <w:r>
        <w:fldChar w:fldCharType="begin"/>
      </w:r>
      <w:r>
        <w:instrText xml:space="preserve"> PAGEREF _Toc155171809 \h </w:instrText>
      </w:r>
      <w:r>
        <w:fldChar w:fldCharType="separate"/>
      </w:r>
      <w:r>
        <w:t>25</w:t>
      </w:r>
      <w:r>
        <w:fldChar w:fldCharType="end"/>
      </w:r>
    </w:p>
    <w:p>
      <w:pPr>
        <w:pStyle w:val="TOC8"/>
        <w:rPr>
          <w:rFonts w:asciiTheme="minorHAnsi" w:eastAsiaTheme="minorEastAsia" w:hAnsiTheme="minorHAnsi" w:cstheme="minorBidi"/>
          <w:szCs w:val="22"/>
        </w:rPr>
      </w:pPr>
      <w:r>
        <w:t>10E.</w:t>
      </w:r>
      <w:r>
        <w:tab/>
        <w:t>No increases in judicial remuneration before 1 July 2021</w:t>
      </w:r>
      <w:r>
        <w:tab/>
      </w:r>
      <w:r>
        <w:fldChar w:fldCharType="begin"/>
      </w:r>
      <w:r>
        <w:instrText xml:space="preserve"> PAGEREF _Toc155171810 \h </w:instrText>
      </w:r>
      <w:r>
        <w:fldChar w:fldCharType="separate"/>
      </w:r>
      <w:r>
        <w:t>27</w:t>
      </w:r>
      <w:r>
        <w:fldChar w:fldCharType="end"/>
      </w:r>
    </w:p>
    <w:p>
      <w:pPr>
        <w:pStyle w:val="TOC8"/>
        <w:rPr>
          <w:rFonts w:asciiTheme="minorHAnsi" w:eastAsiaTheme="minorEastAsia" w:hAnsiTheme="minorHAnsi" w:cstheme="minorBidi"/>
          <w:szCs w:val="22"/>
        </w:rPr>
      </w:pPr>
      <w:r>
        <w:t>10F.</w:t>
      </w:r>
      <w:r>
        <w:tab/>
        <w:t>No increases in remuneration of certain executive officers of Government entities before 1 July 2021</w:t>
      </w:r>
      <w:r>
        <w:tab/>
      </w:r>
      <w:r>
        <w:fldChar w:fldCharType="begin"/>
      </w:r>
      <w:r>
        <w:instrText xml:space="preserve"> PAGEREF _Toc155171811 \h </w:instrText>
      </w:r>
      <w:r>
        <w:fldChar w:fldCharType="separate"/>
      </w:r>
      <w:r>
        <w:t>27</w:t>
      </w:r>
      <w:r>
        <w:fldChar w:fldCharType="end"/>
      </w:r>
    </w:p>
    <w:p>
      <w:pPr>
        <w:pStyle w:val="TOC8"/>
        <w:rPr>
          <w:rFonts w:asciiTheme="minorHAnsi" w:eastAsiaTheme="minorEastAsia" w:hAnsiTheme="minorHAnsi" w:cstheme="minorBidi"/>
          <w:szCs w:val="22"/>
        </w:rPr>
      </w:pPr>
      <w:r>
        <w:t>10G.</w:t>
      </w:r>
      <w:r>
        <w:tab/>
        <w:t>Compensatory and catch-up determinations after 1 July 2021 prohibited</w:t>
      </w:r>
      <w:r>
        <w:tab/>
      </w:r>
      <w:r>
        <w:fldChar w:fldCharType="begin"/>
      </w:r>
      <w:r>
        <w:instrText xml:space="preserve"> PAGEREF _Toc155171812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_Toc155171814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_Toc155171816 \h </w:instrText>
      </w:r>
      <w:r>
        <w:fldChar w:fldCharType="separate"/>
      </w:r>
      <w:r>
        <w:t>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_Toc155171817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 xml:space="preserve">Schedule 2 — Entities that may be prescribed as Government </w:t>
      </w:r>
      <w:r>
        <w:lastRenderedPageBreak/>
        <w:t>entities and their executive officers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_Toc155171821 \h </w:instrText>
      </w:r>
      <w:r>
        <w:fldChar w:fldCharType="separate"/>
      </w:r>
      <w:r>
        <w:t>37</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_Toc155171822 \h </w:instrText>
      </w:r>
      <w:r>
        <w:fldChar w:fldCharType="separate"/>
      </w:r>
      <w:r>
        <w:t>41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_Toc155171823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3" w:name="_Toc155171781"/>
      <w:r>
        <w:rPr>
          <w:rStyle w:val="CharPartNo"/>
        </w:rPr>
        <w:lastRenderedPageBreak/>
        <w:t>Part I</w:t>
      </w:r>
      <w:r>
        <w:t> — </w:t>
      </w:r>
      <w:r>
        <w:rPr>
          <w:rStyle w:val="CharPartText"/>
        </w:rPr>
        <w:t>The Tribunal</w:t>
      </w:r>
      <w:bookmarkEnd w:id="3"/>
      <w:r>
        <w:rPr>
          <w:rStyle w:val="CharPartText"/>
        </w:rPr>
        <w:t xml:space="preserve"> </w:t>
      </w:r>
    </w:p>
    <w:p>
      <w:pPr>
        <w:pStyle w:val="Heading3"/>
      </w:pPr>
      <w:bookmarkStart w:id="4" w:name="_Toc155171782"/>
      <w:r>
        <w:rPr>
          <w:rStyle w:val="CharDivNo"/>
        </w:rPr>
        <w:t>Division 1</w:t>
      </w:r>
      <w:r>
        <w:t> — </w:t>
      </w:r>
      <w:r>
        <w:rPr>
          <w:rStyle w:val="CharDivText"/>
        </w:rPr>
        <w:t>Preliminary</w:t>
      </w:r>
      <w:bookmarkEnd w:id="4"/>
    </w:p>
    <w:p>
      <w:pPr>
        <w:pStyle w:val="Footnoteheading"/>
      </w:pPr>
      <w:r>
        <w:tab/>
        <w:t>[Heading inserted: No. 1 of 2018 s. 4.]</w:t>
      </w:r>
    </w:p>
    <w:p>
      <w:pPr>
        <w:pStyle w:val="Heading5"/>
        <w:rPr>
          <w:snapToGrid w:val="0"/>
        </w:rPr>
      </w:pPr>
      <w:bookmarkStart w:id="5" w:name="_Toc155171783"/>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6" w:name="_Toc155171784"/>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7" w:name="_Toc155171785"/>
      <w:r>
        <w:rPr>
          <w:rStyle w:val="CharSectno"/>
        </w:rPr>
        <w:t>4</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tab/>
      </w:r>
      <w:r>
        <w:rPr>
          <w:rStyle w:val="CharDefText"/>
        </w:rPr>
        <w:t>GTE</w:t>
      </w:r>
      <w:r>
        <w:t xml:space="preserve"> has the meaning given in the </w:t>
      </w:r>
      <w:r>
        <w:rPr>
          <w:i/>
        </w:rPr>
        <w:t>Government Trading Enterprises Act 2023</w:t>
      </w:r>
      <w:r>
        <w:t xml:space="preserve"> section 3(1);</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lastRenderedPageBreak/>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 No. 13 of 2023 s. 248.]</w:t>
      </w:r>
    </w:p>
    <w:p>
      <w:pPr>
        <w:pStyle w:val="Heading3"/>
        <w:keepLines/>
        <w:pageBreakBefore/>
        <w:spacing w:before="0"/>
      </w:pPr>
      <w:bookmarkStart w:id="8" w:name="_Toc155171786"/>
      <w:r>
        <w:rPr>
          <w:rStyle w:val="CharDivNo"/>
        </w:rPr>
        <w:lastRenderedPageBreak/>
        <w:t>Division 2</w:t>
      </w:r>
      <w:r>
        <w:t> — </w:t>
      </w:r>
      <w:r>
        <w:rPr>
          <w:rStyle w:val="CharDivText"/>
        </w:rPr>
        <w:t>Tribunal established</w:t>
      </w:r>
      <w:bookmarkEnd w:id="8"/>
    </w:p>
    <w:p>
      <w:pPr>
        <w:pStyle w:val="Footnoteheading"/>
      </w:pPr>
      <w:r>
        <w:tab/>
        <w:t>[Heading inserted: No. 1 of 2018 s. 5.]</w:t>
      </w:r>
    </w:p>
    <w:p>
      <w:pPr>
        <w:pStyle w:val="Heading5"/>
        <w:rPr>
          <w:snapToGrid w:val="0"/>
        </w:rPr>
      </w:pPr>
      <w:bookmarkStart w:id="9" w:name="_Toc155171787"/>
      <w:r>
        <w:rPr>
          <w:rStyle w:val="CharSectno"/>
        </w:rPr>
        <w:t>5</w:t>
      </w:r>
      <w:r>
        <w:rPr>
          <w:snapToGrid w:val="0"/>
        </w:rPr>
        <w:t>.</w:t>
      </w:r>
      <w:r>
        <w:rPr>
          <w:snapToGrid w:val="0"/>
        </w:rPr>
        <w:tab/>
        <w:t>Establishment of Tribunal</w:t>
      </w:r>
      <w:bookmarkEnd w:id="9"/>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keepNext/>
        <w:rPr>
          <w:snapToGrid w:val="0"/>
        </w:rPr>
      </w:pPr>
      <w:r>
        <w:rPr>
          <w:snapToGrid w:val="0"/>
        </w:rPr>
        <w:lastRenderedPageBreak/>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10" w:name="_Toc155171788"/>
      <w:r>
        <w:rPr>
          <w:rStyle w:val="CharDivNo"/>
        </w:rPr>
        <w:t>Division 3</w:t>
      </w:r>
      <w:r>
        <w:t> — </w:t>
      </w:r>
      <w:r>
        <w:rPr>
          <w:rStyle w:val="CharDivText"/>
        </w:rPr>
        <w:t>Inquiries, determinations and reports</w:t>
      </w:r>
      <w:bookmarkEnd w:id="10"/>
    </w:p>
    <w:p>
      <w:pPr>
        <w:pStyle w:val="Footnoteheading"/>
      </w:pPr>
      <w:r>
        <w:tab/>
        <w:t>[Heading inserted: No. 1 of 2018 s. 6.]</w:t>
      </w:r>
    </w:p>
    <w:p>
      <w:pPr>
        <w:pStyle w:val="Heading5"/>
        <w:rPr>
          <w:snapToGrid w:val="0"/>
        </w:rPr>
      </w:pPr>
      <w:bookmarkStart w:id="11" w:name="_Toc155171789"/>
      <w:r>
        <w:rPr>
          <w:rStyle w:val="CharSectno"/>
        </w:rPr>
        <w:t>5A</w:t>
      </w:r>
      <w:r>
        <w:rPr>
          <w:snapToGrid w:val="0"/>
        </w:rPr>
        <w:t>.</w:t>
      </w:r>
      <w:r>
        <w:rPr>
          <w:snapToGrid w:val="0"/>
        </w:rPr>
        <w:tab/>
        <w:t>Inquiry into and determination of remuneration of Governor</w:t>
      </w:r>
      <w:bookmarkEnd w:id="11"/>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keepLines/>
        <w:rPr>
          <w:snapToGrid w:val="0"/>
        </w:rPr>
      </w:pPr>
      <w:r>
        <w:rPr>
          <w:snapToGrid w:val="0"/>
        </w:rPr>
        <w:lastRenderedPageBreak/>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spacing w:before="240"/>
        <w:rPr>
          <w:snapToGrid w:val="0"/>
        </w:rPr>
      </w:pPr>
      <w:bookmarkStart w:id="12" w:name="_Toc155171790"/>
      <w:r>
        <w:rPr>
          <w:rStyle w:val="CharSectno"/>
        </w:rPr>
        <w:lastRenderedPageBreak/>
        <w:t>6</w:t>
      </w:r>
      <w:r>
        <w:rPr>
          <w:snapToGrid w:val="0"/>
        </w:rPr>
        <w:t>.</w:t>
      </w:r>
      <w:r>
        <w:rPr>
          <w:snapToGrid w:val="0"/>
        </w:rPr>
        <w:tab/>
        <w:t>Other inquiries into and determinations of remuneration</w:t>
      </w:r>
      <w:bookmarkEnd w:id="12"/>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lastRenderedPageBreak/>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keepLines/>
        <w:rPr>
          <w:snapToGrid w:val="0"/>
        </w:rPr>
      </w:pPr>
      <w:r>
        <w:rPr>
          <w:snapToGrid w:val="0"/>
        </w:rPr>
        <w:lastRenderedPageBreak/>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keepLines/>
        <w:rPr>
          <w:snapToGrid w:val="0"/>
        </w:rPr>
      </w:pPr>
      <w:r>
        <w:rPr>
          <w:snapToGrid w:val="0"/>
        </w:rPr>
        <w:lastRenderedPageBreak/>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of a member becomes inapplicable, or, in the opinion of the Chairman, inequitable as a consequence of </w:t>
      </w:r>
      <w:r>
        <w:t>a subsequent division of the State into electoral districts,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 xml:space="preserve">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w:t>
      </w:r>
      <w:r>
        <w:rPr>
          <w:snapToGrid w:val="0"/>
        </w:rPr>
        <w:lastRenderedPageBreak/>
        <w:t>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57; No. 22 of 2001 s. 3; Gazette 15 Aug 2003 p. 3691; Act No. 1 of 2005 s. 10(2); No. 56 of 2006 s. 7; No. 77 of 2006 s. 4; No. 32 of 2016 s. 192; No. 20 of 2021 s. 96(2).]</w:t>
      </w:r>
    </w:p>
    <w:p>
      <w:pPr>
        <w:pStyle w:val="Heading5"/>
        <w:spacing w:before="180"/>
      </w:pPr>
      <w:bookmarkStart w:id="13" w:name="_Toc155171791"/>
      <w:r>
        <w:rPr>
          <w:rStyle w:val="CharSectno"/>
        </w:rPr>
        <w:t>6A</w:t>
      </w:r>
      <w:r>
        <w:t>.</w:t>
      </w:r>
      <w:r>
        <w:tab/>
        <w:t xml:space="preserve">Tribunal’s functions under </w:t>
      </w:r>
      <w:r>
        <w:rPr>
          <w:i/>
        </w:rPr>
        <w:t>Parliamentary Superannuation Act 1970</w:t>
      </w:r>
      <w:bookmarkEnd w:id="13"/>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14" w:name="_Toc155171792"/>
      <w:r>
        <w:rPr>
          <w:rStyle w:val="CharSectno"/>
        </w:rPr>
        <w:t>6AA</w:t>
      </w:r>
      <w:r>
        <w:t>.</w:t>
      </w:r>
      <w:r>
        <w:tab/>
        <w:t>Redundancy benefits for members of Parliament</w:t>
      </w:r>
      <w:bookmarkEnd w:id="14"/>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keepNext/>
      </w:pPr>
      <w:r>
        <w:lastRenderedPageBreak/>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15" w:name="_Toc155171793"/>
      <w:r>
        <w:rPr>
          <w:rStyle w:val="CharSectno"/>
        </w:rPr>
        <w:t>6B</w:t>
      </w:r>
      <w:r>
        <w:rPr>
          <w:snapToGrid w:val="0"/>
        </w:rPr>
        <w:t>.</w:t>
      </w:r>
      <w:r>
        <w:rPr>
          <w:snapToGrid w:val="0"/>
        </w:rPr>
        <w:tab/>
        <w:t>Determinations relating to entitlements of former Premiers, Ministers and members of Parliament</w:t>
      </w:r>
      <w:bookmarkEnd w:id="15"/>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16" w:name="_Toc155171794"/>
      <w:r>
        <w:rPr>
          <w:rStyle w:val="CharSectno"/>
        </w:rPr>
        <w:t>6C</w:t>
      </w:r>
      <w:r>
        <w:rPr>
          <w:snapToGrid w:val="0"/>
        </w:rPr>
        <w:t>.</w:t>
      </w:r>
      <w:r>
        <w:rPr>
          <w:snapToGrid w:val="0"/>
        </w:rPr>
        <w:tab/>
        <w:t>Forfeiture of former office entitlements</w:t>
      </w:r>
      <w:bookmarkEnd w:id="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lastRenderedPageBreak/>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17" w:name="_Toc155171795"/>
      <w:r>
        <w:rPr>
          <w:rStyle w:val="CharSectno"/>
        </w:rPr>
        <w:lastRenderedPageBreak/>
        <w:t>7</w:t>
      </w:r>
      <w:r>
        <w:rPr>
          <w:snapToGrid w:val="0"/>
        </w:rPr>
        <w:t>.</w:t>
      </w:r>
      <w:r>
        <w:rPr>
          <w:snapToGrid w:val="0"/>
        </w:rPr>
        <w:tab/>
        <w:t>Inquiry into and report on judicial salaries</w:t>
      </w:r>
      <w:bookmarkEnd w:id="17"/>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keepNext/>
        <w:rPr>
          <w:snapToGrid w:val="0"/>
        </w:rPr>
      </w:pPr>
      <w:r>
        <w:rPr>
          <w:snapToGrid w:val="0"/>
        </w:rPr>
        <w:tab/>
        <w:t>(5)</w:t>
      </w:r>
      <w:r>
        <w:rPr>
          <w:snapToGrid w:val="0"/>
        </w:rPr>
        <w:tab/>
        <w:t xml:space="preserve">Subject to subsection (6) if either House of Parliament, within 15 sitting days of that House after a copy of a report has been laid before that House pursuant to subsection (3), passes a </w:t>
      </w:r>
      <w:r>
        <w:rPr>
          <w:snapToGrid w:val="0"/>
        </w:rPr>
        <w:lastRenderedPageBreak/>
        <w:t>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18" w:name="_Toc155171796"/>
      <w:r>
        <w:rPr>
          <w:rStyle w:val="CharSectno"/>
        </w:rPr>
        <w:t>7A</w:t>
      </w:r>
      <w:r>
        <w:t>.</w:t>
      </w:r>
      <w:r>
        <w:tab/>
        <w:t>Determinations as to remuneration of local government CEOs</w:t>
      </w:r>
      <w:bookmarkEnd w:id="18"/>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19" w:name="_Toc155171797"/>
      <w:r>
        <w:rPr>
          <w:rStyle w:val="CharSectno"/>
        </w:rPr>
        <w:lastRenderedPageBreak/>
        <w:t>7B</w:t>
      </w:r>
      <w:r>
        <w:t>.</w:t>
      </w:r>
      <w:r>
        <w:tab/>
        <w:t>Determinations as to fees and allowances of local government councillors</w:t>
      </w:r>
      <w:bookmarkEnd w:id="19"/>
    </w:p>
    <w:p>
      <w:pPr>
        <w:pStyle w:val="Subsection"/>
        <w:keepNext/>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20" w:name="_Toc155171798"/>
      <w:r>
        <w:rPr>
          <w:rStyle w:val="CharSectno"/>
        </w:rPr>
        <w:t>7BA</w:t>
      </w:r>
      <w:r>
        <w:t>.</w:t>
      </w:r>
      <w:r>
        <w:tab/>
        <w:t>Term used: Government entity</w:t>
      </w:r>
      <w:bookmarkEnd w:id="20"/>
    </w:p>
    <w:p>
      <w:pPr>
        <w:pStyle w:val="Subsection"/>
      </w:pPr>
      <w:r>
        <w:tab/>
      </w:r>
      <w:r>
        <w:tab/>
        <w:t xml:space="preserve">In sections 7C and 7D — </w:t>
      </w:r>
    </w:p>
    <w:p>
      <w:pPr>
        <w:pStyle w:val="Defstart"/>
      </w:pPr>
      <w:r>
        <w:tab/>
      </w:r>
      <w:r>
        <w:rPr>
          <w:rStyle w:val="CharDefText"/>
        </w:rPr>
        <w:t>Government entity</w:t>
      </w:r>
      <w:r>
        <w:t xml:space="preserve"> means an entity — </w:t>
      </w:r>
    </w:p>
    <w:p>
      <w:pPr>
        <w:pStyle w:val="Defpara"/>
      </w:pPr>
      <w:r>
        <w:tab/>
        <w:t>(a)</w:t>
      </w:r>
      <w:r>
        <w:tab/>
        <w:t>that is described in column 1 of Schedule 2; and</w:t>
      </w:r>
    </w:p>
    <w:p>
      <w:pPr>
        <w:pStyle w:val="Defpara"/>
      </w:pPr>
      <w:r>
        <w:tab/>
        <w:t>(b)</w:t>
      </w:r>
      <w:r>
        <w:tab/>
        <w:t>that is not prescribed by the regulations for the purposes of this paragraph.</w:t>
      </w:r>
    </w:p>
    <w:p>
      <w:pPr>
        <w:pStyle w:val="Footnotesection"/>
      </w:pPr>
      <w:r>
        <w:tab/>
        <w:t>[Section 7BA inserted: No. 13 of 2023 s. 249.]</w:t>
      </w:r>
    </w:p>
    <w:p>
      <w:pPr>
        <w:pStyle w:val="Heading5"/>
      </w:pPr>
      <w:bookmarkStart w:id="21" w:name="_Toc155171799"/>
      <w:r>
        <w:rPr>
          <w:rStyle w:val="CharSectno"/>
        </w:rPr>
        <w:lastRenderedPageBreak/>
        <w:t>7C</w:t>
      </w:r>
      <w:r>
        <w:t>.</w:t>
      </w:r>
      <w:r>
        <w:tab/>
        <w:t>Determinations as to remuneration of executive officers of Government entities</w:t>
      </w:r>
      <w:bookmarkEnd w:id="21"/>
    </w:p>
    <w:p>
      <w:pPr>
        <w:pStyle w:val="Subsection"/>
      </w:pPr>
      <w:r>
        <w:tab/>
        <w:t>(1)</w:t>
      </w:r>
      <w:r>
        <w:tab/>
        <w:t xml:space="preserve">In this section — </w:t>
      </w:r>
    </w:p>
    <w:p>
      <w:pPr>
        <w:pStyle w:val="Defstart"/>
      </w:pPr>
      <w:r>
        <w:tab/>
      </w:r>
      <w:r>
        <w:rPr>
          <w:rStyle w:val="CharDefText"/>
        </w:rPr>
        <w:t>executive officer</w:t>
      </w:r>
      <w:r>
        <w:t xml:space="preserve">, of an entity described in column 1 of Schedule 2, means a person whose office — </w:t>
      </w:r>
    </w:p>
    <w:p>
      <w:pPr>
        <w:pStyle w:val="Defpara"/>
      </w:pPr>
      <w:r>
        <w:tab/>
        <w:t>(a)</w:t>
      </w:r>
      <w:r>
        <w:tab/>
        <w:t>is described in column 2 of Schedule 2 for the entity, other than as that of director of the entity; and</w:t>
      </w:r>
    </w:p>
    <w:p>
      <w:pPr>
        <w:pStyle w:val="Defpara"/>
      </w:pPr>
      <w:r>
        <w:tab/>
        <w:t>(b)</w:t>
      </w:r>
      <w:r>
        <w:tab/>
        <w:t>is not prescribed by the regulations for the purposes of this paragraph;</w:t>
      </w:r>
    </w:p>
    <w:p>
      <w:pPr>
        <w:pStyle w:val="Subsection"/>
      </w:pPr>
      <w:r>
        <w:tab/>
        <w:t>(2)</w:t>
      </w:r>
      <w:r>
        <w:tab/>
        <w:t>The Tribunal must,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However, a person who holds an office described in column 2 of Schedule 2 for an entity immediately before the day on which the entity is described in column 1 of Schedule 2 must be treated, for the purposes of subsection (2), as if they were not an executive officer of the entity during the balance of the person’s term of office that remained immediately before that day.</w:t>
      </w:r>
    </w:p>
    <w:p>
      <w:pPr>
        <w:pStyle w:val="Footnotesection"/>
      </w:pPr>
      <w:r>
        <w:tab/>
        <w:t>[Section 7C inserted: No. 13 of 2023 s. 249.]</w:t>
      </w:r>
    </w:p>
    <w:p>
      <w:pPr>
        <w:pStyle w:val="Heading5"/>
      </w:pPr>
      <w:bookmarkStart w:id="22" w:name="_Toc155171800"/>
      <w:r>
        <w:rPr>
          <w:rStyle w:val="CharSectno"/>
        </w:rPr>
        <w:t>7D</w:t>
      </w:r>
      <w:r>
        <w:t>.</w:t>
      </w:r>
      <w:r>
        <w:tab/>
        <w:t>Determinations as to remuneration of directors of certain Government entities</w:t>
      </w:r>
      <w:bookmarkEnd w:id="22"/>
    </w:p>
    <w:p>
      <w:pPr>
        <w:pStyle w:val="Subsection"/>
      </w:pPr>
      <w:r>
        <w:tab/>
        <w:t>(1)</w:t>
      </w:r>
      <w:r>
        <w:tab/>
        <w:t xml:space="preserve">In this section — </w:t>
      </w:r>
    </w:p>
    <w:p>
      <w:pPr>
        <w:pStyle w:val="Defstart"/>
      </w:pPr>
      <w:r>
        <w:tab/>
      </w:r>
      <w:r>
        <w:rPr>
          <w:rStyle w:val="CharDefText"/>
        </w:rPr>
        <w:t>director</w:t>
      </w:r>
      <w:r>
        <w:t xml:space="preserve">, of an entity described in column 1 of Schedule 2, means a person whose office — </w:t>
      </w:r>
    </w:p>
    <w:p>
      <w:pPr>
        <w:pStyle w:val="Defpara"/>
      </w:pPr>
      <w:r>
        <w:tab/>
        <w:t>(a)</w:t>
      </w:r>
      <w:r>
        <w:tab/>
        <w:t>is described in column 2 of Schedule 2 for the entity as that of director of the entity; and</w:t>
      </w:r>
    </w:p>
    <w:p>
      <w:pPr>
        <w:pStyle w:val="Defpara"/>
      </w:pPr>
      <w:r>
        <w:tab/>
        <w:t>(b)</w:t>
      </w:r>
      <w:r>
        <w:tab/>
        <w:t>is not prescribed by the regulations for the purposes of this paragraph.</w:t>
      </w:r>
    </w:p>
    <w:p>
      <w:pPr>
        <w:pStyle w:val="Subsection"/>
      </w:pPr>
      <w:r>
        <w:lastRenderedPageBreak/>
        <w:tab/>
        <w:t>(2)</w:t>
      </w:r>
      <w:r>
        <w:tab/>
        <w:t>The Tribunal must, from time to time as provided by this Act, inquire into and determine the minimum and maximum amounts of remuneration to be paid or provided to directors of Government entities.</w:t>
      </w:r>
    </w:p>
    <w:p>
      <w:pPr>
        <w:pStyle w:val="Subsection"/>
      </w:pPr>
      <w:r>
        <w:tab/>
        <w:t>(3)</w:t>
      </w:r>
      <w:r>
        <w:tab/>
        <w:t>Section 6(2) and (3) apply to a determination under subsection (2).</w:t>
      </w:r>
    </w:p>
    <w:p>
      <w:pPr>
        <w:pStyle w:val="Footnotesection"/>
      </w:pPr>
      <w:r>
        <w:tab/>
        <w:t>[Section 7D inserted: No. 13 of 2023 s. 249.]</w:t>
      </w:r>
    </w:p>
    <w:p>
      <w:pPr>
        <w:pStyle w:val="Heading5"/>
      </w:pPr>
      <w:bookmarkStart w:id="23" w:name="_Toc155171801"/>
      <w:r>
        <w:rPr>
          <w:rStyle w:val="CharSectno"/>
        </w:rPr>
        <w:t>7E</w:t>
      </w:r>
      <w:r>
        <w:t>.</w:t>
      </w:r>
      <w:r>
        <w:tab/>
        <w:t>Determinations as to allowance for directors of certain GTEs: audit and risk committee members</w:t>
      </w:r>
      <w:bookmarkEnd w:id="23"/>
    </w:p>
    <w:p>
      <w:pPr>
        <w:pStyle w:val="Subsection"/>
      </w:pPr>
      <w:r>
        <w:tab/>
        <w:t>(1)</w:t>
      </w:r>
      <w:r>
        <w:tab/>
        <w:t xml:space="preserve">For the purposes of the </w:t>
      </w:r>
      <w:r>
        <w:rPr>
          <w:i/>
        </w:rPr>
        <w:t>Government Trading Enterprises Act 2023</w:t>
      </w:r>
      <w:r>
        <w:t xml:space="preserve"> section 27(2), the Tribunal must, from time to time as provided by this Act, inquire into and determine the allowance to be paid or provided to members of audit and risk management committees of GTEs who are also directors of the GTE concerned.</w:t>
      </w:r>
    </w:p>
    <w:p>
      <w:pPr>
        <w:pStyle w:val="Subsection"/>
      </w:pPr>
      <w:r>
        <w:tab/>
        <w:t>(2)</w:t>
      </w:r>
      <w:r>
        <w:tab/>
        <w:t>The allowance must be the same for all such members for a particular GTE, other than for the chair of the committee.</w:t>
      </w:r>
    </w:p>
    <w:p>
      <w:pPr>
        <w:pStyle w:val="Subsection"/>
      </w:pPr>
      <w:r>
        <w:tab/>
        <w:t>(3)</w:t>
      </w:r>
      <w:r>
        <w:tab/>
        <w:t>Section 6(2) and (3) apply to a determination under subsection (1).</w:t>
      </w:r>
    </w:p>
    <w:p>
      <w:pPr>
        <w:pStyle w:val="Footnotesection"/>
      </w:pPr>
      <w:r>
        <w:tab/>
        <w:t>[Section 7E inserted: No. 13 of 2023 s. 249.]</w:t>
      </w:r>
    </w:p>
    <w:p>
      <w:pPr>
        <w:pStyle w:val="Heading5"/>
        <w:spacing w:before="180"/>
      </w:pPr>
      <w:bookmarkStart w:id="24" w:name="_Toc155171802"/>
      <w:r>
        <w:rPr>
          <w:rStyle w:val="CharSectno"/>
        </w:rPr>
        <w:t>8</w:t>
      </w:r>
      <w:r>
        <w:t>.</w:t>
      </w:r>
      <w:r>
        <w:tab/>
        <w:t>Tribunal to report and make a determination annually</w:t>
      </w:r>
      <w:bookmarkEnd w:id="24"/>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lastRenderedPageBreak/>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 and</w:t>
      </w:r>
    </w:p>
    <w:p>
      <w:pPr>
        <w:pStyle w:val="Indenta"/>
      </w:pPr>
      <w:r>
        <w:tab/>
        <w:t>(f)</w:t>
      </w:r>
      <w:r>
        <w:tab/>
        <w:t>not more than 4 years elapse between one determination under section 7D(2) and another; and</w:t>
      </w:r>
    </w:p>
    <w:p>
      <w:pPr>
        <w:pStyle w:val="Indenta"/>
      </w:pPr>
      <w:r>
        <w:tab/>
        <w:t>(g)</w:t>
      </w:r>
      <w:r>
        <w:tab/>
        <w:t>not more than 4 years elapse between one determination under section 7E(1)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 No. 13 of 2023 s. 250.]</w:t>
      </w:r>
    </w:p>
    <w:p>
      <w:pPr>
        <w:pStyle w:val="Heading5"/>
        <w:rPr>
          <w:snapToGrid w:val="0"/>
        </w:rPr>
      </w:pPr>
      <w:bookmarkStart w:id="25" w:name="_Toc155171803"/>
      <w:r>
        <w:rPr>
          <w:rStyle w:val="CharSectno"/>
        </w:rPr>
        <w:t>9</w:t>
      </w:r>
      <w:r>
        <w:rPr>
          <w:snapToGrid w:val="0"/>
        </w:rPr>
        <w:t>.</w:t>
      </w:r>
      <w:r>
        <w:rPr>
          <w:snapToGrid w:val="0"/>
        </w:rPr>
        <w:tab/>
        <w:t>Meetings of Tribunal</w:t>
      </w:r>
      <w:bookmarkEnd w:id="25"/>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lastRenderedPageBreak/>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26" w:name="_Toc155171804"/>
      <w:r>
        <w:rPr>
          <w:rStyle w:val="CharSectno"/>
        </w:rPr>
        <w:t>10</w:t>
      </w:r>
      <w:r>
        <w:rPr>
          <w:snapToGrid w:val="0"/>
        </w:rPr>
        <w:t>.</w:t>
      </w:r>
      <w:r>
        <w:rPr>
          <w:snapToGrid w:val="0"/>
        </w:rPr>
        <w:tab/>
        <w:t>Method of inquiry by Tribunal</w:t>
      </w:r>
      <w:bookmarkEnd w:id="26"/>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w:t>
      </w:r>
      <w:r>
        <w:rPr>
          <w:snapToGrid w:val="0"/>
        </w:rPr>
        <w:lastRenderedPageBreak/>
        <w:t xml:space="preserve">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or directors of </w:t>
      </w:r>
      <w:r>
        <w:lastRenderedPageBreak/>
        <w:t>Government entities referred to in section 7C(2) or 7D(2) or the amount of remuneration to be paid or provided to those officers as referred to in section 10F(3) or the allowance to be paid or provided under section 7E(1).</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No. 13 of 2023 s. 251.] </w:t>
      </w:r>
    </w:p>
    <w:p>
      <w:pPr>
        <w:pStyle w:val="Heading5"/>
      </w:pPr>
      <w:bookmarkStart w:id="27" w:name="_Toc155171805"/>
      <w:r>
        <w:rPr>
          <w:rStyle w:val="CharSectno"/>
        </w:rPr>
        <w:t>10A</w:t>
      </w:r>
      <w:r>
        <w:t>.</w:t>
      </w:r>
      <w:r>
        <w:tab/>
        <w:t>Tribunal to have regard to government financial matters</w:t>
      </w:r>
      <w:bookmarkEnd w:id="27"/>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lastRenderedPageBreak/>
        <w:tab/>
        <w:t>(b)</w:t>
      </w:r>
      <w:r>
        <w:tab/>
        <w:t>if any Public Sector Wages Policy Statement is issued in substitution for that statement, the later statement.</w:t>
      </w:r>
    </w:p>
    <w:p>
      <w:pPr>
        <w:pStyle w:val="Subsection"/>
      </w:pPr>
      <w:r>
        <w:tab/>
        <w:t>(2)</w:t>
      </w:r>
      <w:r>
        <w:tab/>
        <w:t xml:space="preserve">In making a determination under section 6(1)(a), (ab), (d) or (e), 7C(2), 7D(2) or 7E(1)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 No. 13 of 2023 s. 252.]</w:t>
      </w:r>
    </w:p>
    <w:p>
      <w:pPr>
        <w:pStyle w:val="Heading3"/>
        <w:pageBreakBefore/>
        <w:spacing w:before="0"/>
      </w:pPr>
      <w:bookmarkStart w:id="28" w:name="_Toc155171806"/>
      <w:r>
        <w:rPr>
          <w:rStyle w:val="CharDivNo"/>
        </w:rPr>
        <w:lastRenderedPageBreak/>
        <w:t>Division 4</w:t>
      </w:r>
      <w:r>
        <w:t> — </w:t>
      </w:r>
      <w:r>
        <w:rPr>
          <w:rStyle w:val="CharDivText"/>
        </w:rPr>
        <w:t>No remuneration increases before 1 July 2021</w:t>
      </w:r>
      <w:bookmarkEnd w:id="28"/>
    </w:p>
    <w:p>
      <w:pPr>
        <w:pStyle w:val="Footnoteheading"/>
      </w:pPr>
      <w:r>
        <w:tab/>
        <w:t>[Heading inserted: No. 1 of 2018 s. 9.]</w:t>
      </w:r>
    </w:p>
    <w:p>
      <w:pPr>
        <w:pStyle w:val="Heading5"/>
      </w:pPr>
      <w:bookmarkStart w:id="29" w:name="_Toc155171807"/>
      <w:r>
        <w:rPr>
          <w:rStyle w:val="CharSectno"/>
        </w:rPr>
        <w:t>10B</w:t>
      </w:r>
      <w:r>
        <w:t>.</w:t>
      </w:r>
      <w:r>
        <w:tab/>
        <w:t>Term used: commencement day</w:t>
      </w:r>
      <w:bookmarkEnd w:id="29"/>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30" w:name="_Toc155171808"/>
      <w:r>
        <w:rPr>
          <w:rStyle w:val="CharSectno"/>
        </w:rPr>
        <w:t>10C</w:t>
      </w:r>
      <w:r>
        <w:t>.</w:t>
      </w:r>
      <w:r>
        <w:tab/>
        <w:t>No increases in Governor’s remuneration before 1 July 2021</w:t>
      </w:r>
      <w:bookmarkEnd w:id="30"/>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31" w:name="_Toc155171809"/>
      <w:r>
        <w:rPr>
          <w:rStyle w:val="CharSectno"/>
        </w:rPr>
        <w:lastRenderedPageBreak/>
        <w:t>10D</w:t>
      </w:r>
      <w:r>
        <w:t>.</w:t>
      </w:r>
      <w:r>
        <w:tab/>
        <w:t>No increases in remuneration under s. 6 before 1 July 2021</w:t>
      </w:r>
      <w:bookmarkEnd w:id="31"/>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 xml:space="preserve">the Tribunal has not previously determined the remuneration to be paid or provided in respect of an </w:t>
      </w:r>
      <w:r>
        <w:lastRenderedPageBreak/>
        <w:t>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w:t>
      </w:r>
      <w:r>
        <w:lastRenderedPageBreak/>
        <w:t xml:space="preserve">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32" w:name="_Toc155171810"/>
      <w:r>
        <w:rPr>
          <w:rStyle w:val="CharSectno"/>
        </w:rPr>
        <w:t>10E</w:t>
      </w:r>
      <w:r>
        <w:t>.</w:t>
      </w:r>
      <w:r>
        <w:tab/>
        <w:t>No increases in judicial remuneration before 1 July 2021</w:t>
      </w:r>
      <w:bookmarkEnd w:id="32"/>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33" w:name="_Toc155171811"/>
      <w:r>
        <w:rPr>
          <w:rStyle w:val="CharSectno"/>
        </w:rPr>
        <w:t>10F</w:t>
      </w:r>
      <w:r>
        <w:t>.</w:t>
      </w:r>
      <w:r>
        <w:tab/>
        <w:t>No increases in remuneration of certain executive officers of Government entities before 1 July 2021</w:t>
      </w:r>
      <w:bookmarkEnd w:id="33"/>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lastRenderedPageBreak/>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lastRenderedPageBreak/>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34" w:name="_Toc155171812"/>
      <w:r>
        <w:rPr>
          <w:rStyle w:val="CharSectno"/>
        </w:rPr>
        <w:t>10G</w:t>
      </w:r>
      <w:r>
        <w:t>.</w:t>
      </w:r>
      <w:r>
        <w:tab/>
        <w:t>Compensatory and catch-up determinations after 1 July 2021 prohibited</w:t>
      </w:r>
      <w:bookmarkEnd w:id="34"/>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35" w:name="_Toc155171813"/>
      <w:r>
        <w:rPr>
          <w:rStyle w:val="CharDivNo"/>
        </w:rPr>
        <w:lastRenderedPageBreak/>
        <w:t>Division 5</w:t>
      </w:r>
      <w:r>
        <w:t> — </w:t>
      </w:r>
      <w:r>
        <w:rPr>
          <w:rStyle w:val="CharDivText"/>
        </w:rPr>
        <w:t>Miscellaneous</w:t>
      </w:r>
      <w:bookmarkEnd w:id="35"/>
    </w:p>
    <w:p>
      <w:pPr>
        <w:pStyle w:val="Footnoteheading"/>
        <w:keepNext/>
      </w:pPr>
      <w:r>
        <w:tab/>
        <w:t>[Heading inserted: No. 1 of 2018 s. 10.]</w:t>
      </w:r>
    </w:p>
    <w:p>
      <w:pPr>
        <w:pStyle w:val="Heading5"/>
        <w:rPr>
          <w:snapToGrid w:val="0"/>
        </w:rPr>
      </w:pPr>
      <w:bookmarkStart w:id="36" w:name="_Toc155171814"/>
      <w:r>
        <w:rPr>
          <w:rStyle w:val="CharSectno"/>
        </w:rPr>
        <w:t>11</w:t>
      </w:r>
      <w:r>
        <w:rPr>
          <w:snapToGrid w:val="0"/>
        </w:rPr>
        <w:t>.</w:t>
      </w:r>
      <w:r>
        <w:rPr>
          <w:snapToGrid w:val="0"/>
        </w:rPr>
        <w:tab/>
        <w:t>Fees and allowances</w:t>
      </w:r>
      <w:bookmarkEnd w:id="36"/>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37" w:name="_Toc155171815"/>
      <w:r>
        <w:rPr>
          <w:rStyle w:val="CharPartNo"/>
        </w:rPr>
        <w:lastRenderedPageBreak/>
        <w:t>Part IA</w:t>
      </w:r>
      <w:r>
        <w:rPr>
          <w:rStyle w:val="CharDivNo"/>
        </w:rPr>
        <w:t> </w:t>
      </w:r>
      <w:r>
        <w:t>—</w:t>
      </w:r>
      <w:r>
        <w:rPr>
          <w:rStyle w:val="CharDivText"/>
        </w:rPr>
        <w:t> </w:t>
      </w:r>
      <w:r>
        <w:rPr>
          <w:rStyle w:val="CharPartText"/>
        </w:rPr>
        <w:t>General</w:t>
      </w:r>
      <w:bookmarkEnd w:id="37"/>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38" w:name="_Toc155171816"/>
      <w:r>
        <w:rPr>
          <w:rStyle w:val="CharSectno"/>
        </w:rPr>
        <w:t>11A</w:t>
      </w:r>
      <w:r>
        <w:rPr>
          <w:snapToGrid w:val="0"/>
        </w:rPr>
        <w:t>.</w:t>
      </w:r>
      <w:r>
        <w:rPr>
          <w:snapToGrid w:val="0"/>
        </w:rPr>
        <w:tab/>
        <w:t>Arrangements for payment of travelling expenses by Treasurer</w:t>
      </w:r>
      <w:bookmarkEnd w:id="38"/>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lastRenderedPageBreak/>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39" w:name="_Toc155171817"/>
      <w:r>
        <w:rPr>
          <w:rStyle w:val="CharSectno"/>
        </w:rPr>
        <w:t>12</w:t>
      </w:r>
      <w:r>
        <w:rPr>
          <w:snapToGrid w:val="0"/>
        </w:rPr>
        <w:t>.</w:t>
      </w:r>
      <w:r>
        <w:rPr>
          <w:snapToGrid w:val="0"/>
        </w:rPr>
        <w:tab/>
        <w:t>Regulations</w:t>
      </w:r>
      <w:bookmarkEnd w:id="3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40" w:name="_Toc155171818"/>
      <w:r>
        <w:rPr>
          <w:rStyle w:val="CharSchNo"/>
        </w:rPr>
        <w:lastRenderedPageBreak/>
        <w:t>Schedule 1</w:t>
      </w:r>
      <w:r>
        <w:t> — </w:t>
      </w:r>
      <w:r>
        <w:rPr>
          <w:rStyle w:val="CharSchText"/>
        </w:rPr>
        <w:t>Offences</w:t>
      </w:r>
      <w:bookmarkEnd w:id="40"/>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41" w:name="_Toc155171819"/>
      <w:r>
        <w:rPr>
          <w:rStyle w:val="CharSchNo"/>
        </w:rPr>
        <w:lastRenderedPageBreak/>
        <w:t>Schedule 2</w:t>
      </w:r>
      <w:r>
        <w:t> — </w:t>
      </w:r>
      <w:r>
        <w:rPr>
          <w:rStyle w:val="CharSchText"/>
        </w:rPr>
        <w:t>Entities that may be prescribed as Government entities and their executive officers</w:t>
      </w:r>
      <w:bookmarkEnd w:id="41"/>
    </w:p>
    <w:p>
      <w:pPr>
        <w:pStyle w:val="yShoulderClause"/>
        <w:spacing w:after="120"/>
      </w:pPr>
      <w:r>
        <w:t>[s. 7BA, 7C and 7D]</w:t>
      </w:r>
    </w:p>
    <w:p>
      <w:pPr>
        <w:pStyle w:val="yFootnoteheading"/>
        <w:spacing w:after="60"/>
      </w:pPr>
      <w:r>
        <w:tab/>
        <w:t>[Heading inserted: No. 46 of 2016 s. 9; amended: No. 13 of 2023 s. 253.]</w:t>
      </w:r>
    </w:p>
    <w:tbl>
      <w:tblPr>
        <w:tblW w:w="65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58"/>
      </w:tblGrid>
      <w:tr>
        <w:trPr>
          <w:tblHeader/>
        </w:trPr>
        <w:tc>
          <w:tcPr>
            <w:tcW w:w="3186" w:type="dxa"/>
          </w:tcPr>
          <w:p>
            <w:pPr>
              <w:pStyle w:val="yTableNAm"/>
              <w:jc w:val="center"/>
            </w:pPr>
            <w:r>
              <w:rPr>
                <w:b/>
              </w:rPr>
              <w:t>Column 1: entities</w:t>
            </w:r>
          </w:p>
        </w:tc>
        <w:tc>
          <w:tcPr>
            <w:tcW w:w="3358" w:type="dxa"/>
          </w:tcPr>
          <w:p>
            <w:pPr>
              <w:pStyle w:val="yTableNAm"/>
              <w:jc w:val="center"/>
            </w:pPr>
            <w:r>
              <w:rPr>
                <w:b/>
              </w:rPr>
              <w:t>Column 2: executive officers</w:t>
            </w:r>
          </w:p>
        </w:tc>
      </w:tr>
      <w:tr>
        <w:trPr>
          <w:cantSplit/>
        </w:trPr>
        <w:tc>
          <w:tcPr>
            <w:tcW w:w="3186" w:type="dxa"/>
            <w:tcBorders>
              <w:bottom w:val="nil"/>
            </w:tcBorders>
            <w:shd w:val="clear" w:color="auto" w:fill="auto"/>
            <w:noWrap/>
          </w:tcPr>
          <w:p>
            <w:pPr>
              <w:pStyle w:val="yTableNAm"/>
            </w:pPr>
            <w:r>
              <w:t>A GTE.</w:t>
            </w:r>
          </w:p>
        </w:tc>
        <w:tc>
          <w:tcPr>
            <w:tcW w:w="3358" w:type="dxa"/>
            <w:tcBorders>
              <w:bottom w:val="nil"/>
            </w:tcBorders>
            <w:shd w:val="clear" w:color="auto" w:fill="auto"/>
            <w:noWrap/>
          </w:tcPr>
          <w:p>
            <w:pPr>
              <w:pStyle w:val="yTableNAm"/>
              <w:tabs>
                <w:tab w:val="clear" w:pos="567"/>
              </w:tabs>
              <w:ind w:left="406" w:hanging="406"/>
            </w:pPr>
            <w:r>
              <w:t>1.</w:t>
            </w:r>
            <w:r>
              <w:tab/>
              <w:t>A person appointed as a director of the GTE.</w:t>
            </w:r>
          </w:p>
        </w:tc>
      </w:tr>
      <w:tr>
        <w:trPr>
          <w:cantSplit/>
        </w:trPr>
        <w:tc>
          <w:tcPr>
            <w:tcW w:w="3186" w:type="dxa"/>
            <w:tcBorders>
              <w:top w:val="nil"/>
              <w:bottom w:val="nil"/>
            </w:tcBorders>
            <w:shd w:val="clear" w:color="auto" w:fill="auto"/>
            <w:noWrap/>
          </w:tcPr>
          <w:p>
            <w:pPr>
              <w:pStyle w:val="yTableNAm"/>
            </w:pPr>
          </w:p>
        </w:tc>
        <w:tc>
          <w:tcPr>
            <w:tcW w:w="3358" w:type="dxa"/>
            <w:tcBorders>
              <w:top w:val="nil"/>
              <w:bottom w:val="nil"/>
            </w:tcBorders>
            <w:shd w:val="clear" w:color="auto" w:fill="auto"/>
            <w:noWrap/>
          </w:tcPr>
          <w:p>
            <w:pPr>
              <w:pStyle w:val="yTableNAm"/>
              <w:tabs>
                <w:tab w:val="clear" w:pos="567"/>
              </w:tabs>
              <w:ind w:left="406" w:hanging="406"/>
            </w:pPr>
            <w:r>
              <w:t>2.</w:t>
            </w:r>
            <w:r>
              <w:tab/>
              <w:t>The person appointed as the chief executive officer of the GTE.</w:t>
            </w:r>
          </w:p>
        </w:tc>
      </w:tr>
      <w:tr>
        <w:trPr>
          <w:cantSplit/>
        </w:trPr>
        <w:tc>
          <w:tcPr>
            <w:tcW w:w="3186" w:type="dxa"/>
            <w:tcBorders>
              <w:top w:val="nil"/>
              <w:bottom w:val="single" w:sz="4" w:space="0" w:color="auto"/>
            </w:tcBorders>
            <w:shd w:val="clear" w:color="auto" w:fill="auto"/>
            <w:noWrap/>
          </w:tcPr>
          <w:p>
            <w:pPr>
              <w:pStyle w:val="yTableNAm"/>
            </w:pPr>
          </w:p>
        </w:tc>
        <w:tc>
          <w:tcPr>
            <w:tcW w:w="3358" w:type="dxa"/>
            <w:tcBorders>
              <w:top w:val="nil"/>
              <w:bottom w:val="single" w:sz="4" w:space="0" w:color="auto"/>
            </w:tcBorders>
            <w:shd w:val="clear" w:color="auto" w:fill="auto"/>
            <w:noWrap/>
          </w:tcPr>
          <w:p>
            <w:pPr>
              <w:pStyle w:val="yTableNAm"/>
              <w:tabs>
                <w:tab w:val="clear" w:pos="567"/>
              </w:tabs>
              <w:ind w:left="406" w:hanging="406"/>
            </w:pPr>
            <w:r>
              <w:t>3.</w:t>
            </w:r>
            <w:r>
              <w:tab/>
              <w:t>A person appointed to act in place of the chief executive officer of the GTE.</w:t>
            </w:r>
          </w:p>
        </w:tc>
      </w:tr>
      <w:tr>
        <w:trPr>
          <w:cantSplit/>
          <w:trHeight w:val="1628"/>
        </w:trPr>
        <w:tc>
          <w:tcPr>
            <w:tcW w:w="3186" w:type="dxa"/>
            <w:tcBorders>
              <w:top w:val="single" w:sz="4" w:space="0" w:color="auto"/>
            </w:tcBorders>
            <w:shd w:val="clear" w:color="auto" w:fill="auto"/>
            <w:noWrap/>
          </w:tcPr>
          <w:p>
            <w:pPr>
              <w:pStyle w:val="yTableNAm"/>
            </w:pPr>
            <w:r>
              <w:t>A wholly</w:t>
            </w:r>
            <w:r>
              <w:noBreakHyphen/>
              <w:t xml:space="preserve">owned subsidiary (as defined in the </w:t>
            </w:r>
            <w:r>
              <w:rPr>
                <w:i/>
              </w:rPr>
              <w:t xml:space="preserve">Government Trading Enterprises Act 2023 </w:t>
            </w:r>
            <w:r>
              <w:t>section 117).</w:t>
            </w:r>
          </w:p>
        </w:tc>
        <w:tc>
          <w:tcPr>
            <w:tcW w:w="3358" w:type="dxa"/>
            <w:tcBorders>
              <w:top w:val="single" w:sz="4" w:space="0" w:color="auto"/>
            </w:tcBorders>
            <w:shd w:val="clear" w:color="auto" w:fill="auto"/>
            <w:noWrap/>
          </w:tcPr>
          <w:p>
            <w:pPr>
              <w:pStyle w:val="yTableNAm"/>
              <w:tabs>
                <w:tab w:val="clear" w:pos="567"/>
              </w:tabs>
              <w:ind w:left="406" w:hanging="406"/>
            </w:pPr>
            <w:r>
              <w:t>1.</w:t>
            </w:r>
            <w:r>
              <w:tab/>
              <w:t>A person appointed as a director of the subsidiary.</w:t>
            </w:r>
          </w:p>
          <w:p>
            <w:pPr>
              <w:pStyle w:val="yTableNAm"/>
              <w:spacing w:before="240"/>
              <w:ind w:left="408" w:hanging="408"/>
            </w:pPr>
            <w:r>
              <w:t>2.</w:t>
            </w:r>
            <w:r>
              <w:tab/>
              <w:t>The person appointed as the chief executive officer (however described) of the subsidiary.</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lastRenderedPageBreak/>
              <w:t xml:space="preserve">GoldCorp as defined in the </w:t>
            </w:r>
            <w:r>
              <w:rPr>
                <w:i/>
              </w:rPr>
              <w:t xml:space="preserve">Gold Corporation Act 1987 </w:t>
            </w:r>
            <w:r>
              <w:t>section 3(1).</w:t>
            </w:r>
          </w:p>
        </w:tc>
        <w:tc>
          <w:tcPr>
            <w:tcW w:w="3358"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58"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lastRenderedPageBreak/>
              <w:t xml:space="preserve">The Corporation as defined in the </w:t>
            </w:r>
            <w:r>
              <w:rPr>
                <w:i/>
              </w:rPr>
              <w:t>Western Australian Treasury Corporation Act 1986</w:t>
            </w:r>
            <w:r>
              <w:t xml:space="preserve"> section 3(1).</w:t>
            </w:r>
          </w:p>
        </w:tc>
        <w:tc>
          <w:tcPr>
            <w:tcW w:w="3358"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58"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 amended: No. 13 of 2023 s. 253.]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43" w:name="_Toc155171820"/>
      <w:r>
        <w:lastRenderedPageBreak/>
        <w:t>Notes</w:t>
      </w:r>
      <w:bookmarkEnd w:id="43"/>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 w:name="_Toc155171821"/>
      <w:r>
        <w:t>Compilation table</w:t>
      </w:r>
      <w:bookmarkEnd w:id="4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tcBorders>
              <w:top w:val="single" w:sz="8" w:space="0" w:color="auto"/>
            </w:tcBorders>
          </w:tcPr>
          <w:p>
            <w:pPr>
              <w:pStyle w:val="nTable"/>
              <w:spacing w:after="40"/>
            </w:pPr>
            <w:r>
              <w:t>27 of 1975</w:t>
            </w:r>
          </w:p>
        </w:tc>
        <w:tc>
          <w:tcPr>
            <w:tcW w:w="1134" w:type="dxa"/>
            <w:tcBorders>
              <w:top w:val="single" w:sz="8" w:space="0" w:color="auto"/>
            </w:tcBorders>
          </w:tcPr>
          <w:p>
            <w:pPr>
              <w:pStyle w:val="nTable"/>
              <w:spacing w:after="40"/>
            </w:pPr>
            <w:r>
              <w:t>16 May 1975</w:t>
            </w:r>
          </w:p>
        </w:tc>
        <w:tc>
          <w:tcPr>
            <w:tcW w:w="2552" w:type="dxa"/>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cantSplit/>
        </w:trPr>
        <w:tc>
          <w:tcPr>
            <w:tcW w:w="2268" w:type="dxa"/>
          </w:tcPr>
          <w:p>
            <w:pPr>
              <w:pStyle w:val="nTable"/>
              <w:spacing w:after="40"/>
              <w:ind w:right="170"/>
            </w:pPr>
            <w:r>
              <w:rPr>
                <w:i/>
              </w:rPr>
              <w:t>Salaries and Allowances Tribunal Act Amendment Act 1975</w:t>
            </w:r>
          </w:p>
        </w:tc>
        <w:tc>
          <w:tcPr>
            <w:tcW w:w="1134" w:type="dxa"/>
          </w:tcPr>
          <w:p>
            <w:pPr>
              <w:pStyle w:val="nTable"/>
              <w:spacing w:after="40"/>
            </w:pPr>
            <w:r>
              <w:t>89 of 1975</w:t>
            </w:r>
          </w:p>
        </w:tc>
        <w:tc>
          <w:tcPr>
            <w:tcW w:w="1134" w:type="dxa"/>
          </w:tcPr>
          <w:p>
            <w:pPr>
              <w:pStyle w:val="nTable"/>
              <w:spacing w:after="40"/>
            </w:pPr>
            <w:r>
              <w:t>20 Nov 1975</w:t>
            </w:r>
          </w:p>
        </w:tc>
        <w:tc>
          <w:tcPr>
            <w:tcW w:w="2552" w:type="dxa"/>
          </w:tcPr>
          <w:p>
            <w:pPr>
              <w:pStyle w:val="nTable"/>
              <w:spacing w:after="40"/>
            </w:pPr>
            <w:r>
              <w:t>19 Sep 1975 (see s. 2)</w:t>
            </w:r>
          </w:p>
        </w:tc>
      </w:tr>
      <w:tr>
        <w:trPr>
          <w:cantSplit/>
        </w:trPr>
        <w:tc>
          <w:tcPr>
            <w:tcW w:w="2268" w:type="dxa"/>
          </w:tcPr>
          <w:p>
            <w:pPr>
              <w:pStyle w:val="nTable"/>
              <w:spacing w:after="40"/>
              <w:ind w:right="170"/>
            </w:pPr>
            <w:r>
              <w:rPr>
                <w:i/>
              </w:rPr>
              <w:t>Salaries and Allowances Tribunal Act Amendment Act 1978</w:t>
            </w:r>
          </w:p>
        </w:tc>
        <w:tc>
          <w:tcPr>
            <w:tcW w:w="1134" w:type="dxa"/>
          </w:tcPr>
          <w:p>
            <w:pPr>
              <w:pStyle w:val="nTable"/>
              <w:spacing w:after="40"/>
            </w:pPr>
            <w:r>
              <w:t>63 of 1978</w:t>
            </w:r>
          </w:p>
        </w:tc>
        <w:tc>
          <w:tcPr>
            <w:tcW w:w="1134" w:type="dxa"/>
          </w:tcPr>
          <w:p>
            <w:pPr>
              <w:pStyle w:val="nTable"/>
              <w:spacing w:after="40"/>
            </w:pPr>
            <w:r>
              <w:t>22 Sep 1978</w:t>
            </w:r>
          </w:p>
        </w:tc>
        <w:tc>
          <w:tcPr>
            <w:tcW w:w="2552" w:type="dxa"/>
          </w:tcPr>
          <w:p>
            <w:pPr>
              <w:pStyle w:val="nTable"/>
              <w:spacing w:after="40"/>
            </w:pPr>
            <w:r>
              <w:t>22 Sep 1978</w:t>
            </w:r>
          </w:p>
        </w:tc>
      </w:tr>
      <w:tr>
        <w:trPr>
          <w:cantSplit/>
        </w:trPr>
        <w:tc>
          <w:tcPr>
            <w:tcW w:w="2268" w:type="dxa"/>
          </w:tcPr>
          <w:p>
            <w:pPr>
              <w:pStyle w:val="nTable"/>
              <w:spacing w:after="40"/>
              <w:ind w:right="170"/>
            </w:pPr>
            <w:r>
              <w:rPr>
                <w:i/>
              </w:rPr>
              <w:t>Salaries and Allowances Tribunal Act Amendment Act 1979</w:t>
            </w:r>
          </w:p>
        </w:tc>
        <w:tc>
          <w:tcPr>
            <w:tcW w:w="1134" w:type="dxa"/>
          </w:tcPr>
          <w:p>
            <w:pPr>
              <w:pStyle w:val="nTable"/>
              <w:spacing w:after="40"/>
            </w:pPr>
            <w:r>
              <w:t>33 of 1979</w:t>
            </w:r>
          </w:p>
        </w:tc>
        <w:tc>
          <w:tcPr>
            <w:tcW w:w="1134" w:type="dxa"/>
          </w:tcPr>
          <w:p>
            <w:pPr>
              <w:pStyle w:val="nTable"/>
              <w:spacing w:after="40"/>
            </w:pPr>
            <w:r>
              <w:t>11 Oct 1979</w:t>
            </w:r>
          </w:p>
        </w:tc>
        <w:tc>
          <w:tcPr>
            <w:tcW w:w="2552" w:type="dxa"/>
          </w:tcPr>
          <w:p>
            <w:pPr>
              <w:pStyle w:val="nTable"/>
              <w:spacing w:after="40"/>
            </w:pPr>
            <w:r>
              <w:t>11 Oct 1979</w:t>
            </w:r>
          </w:p>
        </w:tc>
      </w:tr>
      <w:tr>
        <w:trPr>
          <w:cantSplit/>
        </w:trPr>
        <w:tc>
          <w:tcPr>
            <w:tcW w:w="2268" w:type="dxa"/>
          </w:tcPr>
          <w:p>
            <w:pPr>
              <w:pStyle w:val="nTable"/>
              <w:spacing w:after="40"/>
              <w:ind w:right="170"/>
            </w:pPr>
            <w:r>
              <w:rPr>
                <w:i/>
              </w:rPr>
              <w:t>Salaries and Allowances Tribunal Amendment Act 1980</w:t>
            </w:r>
          </w:p>
        </w:tc>
        <w:tc>
          <w:tcPr>
            <w:tcW w:w="1134" w:type="dxa"/>
          </w:tcPr>
          <w:p>
            <w:pPr>
              <w:pStyle w:val="nTable"/>
              <w:spacing w:after="40"/>
            </w:pPr>
            <w:r>
              <w:t>34 of 1980</w:t>
            </w:r>
          </w:p>
        </w:tc>
        <w:tc>
          <w:tcPr>
            <w:tcW w:w="1134" w:type="dxa"/>
          </w:tcPr>
          <w:p>
            <w:pPr>
              <w:pStyle w:val="nTable"/>
              <w:spacing w:after="40"/>
            </w:pPr>
            <w:r>
              <w:t>5 Nov 1980</w:t>
            </w:r>
          </w:p>
        </w:tc>
        <w:tc>
          <w:tcPr>
            <w:tcW w:w="2552" w:type="dxa"/>
          </w:tcPr>
          <w:p>
            <w:pPr>
              <w:pStyle w:val="nTable"/>
              <w:spacing w:after="40"/>
            </w:pPr>
            <w:r>
              <w:t>5 Nov 1980</w:t>
            </w:r>
          </w:p>
        </w:tc>
      </w:tr>
      <w:tr>
        <w:trPr>
          <w:cantSplit/>
        </w:trPr>
        <w:tc>
          <w:tcPr>
            <w:tcW w:w="2268" w:type="dxa"/>
          </w:tcPr>
          <w:p>
            <w:pPr>
              <w:pStyle w:val="nTable"/>
              <w:spacing w:after="40"/>
              <w:ind w:right="170"/>
            </w:pPr>
            <w:r>
              <w:rPr>
                <w:i/>
              </w:rPr>
              <w:t>Acts Amendment and Repeal (Disqualification for Parliament) Act 1984</w:t>
            </w:r>
            <w:r>
              <w:t xml:space="preserve"> Pt. X</w:t>
            </w:r>
          </w:p>
        </w:tc>
        <w:tc>
          <w:tcPr>
            <w:tcW w:w="1134" w:type="dxa"/>
          </w:tcPr>
          <w:p>
            <w:pPr>
              <w:pStyle w:val="nTable"/>
              <w:spacing w:after="40"/>
            </w:pPr>
            <w:r>
              <w:t>78 of 1984</w:t>
            </w:r>
          </w:p>
        </w:tc>
        <w:tc>
          <w:tcPr>
            <w:tcW w:w="1134" w:type="dxa"/>
          </w:tcPr>
          <w:p>
            <w:pPr>
              <w:pStyle w:val="nTable"/>
              <w:spacing w:after="40"/>
            </w:pPr>
            <w:r>
              <w:t>14 Nov 1984</w:t>
            </w:r>
          </w:p>
        </w:tc>
        <w:tc>
          <w:tcPr>
            <w:tcW w:w="2552" w:type="dxa"/>
          </w:tcPr>
          <w:p>
            <w:pPr>
              <w:pStyle w:val="nTable"/>
              <w:spacing w:after="40"/>
            </w:pPr>
            <w:r>
              <w:t>1 Jul 1985 (see s. 2 and </w:t>
            </w:r>
            <w:r>
              <w:rPr>
                <w:i/>
              </w:rPr>
              <w:t>Gazette</w:t>
            </w:r>
            <w:r>
              <w:t xml:space="preserve"> 17 May 1985 p. 1671)</w:t>
            </w:r>
          </w:p>
        </w:tc>
      </w:tr>
      <w:tr>
        <w:trPr>
          <w:cantSplit/>
        </w:trPr>
        <w:tc>
          <w:tcPr>
            <w:tcW w:w="2268" w:type="dxa"/>
          </w:tcPr>
          <w:p>
            <w:pPr>
              <w:pStyle w:val="nTable"/>
              <w:spacing w:after="40"/>
              <w:ind w:right="170"/>
            </w:pPr>
            <w:r>
              <w:rPr>
                <w:i/>
              </w:rPr>
              <w:t>Salaries and Allowances Amendment Act 1986</w:t>
            </w:r>
          </w:p>
        </w:tc>
        <w:tc>
          <w:tcPr>
            <w:tcW w:w="1134" w:type="dxa"/>
          </w:tcPr>
          <w:p>
            <w:pPr>
              <w:pStyle w:val="nTable"/>
              <w:keepNext/>
              <w:spacing w:after="40"/>
            </w:pPr>
            <w:r>
              <w:t>34 of 1986</w:t>
            </w:r>
          </w:p>
        </w:tc>
        <w:tc>
          <w:tcPr>
            <w:tcW w:w="1134" w:type="dxa"/>
          </w:tcPr>
          <w:p>
            <w:pPr>
              <w:pStyle w:val="nTable"/>
              <w:keepNext/>
              <w:spacing w:after="40"/>
            </w:pPr>
            <w:r>
              <w:t>1 Aug 1986</w:t>
            </w:r>
          </w:p>
        </w:tc>
        <w:tc>
          <w:tcPr>
            <w:tcW w:w="2552" w:type="dxa"/>
          </w:tcPr>
          <w:p>
            <w:pPr>
              <w:pStyle w:val="nTable"/>
              <w:keepNext/>
              <w:spacing w:after="40"/>
            </w:pPr>
            <w:r>
              <w:t>1 Aug 1986 (see s. 2)</w:t>
            </w:r>
          </w:p>
        </w:tc>
      </w:tr>
      <w:tr>
        <w:trPr>
          <w:cantSplit/>
        </w:trPr>
        <w:tc>
          <w:tcPr>
            <w:tcW w:w="2268" w:type="dxa"/>
          </w:tcPr>
          <w:p>
            <w:pPr>
              <w:pStyle w:val="nTable"/>
              <w:spacing w:after="40"/>
              <w:ind w:right="170"/>
            </w:pPr>
            <w:r>
              <w:rPr>
                <w:i/>
              </w:rPr>
              <w:t>Acts Amendment (Parliamentary Superannuation) Act 1986</w:t>
            </w:r>
            <w:r>
              <w:t xml:space="preserve"> Pt. II</w:t>
            </w:r>
          </w:p>
        </w:tc>
        <w:tc>
          <w:tcPr>
            <w:tcW w:w="1134" w:type="dxa"/>
          </w:tcPr>
          <w:p>
            <w:pPr>
              <w:pStyle w:val="nTable"/>
              <w:keepNext/>
              <w:spacing w:after="40"/>
            </w:pPr>
            <w:r>
              <w:t>58 of 1986</w:t>
            </w:r>
          </w:p>
        </w:tc>
        <w:tc>
          <w:tcPr>
            <w:tcW w:w="1134" w:type="dxa"/>
          </w:tcPr>
          <w:p>
            <w:pPr>
              <w:pStyle w:val="nTable"/>
              <w:spacing w:after="40"/>
            </w:pPr>
            <w:r>
              <w:t>26 Nov 1986</w:t>
            </w:r>
          </w:p>
        </w:tc>
        <w:tc>
          <w:tcPr>
            <w:tcW w:w="2552" w:type="dxa"/>
          </w:tcPr>
          <w:p>
            <w:pPr>
              <w:pStyle w:val="nTable"/>
              <w:spacing w:after="40"/>
            </w:pPr>
            <w:r>
              <w:t>24 Dec 1986</w:t>
            </w:r>
          </w:p>
        </w:tc>
      </w:tr>
      <w:tr>
        <w:trPr>
          <w:cantSplit/>
        </w:trPr>
        <w:tc>
          <w:tcPr>
            <w:tcW w:w="2268" w:type="dxa"/>
          </w:tcPr>
          <w:p>
            <w:pPr>
              <w:pStyle w:val="nTable"/>
              <w:spacing w:after="40"/>
              <w:ind w:right="170"/>
            </w:pPr>
            <w:r>
              <w:rPr>
                <w:i/>
              </w:rPr>
              <w:t>Salaries and Allowances Amendment Act 1987</w:t>
            </w:r>
          </w:p>
        </w:tc>
        <w:tc>
          <w:tcPr>
            <w:tcW w:w="1134" w:type="dxa"/>
          </w:tcPr>
          <w:p>
            <w:pPr>
              <w:pStyle w:val="nTable"/>
              <w:spacing w:after="40"/>
            </w:pPr>
            <w:r>
              <w:t>13 of 1987</w:t>
            </w:r>
          </w:p>
        </w:tc>
        <w:tc>
          <w:tcPr>
            <w:tcW w:w="1134" w:type="dxa"/>
          </w:tcPr>
          <w:p>
            <w:pPr>
              <w:pStyle w:val="nTable"/>
              <w:spacing w:after="40"/>
            </w:pPr>
            <w:r>
              <w:t>25 Jun 1987</w:t>
            </w:r>
          </w:p>
        </w:tc>
        <w:tc>
          <w:tcPr>
            <w:tcW w:w="2552" w:type="dxa"/>
          </w:tcPr>
          <w:p>
            <w:pPr>
              <w:pStyle w:val="nTable"/>
              <w:spacing w:after="40"/>
            </w:pPr>
            <w:r>
              <w:t>25 Jun 1987 (see s. 2)</w:t>
            </w:r>
          </w:p>
        </w:tc>
      </w:tr>
      <w:tr>
        <w:trPr>
          <w:cantSplit/>
        </w:trPr>
        <w:tc>
          <w:tcPr>
            <w:tcW w:w="2268" w:type="dxa"/>
          </w:tcPr>
          <w:p>
            <w:pPr>
              <w:pStyle w:val="nTable"/>
              <w:spacing w:after="40"/>
              <w:ind w:right="170"/>
            </w:pPr>
            <w:r>
              <w:rPr>
                <w:i/>
              </w:rPr>
              <w:lastRenderedPageBreak/>
              <w:t>Acts Amendment (Electoral Reform) Act 1987</w:t>
            </w:r>
            <w:r>
              <w:t xml:space="preserve"> Pt. VII</w:t>
            </w:r>
          </w:p>
        </w:tc>
        <w:tc>
          <w:tcPr>
            <w:tcW w:w="1134" w:type="dxa"/>
          </w:tcPr>
          <w:p>
            <w:pPr>
              <w:pStyle w:val="nTable"/>
              <w:spacing w:after="40"/>
            </w:pPr>
            <w:r>
              <w:t>40 of 1987</w:t>
            </w:r>
          </w:p>
        </w:tc>
        <w:tc>
          <w:tcPr>
            <w:tcW w:w="1134" w:type="dxa"/>
          </w:tcPr>
          <w:p>
            <w:pPr>
              <w:pStyle w:val="nTable"/>
              <w:spacing w:after="40"/>
            </w:pPr>
            <w:r>
              <w:t>12 Jul 1987</w:t>
            </w:r>
          </w:p>
        </w:tc>
        <w:tc>
          <w:tcPr>
            <w:tcW w:w="2552"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Acts Amendment (Parliamentary Superannuation) Act 1987</w:t>
            </w:r>
            <w:r>
              <w:t xml:space="preserve"> Pt. II</w:t>
            </w:r>
          </w:p>
        </w:tc>
        <w:tc>
          <w:tcPr>
            <w:tcW w:w="1134" w:type="dxa"/>
          </w:tcPr>
          <w:p>
            <w:pPr>
              <w:pStyle w:val="nTable"/>
              <w:spacing w:after="40"/>
            </w:pPr>
            <w:r>
              <w:t>103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ind w:right="170"/>
            </w:pPr>
            <w:r>
              <w:rPr>
                <w:i/>
              </w:rPr>
              <w:t>Acts Amendment (Parliamentary Superannuation) and Transitional Arrangements Act 1988</w:t>
            </w:r>
            <w:r>
              <w:t xml:space="preserve"> Pt. 2</w:t>
            </w:r>
          </w:p>
        </w:tc>
        <w:tc>
          <w:tcPr>
            <w:tcW w:w="1134" w:type="dxa"/>
          </w:tcPr>
          <w:p>
            <w:pPr>
              <w:pStyle w:val="nTable"/>
              <w:spacing w:after="40"/>
            </w:pPr>
            <w:r>
              <w:t>6 of 1988</w:t>
            </w:r>
          </w:p>
        </w:tc>
        <w:tc>
          <w:tcPr>
            <w:tcW w:w="1134" w:type="dxa"/>
          </w:tcPr>
          <w:p>
            <w:pPr>
              <w:pStyle w:val="nTable"/>
              <w:spacing w:after="40"/>
            </w:pPr>
            <w:r>
              <w:t>30 Jun 1988</w:t>
            </w:r>
          </w:p>
        </w:tc>
        <w:tc>
          <w:tcPr>
            <w:tcW w:w="2552" w:type="dxa"/>
          </w:tcPr>
          <w:p>
            <w:pPr>
              <w:pStyle w:val="nTable"/>
              <w:spacing w:after="40"/>
            </w:pPr>
            <w:r>
              <w:t>30 Jun 1988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cantSplit/>
        </w:trPr>
        <w:tc>
          <w:tcPr>
            <w:tcW w:w="2268" w:type="dxa"/>
          </w:tcPr>
          <w:p>
            <w:pPr>
              <w:pStyle w:val="nTable"/>
              <w:spacing w:after="40"/>
              <w:ind w:right="170"/>
            </w:pPr>
            <w:r>
              <w:rPr>
                <w:i/>
              </w:rPr>
              <w:t>Acts Amendment (Remuneration of Governor) Act 1989</w:t>
            </w:r>
            <w:r>
              <w:t xml:space="preserve"> Pt. 3</w:t>
            </w:r>
          </w:p>
        </w:tc>
        <w:tc>
          <w:tcPr>
            <w:tcW w:w="1134" w:type="dxa"/>
          </w:tcPr>
          <w:p>
            <w:pPr>
              <w:pStyle w:val="nTable"/>
              <w:spacing w:after="40"/>
            </w:pPr>
            <w:r>
              <w:t>19 of 1989</w:t>
            </w:r>
          </w:p>
        </w:tc>
        <w:tc>
          <w:tcPr>
            <w:tcW w:w="1134" w:type="dxa"/>
          </w:tcPr>
          <w:p>
            <w:pPr>
              <w:pStyle w:val="nTable"/>
              <w:spacing w:after="40"/>
            </w:pPr>
            <w:r>
              <w:t>1 Dec 1989</w:t>
            </w:r>
          </w:p>
        </w:tc>
        <w:tc>
          <w:tcPr>
            <w:tcW w:w="2552" w:type="dxa"/>
          </w:tcPr>
          <w:p>
            <w:pPr>
              <w:pStyle w:val="nTable"/>
              <w:spacing w:after="40"/>
            </w:pPr>
            <w:r>
              <w:t>1 Dec 1989 (see s. 2(1))</w:t>
            </w:r>
          </w:p>
        </w:tc>
      </w:tr>
      <w:tr>
        <w:trPr>
          <w:cantSplit/>
        </w:trPr>
        <w:tc>
          <w:tcPr>
            <w:tcW w:w="2268" w:type="dxa"/>
          </w:tcPr>
          <w:p>
            <w:pPr>
              <w:pStyle w:val="nTable"/>
              <w:spacing w:after="40"/>
              <w:ind w:right="170"/>
            </w:pPr>
            <w:r>
              <w:rPr>
                <w:i/>
              </w:rPr>
              <w:t>Acts Amendment (Parliamentary Superannuation) Act 1989</w:t>
            </w:r>
            <w:r>
              <w:t xml:space="preserve"> Pt. 5</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8" w:type="dxa"/>
          </w:tcPr>
          <w:p>
            <w:pPr>
              <w:pStyle w:val="nTable"/>
              <w:spacing w:after="40"/>
              <w:ind w:right="170"/>
            </w:pPr>
            <w:r>
              <w:rPr>
                <w:i/>
              </w:rPr>
              <w:t>Acts Amendment (Parliamentary Secretaries) Act 1990</w:t>
            </w:r>
            <w:r>
              <w:t xml:space="preserve"> Pt. 3 </w:t>
            </w:r>
          </w:p>
        </w:tc>
        <w:tc>
          <w:tcPr>
            <w:tcW w:w="1134" w:type="dxa"/>
          </w:tcPr>
          <w:p>
            <w:pPr>
              <w:pStyle w:val="nTable"/>
              <w:keepNext/>
              <w:spacing w:after="40"/>
            </w:pPr>
            <w:r>
              <w:t>38 of 1990</w:t>
            </w:r>
          </w:p>
        </w:tc>
        <w:tc>
          <w:tcPr>
            <w:tcW w:w="1134" w:type="dxa"/>
          </w:tcPr>
          <w:p>
            <w:pPr>
              <w:pStyle w:val="nTable"/>
              <w:keepNext/>
              <w:spacing w:after="40"/>
            </w:pPr>
            <w:r>
              <w:t>8 Nov 1990</w:t>
            </w:r>
          </w:p>
        </w:tc>
        <w:tc>
          <w:tcPr>
            <w:tcW w:w="2552" w:type="dxa"/>
          </w:tcPr>
          <w:p>
            <w:pPr>
              <w:pStyle w:val="nTable"/>
              <w:keepNext/>
              <w:spacing w:after="40"/>
            </w:pPr>
            <w:r>
              <w:t>8 Nov 1990 (see s. 2)</w:t>
            </w:r>
          </w:p>
        </w:tc>
      </w:tr>
      <w:tr>
        <w:trPr>
          <w:cantSplit/>
        </w:trPr>
        <w:tc>
          <w:tcPr>
            <w:tcW w:w="2268" w:type="dxa"/>
          </w:tcPr>
          <w:p>
            <w:pPr>
              <w:pStyle w:val="nTable"/>
              <w:spacing w:after="40"/>
              <w:ind w:right="170"/>
            </w:pPr>
            <w:r>
              <w:rPr>
                <w:i/>
              </w:rPr>
              <w:t>Salaries and Allowances Amendment Act 1991</w:t>
            </w:r>
          </w:p>
        </w:tc>
        <w:tc>
          <w:tcPr>
            <w:tcW w:w="1134" w:type="dxa"/>
          </w:tcPr>
          <w:p>
            <w:pPr>
              <w:pStyle w:val="nTable"/>
              <w:spacing w:after="40"/>
            </w:pPr>
            <w:r>
              <w:t>49 of 1991</w:t>
            </w:r>
          </w:p>
        </w:tc>
        <w:tc>
          <w:tcPr>
            <w:tcW w:w="1134" w:type="dxa"/>
          </w:tcPr>
          <w:p>
            <w:pPr>
              <w:pStyle w:val="nTable"/>
              <w:spacing w:after="40"/>
            </w:pPr>
            <w:r>
              <w:t>17 Dec 1991</w:t>
            </w:r>
          </w:p>
        </w:tc>
        <w:tc>
          <w:tcPr>
            <w:tcW w:w="2552" w:type="dxa"/>
          </w:tcPr>
          <w:p>
            <w:pPr>
              <w:pStyle w:val="nTable"/>
              <w:spacing w:after="40"/>
            </w:pPr>
            <w:r>
              <w:t>17 Dec 1991 (see s. 2)</w:t>
            </w:r>
          </w:p>
        </w:tc>
      </w:tr>
      <w:tr>
        <w:trPr>
          <w:cantSplit/>
        </w:trPr>
        <w:tc>
          <w:tcPr>
            <w:tcW w:w="2268" w:type="dxa"/>
          </w:tcPr>
          <w:p>
            <w:pPr>
              <w:pStyle w:val="nTable"/>
              <w:spacing w:after="40"/>
              <w:ind w:right="170"/>
            </w:pPr>
            <w:r>
              <w:rPr>
                <w:i/>
              </w:rPr>
              <w:t>Salaries and Allowances Amendment Act 1992</w:t>
            </w:r>
          </w:p>
        </w:tc>
        <w:tc>
          <w:tcPr>
            <w:tcW w:w="1134" w:type="dxa"/>
          </w:tcPr>
          <w:p>
            <w:pPr>
              <w:pStyle w:val="nTable"/>
              <w:spacing w:after="40"/>
            </w:pPr>
            <w:r>
              <w:t>68 of 1992</w:t>
            </w:r>
          </w:p>
        </w:tc>
        <w:tc>
          <w:tcPr>
            <w:tcW w:w="1134" w:type="dxa"/>
          </w:tcPr>
          <w:p>
            <w:pPr>
              <w:pStyle w:val="nTable"/>
              <w:spacing w:after="40"/>
            </w:pPr>
            <w:r>
              <w:t>11 Dec 1992</w:t>
            </w:r>
          </w:p>
        </w:tc>
        <w:tc>
          <w:tcPr>
            <w:tcW w:w="2552" w:type="dxa"/>
          </w:tcPr>
          <w:p>
            <w:pPr>
              <w:pStyle w:val="nTable"/>
              <w:spacing w:after="40"/>
            </w:pPr>
            <w:r>
              <w:t>11 Dec 1992 (see s. 2)</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70"/>
            </w:pPr>
            <w:r>
              <w:rPr>
                <w:i/>
              </w:rPr>
              <w:t>Acts Amendment (Official Corruption Commission) Act 1994</w:t>
            </w:r>
            <w:r>
              <w:t xml:space="preserve"> s. 20</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cantSplit/>
        </w:trPr>
        <w:tc>
          <w:tcPr>
            <w:tcW w:w="2268" w:type="dxa"/>
          </w:tcPr>
          <w:p>
            <w:pPr>
              <w:pStyle w:val="nTable"/>
              <w:spacing w:after="40"/>
              <w:ind w:right="170"/>
            </w:pPr>
            <w:r>
              <w:rPr>
                <w:i/>
              </w:rPr>
              <w:lastRenderedPageBreak/>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70"/>
            </w:pPr>
            <w:r>
              <w:rPr>
                <w:i/>
              </w:rPr>
              <w:t>Industrial Legislation Amendment Act 1995</w:t>
            </w:r>
            <w:r>
              <w:t xml:space="preserve"> s. 37</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9 May 1995 (see s. 2(1))</w:t>
            </w:r>
          </w:p>
        </w:tc>
      </w:tr>
      <w:tr>
        <w:trPr>
          <w:cantSplit/>
        </w:trPr>
        <w:tc>
          <w:tcPr>
            <w:tcW w:w="2268" w:type="dxa"/>
          </w:tcPr>
          <w:p>
            <w:pPr>
              <w:pStyle w:val="nTable"/>
              <w:spacing w:after="40"/>
              <w:ind w:right="170"/>
            </w:pPr>
            <w:r>
              <w:rPr>
                <w:i/>
              </w:rPr>
              <w:t>Salaries and Allowances Amendment Act 1995</w:t>
            </w:r>
            <w:r>
              <w:rPr>
                <w:vertAlign w:val="superscript"/>
              </w:rPr>
              <w:t> 2</w:t>
            </w:r>
          </w:p>
        </w:tc>
        <w:tc>
          <w:tcPr>
            <w:tcW w:w="1134" w:type="dxa"/>
          </w:tcPr>
          <w:p>
            <w:pPr>
              <w:pStyle w:val="nTable"/>
              <w:spacing w:after="40"/>
            </w:pPr>
            <w:r>
              <w:t>45 of 1995</w:t>
            </w:r>
          </w:p>
        </w:tc>
        <w:tc>
          <w:tcPr>
            <w:tcW w:w="1134" w:type="dxa"/>
          </w:tcPr>
          <w:p>
            <w:pPr>
              <w:pStyle w:val="nTable"/>
              <w:spacing w:after="40"/>
            </w:pPr>
            <w:r>
              <w:t>18 Oct 1995</w:t>
            </w:r>
          </w:p>
        </w:tc>
        <w:tc>
          <w:tcPr>
            <w:tcW w:w="2552" w:type="dxa"/>
          </w:tcPr>
          <w:p>
            <w:pPr>
              <w:pStyle w:val="nTable"/>
              <w:spacing w:after="40"/>
            </w:pPr>
            <w:r>
              <w:t>18 Oct 1995 (see s. 2)</w:t>
            </w:r>
          </w:p>
        </w:tc>
      </w:tr>
      <w:tr>
        <w:trPr>
          <w:cantSplit/>
        </w:trPr>
        <w:tc>
          <w:tcPr>
            <w:tcW w:w="2268" w:type="dxa"/>
          </w:tcPr>
          <w:p>
            <w:pPr>
              <w:pStyle w:val="nTable"/>
              <w:spacing w:after="40"/>
              <w:ind w:right="170"/>
            </w:pPr>
            <w:r>
              <w:rPr>
                <w:i/>
              </w:rPr>
              <w:t>Official Corruption Commission Amendment Act 1996</w:t>
            </w:r>
            <w:r>
              <w:t xml:space="preserve"> s. 26</w:t>
            </w:r>
          </w:p>
        </w:tc>
        <w:tc>
          <w:tcPr>
            <w:tcW w:w="1134" w:type="dxa"/>
          </w:tcPr>
          <w:p>
            <w:pPr>
              <w:pStyle w:val="nTable"/>
              <w:keepNext/>
              <w:spacing w:after="40"/>
            </w:pPr>
            <w:r>
              <w:t>29 of 1996</w:t>
            </w:r>
          </w:p>
        </w:tc>
        <w:tc>
          <w:tcPr>
            <w:tcW w:w="1134"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70"/>
            </w:pPr>
            <w:r>
              <w:rPr>
                <w:i/>
              </w:rPr>
              <w:t>Acts Amendment (Auxiliary Judges) Act 1997</w:t>
            </w:r>
            <w:r>
              <w:t xml:space="preserve"> Pt. 9</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8" w:type="dxa"/>
          </w:tcPr>
          <w:p>
            <w:pPr>
              <w:pStyle w:val="nTable"/>
              <w:spacing w:after="40"/>
              <w:ind w:right="17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cantSplit/>
        </w:trPr>
        <w:tc>
          <w:tcPr>
            <w:tcW w:w="2268" w:type="dxa"/>
          </w:tcPr>
          <w:p>
            <w:pPr>
              <w:pStyle w:val="nTable"/>
              <w:spacing w:after="40"/>
              <w:ind w:right="170"/>
            </w:pPr>
            <w:r>
              <w:rPr>
                <w:i/>
              </w:rPr>
              <w:t xml:space="preserve">Electoral Amendment Act 2000 </w:t>
            </w:r>
            <w:r>
              <w:t>s. 26 and 57</w:t>
            </w:r>
          </w:p>
        </w:tc>
        <w:tc>
          <w:tcPr>
            <w:tcW w:w="1134" w:type="dxa"/>
          </w:tcPr>
          <w:p>
            <w:pPr>
              <w:pStyle w:val="nTable"/>
              <w:spacing w:after="40"/>
            </w:pPr>
            <w:r>
              <w:t>36 of 2000</w:t>
            </w:r>
          </w:p>
        </w:tc>
        <w:tc>
          <w:tcPr>
            <w:tcW w:w="1134" w:type="dxa"/>
          </w:tcPr>
          <w:p>
            <w:pPr>
              <w:pStyle w:val="nTable"/>
              <w:spacing w:after="40"/>
            </w:pPr>
            <w:r>
              <w:t>10 Oct 2000</w:t>
            </w:r>
          </w:p>
        </w:tc>
        <w:tc>
          <w:tcPr>
            <w:tcW w:w="2552"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ind w:right="170"/>
              <w:rPr>
                <w:i/>
              </w:rPr>
            </w:pPr>
            <w:r>
              <w:rPr>
                <w:i/>
              </w:rPr>
              <w:t xml:space="preserve">Parliamentary Superannuation Legislation Amendment Act 2000 </w:t>
            </w:r>
            <w:r>
              <w:t>Pt. 3</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2268" w:type="dxa"/>
          </w:tcPr>
          <w:p>
            <w:pPr>
              <w:pStyle w:val="nTable"/>
              <w:spacing w:after="40"/>
              <w:ind w:right="170"/>
              <w:rPr>
                <w:i/>
              </w:rPr>
            </w:pPr>
            <w:r>
              <w:rPr>
                <w:i/>
              </w:rPr>
              <w:t>Salaries and Allowances Amendment Act 2001</w:t>
            </w:r>
          </w:p>
        </w:tc>
        <w:tc>
          <w:tcPr>
            <w:tcW w:w="1134" w:type="dxa"/>
          </w:tcPr>
          <w:p>
            <w:pPr>
              <w:pStyle w:val="nTable"/>
              <w:spacing w:after="40"/>
            </w:pPr>
            <w:r>
              <w:t>22 of 2001</w:t>
            </w:r>
          </w:p>
        </w:tc>
        <w:tc>
          <w:tcPr>
            <w:tcW w:w="1134" w:type="dxa"/>
          </w:tcPr>
          <w:p>
            <w:pPr>
              <w:pStyle w:val="nTable"/>
              <w:spacing w:after="40"/>
            </w:pPr>
            <w:r>
              <w:t>26 Nov 2001</w:t>
            </w:r>
          </w:p>
        </w:tc>
        <w:tc>
          <w:tcPr>
            <w:tcW w:w="2552" w:type="dxa"/>
          </w:tcPr>
          <w:p>
            <w:pPr>
              <w:pStyle w:val="nTable"/>
              <w:spacing w:after="40"/>
            </w:pPr>
            <w:r>
              <w:t>26 Nov 2001 (see s. 2)</w:t>
            </w:r>
          </w:p>
        </w:tc>
      </w:tr>
      <w:tr>
        <w:trPr>
          <w:cantSplit/>
        </w:trPr>
        <w:tc>
          <w:tcPr>
            <w:tcW w:w="2268" w:type="dxa"/>
          </w:tcPr>
          <w:p>
            <w:pPr>
              <w:pStyle w:val="nTable"/>
              <w:spacing w:after="40"/>
              <w:ind w:right="170"/>
            </w:pPr>
            <w:r>
              <w:rPr>
                <w:i/>
              </w:rPr>
              <w:t>Corruption and Crime Commission Act 2003</w:t>
            </w:r>
            <w:r>
              <w:t xml:space="preserve"> Sch. 4 cl.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rPr>
          <w:cantSplit/>
        </w:trPr>
        <w:tc>
          <w:tcPr>
            <w:tcW w:w="2268" w:type="dxa"/>
          </w:tcPr>
          <w:p>
            <w:pPr>
              <w:pStyle w:val="nTable"/>
              <w:spacing w:after="40"/>
              <w:ind w:right="170"/>
            </w:pPr>
            <w:r>
              <w:rPr>
                <w:i/>
              </w:rPr>
              <w:lastRenderedPageBreak/>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tcPr>
          <w:p>
            <w:pPr>
              <w:pStyle w:val="nTable"/>
              <w:spacing w:after="40"/>
              <w:rPr>
                <w:snapToGrid w:val="0"/>
              </w:rPr>
            </w:pPr>
            <w:r>
              <w:t>49 of 2004</w:t>
            </w:r>
          </w:p>
        </w:tc>
        <w:tc>
          <w:tcPr>
            <w:tcW w:w="1134" w:type="dxa"/>
          </w:tcPr>
          <w:p>
            <w:pPr>
              <w:pStyle w:val="nTable"/>
              <w:spacing w:after="40"/>
            </w:pPr>
            <w:r>
              <w:t>12 Nov 2004</w:t>
            </w:r>
          </w:p>
        </w:tc>
        <w:tc>
          <w:tcPr>
            <w:tcW w:w="2552" w:type="dxa"/>
          </w:tcPr>
          <w:p>
            <w:pPr>
              <w:pStyle w:val="nTable"/>
              <w:spacing w:after="40"/>
              <w:rPr>
                <w:snapToGrid w:val="0"/>
              </w:rPr>
            </w:pPr>
            <w:r>
              <w:t xml:space="preserve">1 Apr 2005 (see s. 2 and </w:t>
            </w:r>
            <w:r>
              <w:rPr>
                <w:i/>
              </w:rPr>
              <w:t>Gazette</w:t>
            </w:r>
            <w:r>
              <w:t xml:space="preserve"> 31 Mar 2005 p. 1029)</w:t>
            </w:r>
          </w:p>
        </w:tc>
      </w:tr>
      <w:tr>
        <w:trPr>
          <w:cantSplit/>
        </w:trPr>
        <w:tc>
          <w:tcPr>
            <w:tcW w:w="2268" w:type="dxa"/>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tcPr>
          <w:p>
            <w:pPr>
              <w:pStyle w:val="nTable"/>
              <w:spacing w:after="40"/>
            </w:pPr>
            <w:r>
              <w:rPr>
                <w:snapToGrid w:val="0"/>
              </w:rPr>
              <w:t>1 of 2005</w:t>
            </w:r>
          </w:p>
        </w:tc>
        <w:tc>
          <w:tcPr>
            <w:tcW w:w="1134" w:type="dxa"/>
          </w:tcPr>
          <w:p>
            <w:pPr>
              <w:pStyle w:val="nTable"/>
              <w:spacing w:after="40"/>
            </w:pPr>
            <w:r>
              <w:t>20 May 2005</w:t>
            </w:r>
          </w:p>
        </w:tc>
        <w:tc>
          <w:tcPr>
            <w:tcW w:w="2552" w:type="dxa"/>
          </w:tcPr>
          <w:p>
            <w:pPr>
              <w:pStyle w:val="nTable"/>
              <w:spacing w:after="40"/>
            </w:pPr>
            <w:r>
              <w:rPr>
                <w:snapToGrid w:val="0"/>
              </w:rPr>
              <w:t>20 May 2005 (see s. 2)</w:t>
            </w:r>
          </w:p>
        </w:tc>
      </w:tr>
      <w:tr>
        <w:trPr>
          <w:cantSplit/>
        </w:trPr>
        <w:tc>
          <w:tcPr>
            <w:tcW w:w="7088" w:type="dxa"/>
            <w:gridSpan w:val="4"/>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cantSplit/>
        </w:trPr>
        <w:tc>
          <w:tcPr>
            <w:tcW w:w="2268" w:type="dxa"/>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tcPr>
          <w:p>
            <w:pPr>
              <w:pStyle w:val="nTable"/>
              <w:spacing w:after="40"/>
            </w:pPr>
            <w:r>
              <w:rPr>
                <w:snapToGrid w:val="0"/>
              </w:rPr>
              <w:t>56 of 2006</w:t>
            </w:r>
          </w:p>
        </w:tc>
        <w:tc>
          <w:tcPr>
            <w:tcW w:w="1134" w:type="dxa"/>
          </w:tcPr>
          <w:p>
            <w:pPr>
              <w:pStyle w:val="nTable"/>
              <w:spacing w:after="40"/>
            </w:pPr>
            <w:r>
              <w:t>16 Nov 2006</w:t>
            </w:r>
          </w:p>
        </w:tc>
        <w:tc>
          <w:tcPr>
            <w:tcW w:w="2552" w:type="dxa"/>
          </w:tcPr>
          <w:p>
            <w:pPr>
              <w:pStyle w:val="nTable"/>
              <w:spacing w:after="40"/>
            </w:pPr>
            <w:r>
              <w:rPr>
                <w:snapToGrid w:val="0"/>
              </w:rPr>
              <w:t>17 Nov 2006 (see s. 2)</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78</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8" w:type="dxa"/>
            <w:gridSpan w:val="4"/>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cantSplit/>
        </w:trPr>
        <w:tc>
          <w:tcPr>
            <w:tcW w:w="2268" w:type="dxa"/>
          </w:tcPr>
          <w:p>
            <w:pPr>
              <w:pStyle w:val="nTable"/>
              <w:spacing w:after="40"/>
              <w:rPr>
                <w:iCs/>
                <w:snapToGrid w:val="0"/>
              </w:rPr>
            </w:pPr>
            <w:r>
              <w:rPr>
                <w:i/>
                <w:snapToGrid w:val="0"/>
              </w:rPr>
              <w:t>Public Sector Reform Act 2010</w:t>
            </w:r>
            <w:r>
              <w:rPr>
                <w:iCs/>
                <w:snapToGrid w:val="0"/>
              </w:rPr>
              <w:t xml:space="preserve"> s. 83</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shd w:val="clear" w:color="auto" w:fill="auto"/>
          </w:tcPr>
          <w:p>
            <w:pPr>
              <w:pStyle w:val="nTable"/>
              <w:spacing w:after="40"/>
              <w:rPr>
                <w:snapToGrid w:val="0"/>
              </w:rPr>
            </w:pPr>
            <w:r>
              <w:rPr>
                <w:snapToGrid w:val="0"/>
              </w:rPr>
              <w:t>2 of 2012</w:t>
            </w:r>
          </w:p>
        </w:tc>
        <w:tc>
          <w:tcPr>
            <w:tcW w:w="1134" w:type="dxa"/>
            <w:shd w:val="clear" w:color="auto" w:fill="auto"/>
          </w:tcPr>
          <w:p>
            <w:pPr>
              <w:pStyle w:val="nTable"/>
              <w:spacing w:after="40"/>
            </w:pPr>
            <w:r>
              <w:t>4 Apr 2012</w:t>
            </w:r>
          </w:p>
        </w:tc>
        <w:tc>
          <w:tcPr>
            <w:tcW w:w="2552" w:type="dxa"/>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cantSplit/>
        </w:trPr>
        <w:tc>
          <w:tcPr>
            <w:tcW w:w="2268" w:type="dxa"/>
            <w:shd w:val="clear" w:color="auto" w:fill="auto"/>
          </w:tcPr>
          <w:p>
            <w:pPr>
              <w:pStyle w:val="nTable"/>
              <w:spacing w:after="40"/>
              <w:rPr>
                <w:i/>
                <w:snapToGrid w:val="0"/>
              </w:rPr>
            </w:pPr>
            <w:r>
              <w:rPr>
                <w:i/>
              </w:rPr>
              <w:lastRenderedPageBreak/>
              <w:t>Workforce Reform Act 2014</w:t>
            </w:r>
            <w:r>
              <w:t xml:space="preserve"> Pt. 4</w:t>
            </w:r>
          </w:p>
        </w:tc>
        <w:tc>
          <w:tcPr>
            <w:tcW w:w="1134" w:type="dxa"/>
            <w:shd w:val="clear" w:color="auto" w:fill="auto"/>
          </w:tcPr>
          <w:p>
            <w:pPr>
              <w:pStyle w:val="nTable"/>
              <w:spacing w:after="40"/>
              <w:rPr>
                <w:snapToGrid w:val="0"/>
              </w:rPr>
            </w:pPr>
            <w:r>
              <w:t>8 of 2014</w:t>
            </w:r>
          </w:p>
        </w:tc>
        <w:tc>
          <w:tcPr>
            <w:tcW w:w="1134" w:type="dxa"/>
            <w:shd w:val="clear" w:color="auto" w:fill="auto"/>
          </w:tcPr>
          <w:p>
            <w:pPr>
              <w:pStyle w:val="nTable"/>
              <w:spacing w:after="40"/>
            </w:pPr>
            <w:r>
              <w:t>20 May 2014</w:t>
            </w:r>
          </w:p>
        </w:tc>
        <w:tc>
          <w:tcPr>
            <w:tcW w:w="2552" w:type="dxa"/>
            <w:shd w:val="clear" w:color="auto" w:fill="auto"/>
          </w:tcPr>
          <w:p>
            <w:pPr>
              <w:pStyle w:val="nTable"/>
              <w:spacing w:after="40"/>
              <w:rPr>
                <w:snapToGrid w:val="0"/>
              </w:rPr>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pPr>
            <w:r>
              <w:rPr>
                <w:snapToGrid w:val="0"/>
              </w:rPr>
              <w:t>35 of 2014</w:t>
            </w:r>
          </w:p>
        </w:tc>
        <w:tc>
          <w:tcPr>
            <w:tcW w:w="1134" w:type="dxa"/>
            <w:shd w:val="clear" w:color="auto" w:fill="auto"/>
          </w:tcPr>
          <w:p>
            <w:pPr>
              <w:pStyle w:val="nTable"/>
              <w:spacing w:after="40"/>
            </w:pPr>
            <w:r>
              <w:t>9 Dec 2014</w:t>
            </w:r>
          </w:p>
        </w:tc>
        <w:tc>
          <w:tcPr>
            <w:tcW w:w="2552" w:type="dxa"/>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shd w:val="clear" w:color="auto" w:fill="auto"/>
          </w:tcPr>
          <w:p>
            <w:pPr>
              <w:pStyle w:val="nTable"/>
              <w:spacing w:after="40"/>
              <w:rPr>
                <w:snapToGrid w:val="0"/>
              </w:rPr>
            </w:pPr>
            <w:r>
              <w:t>32 of 2016</w:t>
            </w:r>
          </w:p>
        </w:tc>
        <w:tc>
          <w:tcPr>
            <w:tcW w:w="1134" w:type="dxa"/>
            <w:shd w:val="clear" w:color="auto" w:fill="auto"/>
          </w:tcPr>
          <w:p>
            <w:pPr>
              <w:pStyle w:val="nTable"/>
              <w:spacing w:after="40"/>
            </w:pPr>
            <w:r>
              <w:t>19 Oct 2016</w:t>
            </w:r>
          </w:p>
        </w:tc>
        <w:tc>
          <w:tcPr>
            <w:tcW w:w="2552" w:type="dxa"/>
            <w:shd w:val="clear" w:color="auto" w:fill="auto"/>
          </w:tcPr>
          <w:p>
            <w:pPr>
              <w:pStyle w:val="nTable"/>
              <w:spacing w:after="40"/>
              <w:rPr>
                <w:snapToGrid w:val="0"/>
              </w:rPr>
            </w:pPr>
            <w:r>
              <w:t xml:space="preserve">1 Oct 2017 (see s. 2(b) and </w:t>
            </w:r>
            <w:r>
              <w:rPr>
                <w:i/>
              </w:rPr>
              <w:t>Gazette</w:t>
            </w:r>
            <w:r>
              <w:t xml:space="preserve"> 9 Dec 2016 p. 5557)</w:t>
            </w:r>
          </w:p>
        </w:tc>
      </w:tr>
      <w:tr>
        <w:trPr>
          <w:cantSplit/>
        </w:trPr>
        <w:tc>
          <w:tcPr>
            <w:tcW w:w="2268" w:type="dxa"/>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shd w:val="clear" w:color="auto" w:fill="auto"/>
          </w:tcPr>
          <w:p>
            <w:pPr>
              <w:pStyle w:val="nTable"/>
              <w:spacing w:after="40"/>
              <w:rPr>
                <w:snapToGrid w:val="0"/>
              </w:rPr>
            </w:pPr>
            <w:r>
              <w:rPr>
                <w:snapToGrid w:val="0"/>
              </w:rPr>
              <w:t>46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rPr>
            </w:pPr>
            <w:r>
              <w:rPr>
                <w:snapToGrid w:val="0"/>
              </w:rPr>
              <w:t>8 Dec 2016 (see s. 2(b))</w:t>
            </w:r>
          </w:p>
        </w:tc>
      </w:tr>
      <w:tr>
        <w:trPr>
          <w:cantSplit/>
        </w:trPr>
        <w:tc>
          <w:tcPr>
            <w:tcW w:w="2268" w:type="dxa"/>
            <w:shd w:val="clear" w:color="auto" w:fill="auto"/>
          </w:tcPr>
          <w:p>
            <w:pPr>
              <w:pStyle w:val="nTable"/>
              <w:spacing w:after="40"/>
              <w:rPr>
                <w:i/>
                <w:snapToGrid w:val="0"/>
              </w:rPr>
            </w:pPr>
            <w:r>
              <w:rPr>
                <w:i/>
              </w:rPr>
              <w:t>Salaries and Allowances Amendment (Debt and Deficit Remediation) Act 2018</w:t>
            </w:r>
          </w:p>
        </w:tc>
        <w:tc>
          <w:tcPr>
            <w:tcW w:w="1134" w:type="dxa"/>
            <w:shd w:val="clear" w:color="auto" w:fill="auto"/>
          </w:tcPr>
          <w:p>
            <w:pPr>
              <w:pStyle w:val="nTable"/>
              <w:spacing w:after="40"/>
              <w:rPr>
                <w:snapToGrid w:val="0"/>
              </w:rPr>
            </w:pPr>
            <w:r>
              <w:rPr>
                <w:snapToGrid w:val="0"/>
              </w:rPr>
              <w:t>1 of 2018</w:t>
            </w:r>
          </w:p>
        </w:tc>
        <w:tc>
          <w:tcPr>
            <w:tcW w:w="1134" w:type="dxa"/>
            <w:shd w:val="clear" w:color="auto" w:fill="auto"/>
          </w:tcPr>
          <w:p>
            <w:pPr>
              <w:pStyle w:val="nTable"/>
              <w:spacing w:after="40"/>
            </w:pPr>
            <w:r>
              <w:t>27 Feb 2018</w:t>
            </w:r>
          </w:p>
        </w:tc>
        <w:tc>
          <w:tcPr>
            <w:tcW w:w="2552" w:type="dxa"/>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r>
        <w:trPr>
          <w:cantSplit/>
        </w:trPr>
        <w:tc>
          <w:tcPr>
            <w:tcW w:w="2268" w:type="dxa"/>
            <w:shd w:val="clear" w:color="auto" w:fill="auto"/>
          </w:tcPr>
          <w:p>
            <w:pPr>
              <w:pStyle w:val="nTable"/>
              <w:spacing w:after="40"/>
              <w:rPr>
                <w:i/>
              </w:rPr>
            </w:pPr>
            <w:r>
              <w:rPr>
                <w:i/>
              </w:rPr>
              <w:t>Constitutional and Electoral Legislation Amendment (Electoral Equality) Act 2021</w:t>
            </w:r>
            <w:r>
              <w:t xml:space="preserve"> s. 96</w:t>
            </w:r>
          </w:p>
        </w:tc>
        <w:tc>
          <w:tcPr>
            <w:tcW w:w="1134" w:type="dxa"/>
            <w:shd w:val="clear" w:color="auto" w:fill="auto"/>
          </w:tcPr>
          <w:p>
            <w:pPr>
              <w:pStyle w:val="nTable"/>
              <w:spacing w:after="40"/>
              <w:rPr>
                <w:snapToGrid w:val="0"/>
              </w:rPr>
            </w:pPr>
            <w:r>
              <w:rPr>
                <w:snapToGrid w:val="0"/>
              </w:rPr>
              <w:t>20 of 2021</w:t>
            </w:r>
          </w:p>
        </w:tc>
        <w:tc>
          <w:tcPr>
            <w:tcW w:w="1134" w:type="dxa"/>
            <w:shd w:val="clear" w:color="auto" w:fill="auto"/>
          </w:tcPr>
          <w:p>
            <w:pPr>
              <w:pStyle w:val="nTable"/>
              <w:spacing w:after="40"/>
            </w:pPr>
            <w:r>
              <w:rPr>
                <w:snapToGrid w:val="0"/>
              </w:rPr>
              <w:t>24 Nov 2021</w:t>
            </w:r>
          </w:p>
        </w:tc>
        <w:tc>
          <w:tcPr>
            <w:tcW w:w="2552" w:type="dxa"/>
            <w:shd w:val="clear" w:color="auto" w:fill="auto"/>
          </w:tcPr>
          <w:p>
            <w:pPr>
              <w:pStyle w:val="nTable"/>
              <w:spacing w:after="40"/>
              <w:rPr>
                <w:snapToGrid w:val="0"/>
              </w:rPr>
            </w:pPr>
            <w:r>
              <w:rPr>
                <w:snapToGrid w:val="0"/>
              </w:rPr>
              <w:t>25 Nov 2021 (see s. 2(b))</w:t>
            </w:r>
          </w:p>
        </w:tc>
      </w:tr>
      <w:tr>
        <w:trPr>
          <w:cantSplit/>
        </w:trPr>
        <w:tc>
          <w:tcPr>
            <w:tcW w:w="2268" w:type="dxa"/>
            <w:tcBorders>
              <w:bottom w:val="single" w:sz="4" w:space="0" w:color="auto"/>
            </w:tcBorders>
            <w:shd w:val="clear" w:color="auto" w:fill="auto"/>
          </w:tcPr>
          <w:p>
            <w:pPr>
              <w:pStyle w:val="nTable"/>
              <w:spacing w:after="40"/>
              <w:rPr>
                <w:i/>
              </w:rPr>
            </w:pPr>
            <w:r>
              <w:rPr>
                <w:i/>
              </w:rPr>
              <w:t>Government Trading Enterprises Act 2023</w:t>
            </w:r>
            <w:r>
              <w:t xml:space="preserve"> Pt. 12 Div. 7</w:t>
            </w:r>
          </w:p>
        </w:tc>
        <w:tc>
          <w:tcPr>
            <w:tcW w:w="1134" w:type="dxa"/>
            <w:tcBorders>
              <w:bottom w:val="single" w:sz="4" w:space="0" w:color="auto"/>
            </w:tcBorders>
            <w:shd w:val="clear" w:color="auto" w:fill="auto"/>
          </w:tcPr>
          <w:p>
            <w:pPr>
              <w:pStyle w:val="nTable"/>
              <w:spacing w:after="40"/>
              <w:rPr>
                <w:snapToGrid w:val="0"/>
              </w:rPr>
            </w:pPr>
            <w:r>
              <w:t>13 of 2023</w:t>
            </w:r>
          </w:p>
        </w:tc>
        <w:tc>
          <w:tcPr>
            <w:tcW w:w="1134" w:type="dxa"/>
            <w:tcBorders>
              <w:bottom w:val="single" w:sz="4" w:space="0" w:color="auto"/>
            </w:tcBorders>
            <w:shd w:val="clear" w:color="auto" w:fill="auto"/>
          </w:tcPr>
          <w:p>
            <w:pPr>
              <w:pStyle w:val="nTable"/>
              <w:spacing w:after="40"/>
              <w:rPr>
                <w:snapToGrid w:val="0"/>
              </w:rPr>
            </w:pPr>
            <w:r>
              <w:t>22 Jun 2023</w:t>
            </w:r>
          </w:p>
        </w:tc>
        <w:tc>
          <w:tcPr>
            <w:tcW w:w="2552" w:type="dxa"/>
            <w:tcBorders>
              <w:bottom w:val="single" w:sz="4" w:space="0" w:color="auto"/>
            </w:tcBorders>
            <w:shd w:val="clear" w:color="auto" w:fill="auto"/>
          </w:tcPr>
          <w:p>
            <w:pPr>
              <w:pStyle w:val="nTable"/>
              <w:spacing w:after="40"/>
              <w:rPr>
                <w:snapToGrid w:val="0"/>
              </w:rPr>
            </w:pPr>
            <w:r>
              <w:t>1 Jul 2023 (see s. 2(b) and SL 2023/89 cl. 2)</w:t>
            </w:r>
          </w:p>
        </w:tc>
      </w:tr>
    </w:tbl>
    <w:p>
      <w:pPr>
        <w:pStyle w:val="nHeading3"/>
      </w:pPr>
      <w:bookmarkStart w:id="45" w:name="_Toc155171822"/>
      <w:r>
        <w:t>Uncommenced provisions table</w:t>
      </w:r>
      <w:bookmarkEnd w:id="4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156</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2(1)(b)(xiii))</w:t>
            </w:r>
          </w:p>
        </w:tc>
      </w:tr>
      <w:tr>
        <w:tc>
          <w:tcPr>
            <w:tcW w:w="2268" w:type="dxa"/>
            <w:tcBorders>
              <w:top w:val="nil"/>
              <w:bottom w:val="single" w:sz="4" w:space="0" w:color="auto"/>
            </w:tcBorders>
          </w:tcPr>
          <w:p>
            <w:pPr>
              <w:pStyle w:val="nTable"/>
              <w:spacing w:after="40"/>
            </w:pPr>
            <w:r>
              <w:rPr>
                <w:i/>
              </w:rPr>
              <w:t>Local Government Amendment Act 2023</w:t>
            </w:r>
            <w:r>
              <w:t xml:space="preserve"> Pt. 3 Div. 3</w:t>
            </w:r>
          </w:p>
        </w:tc>
        <w:tc>
          <w:tcPr>
            <w:tcW w:w="1134"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52" w:type="dxa"/>
            <w:tcBorders>
              <w:top w:val="nil"/>
              <w:bottom w:val="single" w:sz="4" w:space="0" w:color="auto"/>
            </w:tcBorders>
          </w:tcPr>
          <w:p>
            <w:pPr>
              <w:pStyle w:val="nTable"/>
              <w:spacing w:after="40"/>
            </w:pPr>
            <w:r>
              <w:t>1 Jan 2024 (see s. 2(d) and SL 2023/92 cl. 2(b))</w:t>
            </w:r>
          </w:p>
        </w:tc>
      </w:tr>
    </w:tbl>
    <w:p>
      <w:pPr>
        <w:pStyle w:val="nHeading3"/>
      </w:pPr>
      <w:bookmarkStart w:id="46" w:name="_Toc155171823"/>
      <w:r>
        <w:lastRenderedPageBreak/>
        <w:t>Other notes</w:t>
      </w:r>
      <w:bookmarkEnd w:id="46"/>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48" w:name="_Toc155171824"/>
      <w:r>
        <w:rPr>
          <w:sz w:val="28"/>
        </w:rPr>
        <w:lastRenderedPageBreak/>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classification framework</w:t>
      </w:r>
      <w:r>
        <w:tab/>
        <w:t>10D(1)</w:t>
      </w:r>
    </w:p>
    <w:p>
      <w:pPr>
        <w:pStyle w:val="DefinedTerms"/>
      </w:pPr>
      <w:r>
        <w:t>commencement day</w:t>
      </w:r>
      <w:r>
        <w:tab/>
        <w:t>10B</w:t>
      </w:r>
    </w:p>
    <w:p>
      <w:pPr>
        <w:pStyle w:val="DefinedTerms"/>
      </w:pPr>
      <w:r>
        <w:t>director</w:t>
      </w:r>
      <w:r>
        <w:tab/>
        <w:t>7D(1)</w:t>
      </w:r>
    </w:p>
    <w:p>
      <w:pPr>
        <w:pStyle w:val="DefinedTerms"/>
      </w:pPr>
      <w:r>
        <w:t>elected council member</w:t>
      </w:r>
      <w:r>
        <w:tab/>
        <w:t>7B(1)</w:t>
      </w:r>
    </w:p>
    <w:p>
      <w:pPr>
        <w:pStyle w:val="DefinedTerms"/>
      </w:pPr>
      <w:r>
        <w:t>entity</w:t>
      </w:r>
      <w:r>
        <w:tab/>
        <w:t>10F(1)</w:t>
      </w:r>
    </w:p>
    <w:p>
      <w:pPr>
        <w:pStyle w:val="DefinedTerms"/>
      </w:pPr>
      <w:r>
        <w:t>executive officer</w:t>
      </w:r>
      <w:r>
        <w:tab/>
        <w:t>7C(1), 10F(1)</w:t>
      </w:r>
    </w:p>
    <w:p>
      <w:pPr>
        <w:pStyle w:val="DefinedTerms"/>
      </w:pPr>
      <w:r>
        <w:t>former office entitlement</w:t>
      </w:r>
      <w:r>
        <w:tab/>
        <w:t>6C(1)</w:t>
      </w:r>
    </w:p>
    <w:p>
      <w:pPr>
        <w:pStyle w:val="DefinedTerms"/>
      </w:pPr>
      <w:r>
        <w:t>fresh election</w:t>
      </w:r>
      <w:r>
        <w:tab/>
        <w:t>6(5b)</w:t>
      </w:r>
    </w:p>
    <w:p>
      <w:pPr>
        <w:pStyle w:val="DefinedTerms"/>
      </w:pPr>
      <w:r>
        <w:t>Government entity</w:t>
      </w:r>
      <w:r>
        <w:tab/>
        <w:t>7BA, 10F(3)</w:t>
      </w:r>
    </w:p>
    <w:p>
      <w:pPr>
        <w:pStyle w:val="DefinedTerms"/>
      </w:pPr>
      <w:r>
        <w:t>Government Financial Projections Statement</w:t>
      </w:r>
      <w:r>
        <w:tab/>
        <w:t>10A(1)</w:t>
      </w:r>
    </w:p>
    <w:p>
      <w:pPr>
        <w:pStyle w:val="DefinedTerms"/>
      </w:pPr>
      <w:r>
        <w:t>GTE</w:t>
      </w:r>
      <w:r>
        <w:tab/>
        <w:t>4(1)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Tribunal</w:t>
      </w:r>
      <w:r>
        <w:tab/>
        <w:t>4(1)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345"/>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 w:name="WAFER_2021111712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23049_GUID" w:val="d2f933bd-a3f2-415b-9a46-d30fd16eed6e"/>
    <w:docVar w:name="WAFER_2023051910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102239_GUID" w:val="c90c58e3-1b46-4e96-abdb-3c216ca96090"/>
    <w:docVar w:name="WAFER_202306231009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00954_GUID" w:val="8fa74854-efbe-49c3-9ae0-b204d186f712"/>
    <w:docVar w:name="WAFER_202306231623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62321_GUID" w:val="d50831e2-479a-46c3-a4db-a1c35ed3d4cd"/>
    <w:docVar w:name="WAFER_202312271413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345_GUID" w:val="721bb46c-c42c-4f2d-adee-7ee737925a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10767</Words>
  <Characters>50824</Characters>
  <Application>Microsoft Office Word</Application>
  <DocSecurity>0</DocSecurity>
  <Lines>1588</Lines>
  <Paragraphs>843</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60748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1975 - 06-f0-01</dc:title>
  <dc:subject/>
  <dc:creator/>
  <cp:keywords/>
  <dc:description/>
  <cp:lastModifiedBy>Master Repository Process</cp:lastModifiedBy>
  <cp:revision>4</cp:revision>
  <cp:lastPrinted>2018-04-24T00:58:00Z</cp:lastPrinted>
  <dcterms:created xsi:type="dcterms:W3CDTF">2024-01-03T02:56:00Z</dcterms:created>
  <dcterms:modified xsi:type="dcterms:W3CDTF">2024-01-03T02:56:00Z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AsAtDate">
    <vt:lpwstr>01 Jul 2023</vt:lpwstr>
  </property>
  <property fmtid="{D5CDD505-2E9C-101B-9397-08002B2CF9AE}" pid="8" name="Suffix">
    <vt:lpwstr>06-f0-01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