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Finance Brokers Control Act 1975</w:t>
      </w:r>
      <w:r>
        <w:rPr>
          <w:noProof/>
        </w:rPr>
        <w:br/>
        <w:t>Settlement Agents Act 1981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Commerce Regulations Amendment (Transfer of Land)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Commerce Regulations Amendment (Transfer of Land)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_Toc155185892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_Toc155185893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Finance Brokers Control (Code of Conduct) Regulations 2007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_Toc155185895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Schedule 1 clause 12 amended</w:t>
      </w:r>
      <w:r>
        <w:tab/>
      </w:r>
      <w:r>
        <w:fldChar w:fldCharType="begin"/>
      </w:r>
      <w:r>
        <w:instrText xml:space="preserve"> PAGEREF _Toc155185896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Appendix 1 amended</w:t>
      </w:r>
      <w:r>
        <w:tab/>
      </w:r>
      <w:r>
        <w:fldChar w:fldCharType="begin"/>
      </w:r>
      <w:r>
        <w:instrText xml:space="preserve"> PAGEREF _Toc155185897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Settlement Agents Regulations 1982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_Toc155185899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Schedule 3 amended</w:t>
      </w:r>
      <w:r>
        <w:tab/>
      </w:r>
      <w:r>
        <w:fldChar w:fldCharType="begin"/>
      </w:r>
      <w:r>
        <w:instrText xml:space="preserve"> PAGEREF _Toc155185900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Finance Brokers Control Act 1975</w:t>
      </w:r>
      <w:r>
        <w:br/>
        <w:t>Settlement Agents Act 1981</w:t>
      </w:r>
    </w:p>
    <w:p>
      <w:pPr>
        <w:pStyle w:val="NameofActReg"/>
      </w:pPr>
      <w:r>
        <w:t>Commerce Regulations Amendment (Transfer of Land) Regulations 2023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360"/>
      </w:pPr>
      <w:bookmarkStart w:id="3" w:name="_Toc155185891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</w:p>
    <w:p>
      <w:pPr>
        <w:pStyle w:val="Heading5"/>
      </w:pPr>
      <w:bookmarkStart w:id="4" w:name="_Toc155185892"/>
      <w:r>
        <w:rPr>
          <w:rStyle w:val="CharSectno"/>
        </w:rPr>
        <w:t>1</w:t>
      </w:r>
      <w:r>
        <w:t>.</w:t>
      </w:r>
      <w:r>
        <w:tab/>
        <w:t>Citation</w:t>
      </w:r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Commerce Regulations Amendment (Transfer of Land) Regulations 2023</w:t>
      </w:r>
      <w:r>
        <w:t>.</w:t>
      </w:r>
    </w:p>
    <w:p>
      <w:pPr>
        <w:pStyle w:val="Heading5"/>
        <w:rPr>
          <w:spacing w:val="-2"/>
        </w:rPr>
      </w:pPr>
      <w:bookmarkStart w:id="6" w:name="_Toc15518589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7 August 2023.</w:t>
      </w:r>
    </w:p>
    <w:p>
      <w:pPr>
        <w:pStyle w:val="Heading2"/>
      </w:pPr>
      <w:bookmarkStart w:id="7" w:name="_Toc155185894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Finance Brokers Control (Code of Conduct) Regulations 2007</w:t>
      </w:r>
      <w:r>
        <w:rPr>
          <w:rStyle w:val="CharPartText"/>
        </w:rPr>
        <w:t xml:space="preserve"> amended</w:t>
      </w:r>
      <w:bookmarkEnd w:id="7"/>
    </w:p>
    <w:p>
      <w:pPr>
        <w:pStyle w:val="Heading5"/>
        <w:rPr>
          <w:snapToGrid w:val="0"/>
        </w:rPr>
      </w:pPr>
      <w:bookmarkStart w:id="8" w:name="_Toc15518589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8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Finance Brokers Control (Code of Conduct) Regulations 2007</w:t>
      </w:r>
      <w:r>
        <w:t>.</w:t>
      </w:r>
    </w:p>
    <w:p>
      <w:pPr>
        <w:pStyle w:val="Heading5"/>
      </w:pPr>
      <w:bookmarkStart w:id="9" w:name="_Toc155185896"/>
      <w:r>
        <w:rPr>
          <w:rStyle w:val="CharSectno"/>
        </w:rPr>
        <w:t>4</w:t>
      </w:r>
      <w:r>
        <w:t>.</w:t>
      </w:r>
      <w:r>
        <w:tab/>
        <w:t>Schedule 1 clause 12 amended</w:t>
      </w:r>
      <w:bookmarkEnd w:id="9"/>
    </w:p>
    <w:p>
      <w:pPr>
        <w:pStyle w:val="Subsection"/>
      </w:pPr>
      <w:r>
        <w:tab/>
        <w:t>(1)</w:t>
      </w:r>
      <w:r>
        <w:tab/>
        <w:t>In Schedule 1 clause 12.12:</w:t>
      </w:r>
    </w:p>
    <w:p>
      <w:pPr>
        <w:pStyle w:val="Indenta"/>
      </w:pPr>
      <w:r>
        <w:tab/>
        <w:t>(a)</w:t>
      </w:r>
      <w:r>
        <w:tab/>
        <w:t>in paragraph (b) delete “</w:t>
      </w:r>
      <w:r>
        <w:rPr>
          <w:sz w:val="22"/>
        </w:rPr>
        <w:t>lenders; and</w:t>
      </w:r>
      <w:r>
        <w:t>” and insert:</w:t>
      </w:r>
    </w:p>
    <w:p>
      <w:pPr>
        <w:pStyle w:val="BlankOpen"/>
      </w:pPr>
    </w:p>
    <w:p>
      <w:pPr>
        <w:pStyle w:val="Indenta"/>
        <w:rPr>
          <w:sz w:val="22"/>
        </w:rPr>
      </w:pPr>
      <w:r>
        <w:tab/>
      </w:r>
      <w:r>
        <w:tab/>
      </w:r>
      <w:r>
        <w:rPr>
          <w:sz w:val="22"/>
        </w:rPr>
        <w:t>lenders.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delete paragraph (c).</w:t>
      </w:r>
    </w:p>
    <w:p>
      <w:pPr>
        <w:pStyle w:val="Subsection"/>
      </w:pPr>
      <w:r>
        <w:tab/>
        <w:t>(2)</w:t>
      </w:r>
      <w:r>
        <w:tab/>
        <w:t>Delete Schedule 1 clause 12.14.</w:t>
      </w:r>
    </w:p>
    <w:p>
      <w:pPr>
        <w:pStyle w:val="Heading5"/>
      </w:pPr>
      <w:bookmarkStart w:id="10" w:name="_Toc155185897"/>
      <w:r>
        <w:rPr>
          <w:rStyle w:val="CharSectno"/>
        </w:rPr>
        <w:t>5</w:t>
      </w:r>
      <w:r>
        <w:t>.</w:t>
      </w:r>
      <w:r>
        <w:tab/>
        <w:t>Appendix 1 amended</w:t>
      </w:r>
      <w:bookmarkEnd w:id="10"/>
    </w:p>
    <w:p>
      <w:pPr>
        <w:pStyle w:val="Subsection"/>
      </w:pPr>
      <w:r>
        <w:tab/>
      </w:r>
      <w:r>
        <w:tab/>
        <w:t>In Appendix 1 Form 1 under the heading “</w:t>
      </w:r>
      <w:r>
        <w:rPr>
          <w:b/>
          <w:sz w:val="22"/>
        </w:rPr>
        <w:t>Property Security Information</w:t>
      </w:r>
      <w:r>
        <w:t>” in the item that refers to “</w:t>
      </w:r>
      <w:r>
        <w:rPr>
          <w:b/>
          <w:i/>
          <w:sz w:val="18"/>
        </w:rPr>
        <w:t>Attachment 4</w:t>
      </w:r>
      <w:r>
        <w:t>” delete “</w:t>
      </w:r>
      <w:r>
        <w:rPr>
          <w:i/>
          <w:sz w:val="18"/>
        </w:rPr>
        <w:t>Duplicate</w:t>
      </w:r>
      <w:r>
        <w:t>”.</w:t>
      </w:r>
    </w:p>
    <w:p>
      <w:pPr>
        <w:pStyle w:val="Heading2"/>
      </w:pPr>
      <w:bookmarkStart w:id="11" w:name="_Toc155185898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Settlement Agents Regulations 1982</w:t>
      </w:r>
      <w:r>
        <w:rPr>
          <w:rStyle w:val="CharPartText"/>
        </w:rPr>
        <w:t xml:space="preserve"> amended</w:t>
      </w:r>
      <w:bookmarkEnd w:id="11"/>
    </w:p>
    <w:p>
      <w:pPr>
        <w:pStyle w:val="Heading5"/>
      </w:pPr>
      <w:bookmarkStart w:id="12" w:name="_Toc155185899"/>
      <w:r>
        <w:rPr>
          <w:rStyle w:val="CharSectno"/>
        </w:rPr>
        <w:t>6</w:t>
      </w:r>
      <w:r>
        <w:t>.</w:t>
      </w:r>
      <w:r>
        <w:tab/>
        <w:t>Regulations amended</w:t>
      </w:r>
      <w:bookmarkEnd w:id="12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Settlement Agents Regulations 1982</w:t>
      </w:r>
      <w:r>
        <w:t>.</w:t>
      </w:r>
    </w:p>
    <w:p>
      <w:pPr>
        <w:pStyle w:val="Heading5"/>
      </w:pPr>
      <w:bookmarkStart w:id="13" w:name="_Toc155185900"/>
      <w:r>
        <w:rPr>
          <w:rStyle w:val="CharSectno"/>
        </w:rPr>
        <w:t>7</w:t>
      </w:r>
      <w:r>
        <w:t>.</w:t>
      </w:r>
      <w:r>
        <w:tab/>
        <w:t>Schedule 3 amended</w:t>
      </w:r>
      <w:bookmarkEnd w:id="13"/>
    </w:p>
    <w:p>
      <w:pPr>
        <w:pStyle w:val="Subsection"/>
      </w:pPr>
      <w:r>
        <w:tab/>
      </w:r>
      <w:r>
        <w:tab/>
        <w:t>In Schedule 3 Part C clause 2(a) delete the following items:</w:t>
      </w:r>
    </w:p>
    <w:p>
      <w:pPr>
        <w:pStyle w:val="DeleteOpen"/>
      </w:pPr>
    </w:p>
    <w:tbl>
      <w:tblPr>
        <w:tblW w:w="5954" w:type="dxa"/>
        <w:tblInd w:w="1134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418"/>
        <w:gridCol w:w="4536"/>
      </w:tblGrid>
      <w:tr>
        <w:trPr>
          <w:cantSplit/>
        </w:trPr>
        <w:tc>
          <w:tcPr>
            <w:tcW w:w="1418" w:type="dxa"/>
          </w:tcPr>
          <w:p>
            <w:pPr>
              <w:pStyle w:val="yTableNAm"/>
            </w:pPr>
            <w:r>
              <w:t>s. 48B</w:t>
            </w:r>
          </w:p>
        </w:tc>
        <w:tc>
          <w:tcPr>
            <w:tcW w:w="4536" w:type="dxa"/>
          </w:tcPr>
          <w:p>
            <w:pPr>
              <w:pStyle w:val="yTableNAm"/>
            </w:pPr>
            <w:r>
              <w:t>Request in relation to the issue of duplicate certificate of title</w:t>
            </w:r>
          </w:p>
        </w:tc>
      </w:tr>
      <w:tr>
        <w:trPr>
          <w:cantSplit/>
        </w:trPr>
        <w:tc>
          <w:tcPr>
            <w:tcW w:w="1418" w:type="dxa"/>
          </w:tcPr>
          <w:p>
            <w:pPr>
              <w:pStyle w:val="yTableNAm"/>
            </w:pPr>
            <w:r>
              <w:t>s. 74B</w:t>
            </w:r>
          </w:p>
        </w:tc>
        <w:tc>
          <w:tcPr>
            <w:tcW w:w="4536" w:type="dxa"/>
          </w:tcPr>
          <w:p>
            <w:pPr>
              <w:pStyle w:val="yTableNAm"/>
            </w:pPr>
            <w:r>
              <w:t>Application for a new duplicate certificate of title</w:t>
            </w:r>
          </w:p>
        </w:tc>
      </w:tr>
      <w:tr>
        <w:trPr>
          <w:cantSplit/>
        </w:trPr>
        <w:tc>
          <w:tcPr>
            <w:tcW w:w="1418" w:type="dxa"/>
          </w:tcPr>
          <w:p>
            <w:pPr>
              <w:pStyle w:val="yTableNAm"/>
            </w:pPr>
            <w:r>
              <w:t>s. 75</w:t>
            </w:r>
          </w:p>
        </w:tc>
        <w:tc>
          <w:tcPr>
            <w:tcW w:w="4536" w:type="dxa"/>
          </w:tcPr>
          <w:p>
            <w:pPr>
              <w:pStyle w:val="yTableNAm"/>
            </w:pPr>
            <w:r>
              <w:t>Application for a replacement duplicate certificate of title</w:t>
            </w:r>
          </w:p>
        </w:tc>
      </w:tr>
    </w:tbl>
    <w:p>
      <w:pPr>
        <w:pStyle w:val="DeleteClose"/>
      </w:pPr>
    </w:p>
    <w:p>
      <w:pPr>
        <w:pStyle w:val="ByCommand"/>
        <w:sectPr>
          <w:headerReference w:type="even" r:id="rId21"/>
          <w:headerReference w:type="default" r:id="rId22"/>
          <w:footerReference w:type="even" r:id="rId23"/>
          <w:headerReference w:type="first" r:id="rId24"/>
          <w:foot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B. D’SA,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9931F88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3B457947" w14:textId="697F13E2" w:rsidR="00037CBC" w:rsidRDefault="00037CB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34A7D32" w14:textId="77777777" w:rsidR="00037CBC" w:rsidRDefault="00037CB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BB1DEAE" w14:textId="79EC14F1" w:rsidR="00037CBC" w:rsidRDefault="00037CB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1B861E6" w14:textId="77777777" w:rsidR="00037CBC" w:rsidRDefault="00037CBC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Commerce Regulations Amendment (Transfer of Land)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Commerce Regulations Amendment (Transfer of Land)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Commerce Regulations Amendment (Transfer of Land)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Commerce Regulations Amendment (Transfer of Land)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WPO&gt;&lt;/WPO&gt;"/>
    <w:docVar w:name="WAFER" w:val="2024010214094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62010264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620102641_GUID" w:val="f17c5568-0139-4865-8729-3d67b14bf4a6"/>
    <w:docVar w:name="WAFER_2023062214075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2140759_GUID" w:val="41645951-9b5b-4d3f-a3be-0ae8f8a6f1d9"/>
    <w:docVar w:name="WAFER_2023072109082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721090829_GUID" w:val="769c820c-8b45-4add-936c-5a0acf5d8f12"/>
    <w:docVar w:name="WAFER_2024010214094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40947_GUID" w:val="f8616091-c7cc-4da7-9e5c-918641d518a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769293EF-4C60-4D11-97A0-C58B755B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A479-6677-418F-8E69-E03FECE1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2299</Characters>
  <Application>Microsoft Office Word</Application>
  <DocSecurity>0</DocSecurity>
  <Lines>104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Regulations Amendment (Transfer of Land) Regulations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2024-01-03T06:51:00Z</dcterms:created>
  <dcterms:modified xsi:type="dcterms:W3CDTF">2024-01-03T06:51:00Z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54066</vt:lpwstr>
  </property>
  <property fmtid="{D5CDD505-2E9C-101B-9397-08002B2CF9AE}" pid="3" name="DocumentType">
    <vt:lpwstr>Reg</vt:lpwstr>
  </property>
  <property fmtid="{D5CDD505-2E9C-101B-9397-08002B2CF9AE}" pid="4" name="AsAtDate">
    <vt:lpwstr>26 Jul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2023/116</vt:lpwstr>
  </property>
  <property fmtid="{D5CDD505-2E9C-101B-9397-08002B2CF9AE}" pid="8" name="PublishDate">
    <vt:lpwstr>26 Jul 2023</vt:lpwstr>
  </property>
  <property fmtid="{D5CDD505-2E9C-101B-9397-08002B2CF9AE}" pid="9" name="CommencementDate">
    <vt:lpwstr>20230726</vt:lpwstr>
  </property>
  <property fmtid="{D5CDD505-2E9C-101B-9397-08002B2CF9AE}" pid="10" name="CommencementAsAt">
    <vt:filetime>2023-07-25T16:00:00Z</vt:filetime>
  </property>
  <property fmtid="{D5CDD505-2E9C-101B-9397-08002B2CF9AE}" pid="11" name="CommencementYear">
    <vt:lpwstr>2023</vt:lpwstr>
  </property>
</Properties>
</file>