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Railways Act 1904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(Trespass) By-law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(Trespass) By-law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_Toc155186216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_Toc155186217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Trespass on railway offence prescribed for purposes of Act s. 53A</w:t>
      </w:r>
      <w:r>
        <w:tab/>
      </w:r>
      <w:r>
        <w:fldChar w:fldCharType="begin"/>
      </w:r>
      <w:r>
        <w:instrText xml:space="preserve"> PAGEREF _Toc155186218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forms (Act s. 53A(3) and (7))</w:t>
      </w:r>
      <w:r>
        <w:tab/>
      </w:r>
      <w:r>
        <w:fldChar w:fldCharType="begin"/>
      </w:r>
      <w:r>
        <w:instrText xml:space="preserve"> PAGEREF _Toc155186219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Forms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Government Railways Act 1904</w:t>
      </w:r>
    </w:p>
    <w:p>
      <w:pPr>
        <w:pStyle w:val="NameofActReg"/>
      </w:pPr>
      <w:r>
        <w:t>Government Railways (Trespass) By</w:t>
      </w:r>
      <w:r>
        <w:noBreakHyphen/>
        <w:t>law 2023</w:t>
      </w:r>
    </w:p>
    <w:p>
      <w:pPr>
        <w:pStyle w:val="MadeBy"/>
      </w:pPr>
      <w:r>
        <w:t>Made by the Public Transport Authority and approved by the Governor in Executive Council.</w:t>
      </w:r>
    </w:p>
    <w:p>
      <w:pPr>
        <w:pStyle w:val="Heading5"/>
      </w:pPr>
      <w:bookmarkStart w:id="3" w:name="_Toc15518621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  <w:t>(1)</w:t>
      </w:r>
      <w:r>
        <w:tab/>
      </w:r>
      <w:bookmarkStart w:id="4" w:name="Start_Cursor"/>
      <w:bookmarkEnd w:id="4"/>
      <w:r>
        <w:t>This by</w:t>
      </w:r>
      <w:r>
        <w:noBreakHyphen/>
        <w:t xml:space="preserve">law is the </w:t>
      </w:r>
      <w:r>
        <w:rPr>
          <w:i/>
        </w:rPr>
        <w:t>Government Railways (Trespass) By</w:t>
      </w:r>
      <w:r>
        <w:rPr>
          <w:i/>
        </w:rPr>
        <w:noBreakHyphen/>
        <w:t>law 2023</w:t>
      </w:r>
      <w:r>
        <w:t>.</w:t>
      </w:r>
    </w:p>
    <w:p>
      <w:pPr>
        <w:pStyle w:val="Subsection"/>
      </w:pPr>
      <w:r>
        <w:tab/>
        <w:t>(2)</w:t>
      </w:r>
      <w:r>
        <w:tab/>
        <w:t>The main legislative units of this by</w:t>
      </w:r>
      <w:r>
        <w:noBreakHyphen/>
        <w:t>law are called rules, and a rule may contain 2 or more subrules (this sentence, for example, being subrule (2) of rule 1).</w:t>
      </w:r>
    </w:p>
    <w:p>
      <w:pPr>
        <w:pStyle w:val="Heading5"/>
        <w:rPr>
          <w:spacing w:val="-2"/>
        </w:rPr>
      </w:pPr>
      <w:bookmarkStart w:id="5" w:name="_Toc15518621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>This by</w:t>
      </w:r>
      <w:r>
        <w:noBreakHyphen/>
        <w:t xml:space="preserve">law comes </w:t>
      </w:r>
      <w:r>
        <w:rPr>
          <w:spacing w:val="-2"/>
        </w:rPr>
        <w:t>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rules </w:t>
      </w:r>
      <w:r>
        <w:t>1 and 2 — on the day on which this by</w:t>
      </w:r>
      <w:r>
        <w:noBreakHyphen/>
        <w:t>law is published on the WA legislation website;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 — on the day after that day.</w:t>
      </w:r>
    </w:p>
    <w:p>
      <w:pPr>
        <w:pStyle w:val="Heading5"/>
      </w:pPr>
      <w:bookmarkStart w:id="6" w:name="_Toc155186218"/>
      <w:r>
        <w:rPr>
          <w:rStyle w:val="CharSectno"/>
        </w:rPr>
        <w:t>3</w:t>
      </w:r>
      <w:r>
        <w:t>.</w:t>
      </w:r>
      <w:r>
        <w:tab/>
        <w:t>Trespass on railway offence prescribed for purposes of Act s. 53A</w:t>
      </w:r>
      <w:bookmarkEnd w:id="6"/>
    </w:p>
    <w:p>
      <w:pPr>
        <w:pStyle w:val="Subsection"/>
      </w:pPr>
      <w:r>
        <w:tab/>
      </w:r>
      <w:r>
        <w:tab/>
        <w:t>The offence under section 48(2) of the Act is prescribed for the purposes of section 53A of the Act.</w:t>
      </w:r>
    </w:p>
    <w:p>
      <w:pPr>
        <w:pStyle w:val="Penstart"/>
      </w:pPr>
      <w:r>
        <w:tab/>
        <w:t>Modified penalty: a fine of $500.</w:t>
      </w:r>
    </w:p>
    <w:p>
      <w:pPr>
        <w:pStyle w:val="Heading5"/>
      </w:pPr>
      <w:bookmarkStart w:id="7" w:name="_Toc155186219"/>
      <w:r>
        <w:rPr>
          <w:rStyle w:val="CharSectno"/>
        </w:rPr>
        <w:t>4</w:t>
      </w:r>
      <w:r>
        <w:t>.</w:t>
      </w:r>
      <w:r>
        <w:tab/>
        <w:t>Prescribed forms (Act s. 53A(3) and (7))</w:t>
      </w:r>
      <w:bookmarkEnd w:id="7"/>
    </w:p>
    <w:p>
      <w:pPr>
        <w:pStyle w:val="Subsection"/>
      </w:pPr>
      <w:r>
        <w:tab/>
        <w:t>(1)</w:t>
      </w:r>
      <w:r>
        <w:tab/>
        <w:t>Schedule 1 Form 1 is prescribed for the purposes of section 53A(3) of the Act.</w:t>
      </w:r>
    </w:p>
    <w:p>
      <w:pPr>
        <w:pStyle w:val="Subsection"/>
      </w:pPr>
      <w:r>
        <w:tab/>
        <w:t>(2)</w:t>
      </w:r>
      <w:r>
        <w:tab/>
        <w:t>Schedule 1 Form 2 is prescribed for the purposes of section 53A(7) of the Act.</w:t>
      </w: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8" w:name="_Toc155186220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8"/>
    </w:p>
    <w:p>
      <w:pPr>
        <w:pStyle w:val="yShoulderClause"/>
      </w:pPr>
      <w:r>
        <w:t>[r. 4]</w:t>
      </w:r>
    </w:p>
    <w:p>
      <w:pPr>
        <w:pStyle w:val="yMiscellaneousHeading"/>
        <w:spacing w:after="120"/>
      </w:pPr>
      <w:r>
        <w:rPr>
          <w:rStyle w:val="CharSClsNo"/>
          <w:b/>
        </w:rPr>
        <w:t>Form 1</w:t>
      </w:r>
      <w:r>
        <w:rPr>
          <w:b/>
        </w:rPr>
        <w:t>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5"/>
        <w:gridCol w:w="426"/>
        <w:gridCol w:w="1275"/>
        <w:gridCol w:w="2523"/>
      </w:tblGrid>
      <w:tr>
        <w:trPr>
          <w:trHeight w:val="420"/>
        </w:trPr>
        <w:tc>
          <w:tcPr>
            <w:tcW w:w="4281" w:type="dxa"/>
            <w:gridSpan w:val="4"/>
            <w:vMerge w:val="restart"/>
            <w:noWrap/>
            <w:vAlign w:val="center"/>
          </w:tcPr>
          <w:p>
            <w:pPr>
              <w:pStyle w:val="yTableNAm"/>
              <w:spacing w:line="252" w:lineRule="auto"/>
              <w:jc w:val="center"/>
              <w:rPr>
                <w:i/>
                <w:iCs/>
              </w:rPr>
            </w:pPr>
            <w:r>
              <w:br w:type="page"/>
            </w:r>
            <w:r>
              <w:rPr>
                <w:i/>
                <w:iCs/>
              </w:rPr>
              <w:t>Government Railways Act 1904</w:t>
            </w:r>
          </w:p>
          <w:p>
            <w:pPr>
              <w:pStyle w:val="yTableNAm"/>
              <w:spacing w:before="0" w:after="12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INFRINGEMENT NOTICE</w:t>
            </w:r>
          </w:p>
        </w:tc>
        <w:tc>
          <w:tcPr>
            <w:tcW w:w="2523" w:type="dxa"/>
            <w:noWrap/>
            <w:vAlign w:val="center"/>
          </w:tcPr>
          <w:p>
            <w:pPr>
              <w:pStyle w:val="yTableNAm"/>
              <w:spacing w:after="120" w:line="252" w:lineRule="auto"/>
            </w:pPr>
            <w:r>
              <w:t xml:space="preserve">Infringement </w:t>
            </w:r>
            <w:r>
              <w:br/>
              <w:t>notice no.</w:t>
            </w:r>
          </w:p>
        </w:tc>
      </w:tr>
      <w:tr>
        <w:trPr>
          <w:trHeight w:val="420"/>
        </w:trPr>
        <w:tc>
          <w:tcPr>
            <w:tcW w:w="4281" w:type="dxa"/>
            <w:gridSpan w:val="4"/>
            <w:vMerge/>
            <w:noWrap/>
            <w:vAlign w:val="center"/>
          </w:tcPr>
          <w:p>
            <w:pPr>
              <w:pStyle w:val="yTableNAm"/>
              <w:spacing w:line="252" w:lineRule="auto"/>
              <w:jc w:val="center"/>
            </w:pPr>
          </w:p>
        </w:tc>
        <w:tc>
          <w:tcPr>
            <w:tcW w:w="2523" w:type="dxa"/>
            <w:noWrap/>
            <w:vAlign w:val="center"/>
          </w:tcPr>
          <w:p>
            <w:pPr>
              <w:pStyle w:val="yTableNAm"/>
              <w:spacing w:after="120" w:line="252" w:lineRule="auto"/>
            </w:pPr>
            <w:r>
              <w:t xml:space="preserve">Date of </w:t>
            </w:r>
            <w:r>
              <w:br/>
              <w:t>notice:</w:t>
            </w:r>
          </w:p>
        </w:tc>
      </w:tr>
      <w:tr>
        <w:trPr>
          <w:trHeight w:val="756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offender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Surname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Given name(s)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offence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Place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Details of offence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Written law contravened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Government Railways Act 1904</w:t>
            </w:r>
            <w:r>
              <w:t xml:space="preserve"> s. 48(2)</w:t>
            </w:r>
          </w:p>
        </w:tc>
      </w:tr>
      <w:tr>
        <w:trPr>
          <w:trHeight w:val="732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Authorised person issuing notice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bCs/>
              </w:rPr>
              <w:t>Name</w:t>
            </w:r>
            <w:r>
              <w:t xml:space="preserve"> or service number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t>Signature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305" w:type="dxa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Modified penalty</w:t>
            </w:r>
          </w:p>
        </w:tc>
        <w:tc>
          <w:tcPr>
            <w:tcW w:w="5499" w:type="dxa"/>
            <w:gridSpan w:val="4"/>
            <w:noWrap/>
            <w:vAlign w:val="center"/>
          </w:tcPr>
          <w:p>
            <w:pPr>
              <w:pStyle w:val="yTableNAm"/>
              <w:spacing w:before="0"/>
            </w:pPr>
            <w:r>
              <w:t>$500</w:t>
            </w:r>
          </w:p>
        </w:tc>
      </w:tr>
      <w:tr>
        <w:trPr>
          <w:trHeight w:val="401"/>
        </w:trPr>
        <w:tc>
          <w:tcPr>
            <w:tcW w:w="1305" w:type="dxa"/>
            <w:noWrap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TAKE NOTICE</w:t>
            </w:r>
          </w:p>
        </w:tc>
        <w:tc>
          <w:tcPr>
            <w:tcW w:w="5499" w:type="dxa"/>
            <w:gridSpan w:val="4"/>
            <w:noWrap/>
          </w:tcPr>
          <w:p>
            <w:pPr>
              <w:pStyle w:val="yTableNAm"/>
            </w:pPr>
            <w:r>
              <w:t>It is alleged that you have committed the above offence.</w:t>
            </w:r>
          </w:p>
          <w:p>
            <w:pPr>
              <w:pStyle w:val="yTableNAm"/>
            </w:pPr>
            <w:r>
              <w:rPr>
                <w:b/>
              </w:rPr>
              <w:t>If you do not want to be prosecuted in court for the offence</w:t>
            </w:r>
            <w:r>
              <w:t xml:space="preserve">, pay the modified penalty to </w:t>
            </w:r>
            <w:r>
              <w:rPr>
                <w:i/>
              </w:rPr>
              <w:t>[insert details of authorised person appointed for purposes of s. 53A(3)]</w:t>
            </w:r>
            <w:r>
              <w:t xml:space="preserve"> within 28 days after the date of this notice using one of the payment methods set out below. </w:t>
            </w:r>
          </w:p>
          <w:p>
            <w:pPr>
              <w:pStyle w:val="yTableNAm"/>
            </w:pPr>
            <w:r>
              <w:rPr>
                <w:b/>
              </w:rPr>
              <w:t>If you do not pay</w:t>
            </w:r>
            <w:r>
              <w:t xml:space="preserve"> the modified penalty within 28 days, you may be prosecuted or enforcement action may be taken under the </w:t>
            </w:r>
            <w:r>
              <w:rPr>
                <w:i/>
              </w:rPr>
              <w:t>Fines, Penalties and Infringement Notices Enforcement Act 1994</w:t>
            </w:r>
            <w:r>
              <w:t>.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</w:pPr>
            <w:r>
              <w:rPr>
                <w:b/>
              </w:rPr>
              <w:t>If you need more time</w:t>
            </w:r>
            <w:r>
              <w:t xml:space="preserve"> to pay the modified penalty, you should contact </w:t>
            </w:r>
            <w:r>
              <w:rPr>
                <w:i/>
              </w:rPr>
              <w:t>[insert details of authorised person appointed for purposes of s. 53A(5)]</w:t>
            </w:r>
            <w:r>
              <w:t>.</w:t>
            </w:r>
          </w:p>
          <w:p>
            <w:pPr>
              <w:pStyle w:val="yTableNAm"/>
            </w:pPr>
            <w:r>
              <w:t>Paying the modified penalty will not be regarded as an admission for the purposes of any civil or criminal court case.</w:t>
            </w:r>
          </w:p>
          <w:p>
            <w:pPr>
              <w:pStyle w:val="yTableNAm"/>
            </w:pPr>
            <w:r>
              <w:rPr>
                <w:b/>
              </w:rPr>
              <w:t>If you want this matter to be dealt with by prosecution in court</w:t>
            </w:r>
            <w:r>
              <w:t xml:space="preserve">, sign and date here: </w:t>
            </w:r>
            <w:r>
              <w:br/>
            </w:r>
            <w:r>
              <w:br/>
              <w:t xml:space="preserve">__________________________________            /       /   </w:t>
            </w:r>
          </w:p>
          <w:p>
            <w:pPr>
              <w:pStyle w:val="yTableNAm"/>
            </w:pPr>
            <w:r>
              <w:t xml:space="preserve">and post this notice to </w:t>
            </w:r>
            <w:r>
              <w:rPr>
                <w:i/>
              </w:rPr>
              <w:t>[insert address]</w:t>
            </w:r>
            <w:r>
              <w:t xml:space="preserve"> within 28 days after the date of this notice.</w:t>
            </w:r>
          </w:p>
        </w:tc>
      </w:tr>
      <w:tr>
        <w:trPr>
          <w:cantSplit/>
          <w:trHeight w:val="754"/>
        </w:trPr>
        <w:tc>
          <w:tcPr>
            <w:tcW w:w="1305" w:type="dxa"/>
            <w:vMerge w:val="restart"/>
            <w:noWrap/>
          </w:tcPr>
          <w:p>
            <w:pPr>
              <w:pStyle w:val="yTableNAm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to pay</w:t>
            </w:r>
          </w:p>
          <w:p>
            <w:pPr>
              <w:pStyle w:val="yTableNAm"/>
              <w:keepNext/>
              <w:rPr>
                <w:b/>
                <w:i/>
                <w:sz w:val="18"/>
                <w:highlight w:val="green"/>
              </w:rPr>
            </w:pPr>
            <w:r>
              <w:rPr>
                <w:bCs/>
                <w:sz w:val="18"/>
                <w:szCs w:val="18"/>
              </w:rPr>
              <w:t xml:space="preserve">Payments made by phone, online or by electronic funds transfer must be made </w:t>
            </w:r>
            <w:r>
              <w:rPr>
                <w:b/>
                <w:bCs/>
                <w:sz w:val="18"/>
                <w:szCs w:val="18"/>
              </w:rPr>
              <w:t>before 9 pm</w:t>
            </w:r>
            <w:r>
              <w:rPr>
                <w:bCs/>
                <w:sz w:val="18"/>
                <w:szCs w:val="18"/>
              </w:rPr>
              <w:t xml:space="preserve"> Western Australian Standard Time </w:t>
            </w:r>
            <w:r>
              <w:rPr>
                <w:b/>
                <w:bCs/>
                <w:sz w:val="18"/>
                <w:szCs w:val="18"/>
              </w:rPr>
              <w:t>on the due date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keepNext/>
              <w:spacing w:before="0"/>
            </w:pPr>
            <w:r>
              <w:t>By post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keepNext/>
              <w:spacing w:before="0"/>
              <w:rPr>
                <w:i/>
              </w:rPr>
            </w:pPr>
            <w:r>
              <w:rPr>
                <w:i/>
              </w:rPr>
              <w:t>[Insert details for paying by post]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In person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  <w:rPr>
                <w:i/>
              </w:rPr>
            </w:pPr>
            <w:r>
              <w:rPr>
                <w:i/>
              </w:rPr>
              <w:t>[Insert details for paying in person]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By phone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by phone]</w:t>
            </w:r>
          </w:p>
          <w:p>
            <w:pPr>
              <w:pStyle w:val="yTableNAm"/>
              <w:spacing w:before="0"/>
            </w:pPr>
            <w:r>
              <w:t>(credit card payments only)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Online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online]</w:t>
            </w:r>
            <w:r>
              <w:t xml:space="preserve"> </w:t>
            </w:r>
          </w:p>
          <w:p>
            <w:pPr>
              <w:pStyle w:val="yTableNAm"/>
              <w:spacing w:before="0"/>
            </w:pPr>
            <w:r>
              <w:t>(credit card payments only)</w:t>
            </w:r>
          </w:p>
        </w:tc>
      </w:tr>
      <w:tr>
        <w:trPr>
          <w:trHeight w:val="1177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By electronic funds transfer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by electronic funds transfer]</w:t>
            </w:r>
          </w:p>
        </w:tc>
      </w:tr>
    </w:tbl>
    <w:p>
      <w:pPr>
        <w:pStyle w:val="yMiscellaneousHeading"/>
        <w:keepLines/>
        <w:spacing w:after="12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701"/>
        <w:gridCol w:w="822"/>
        <w:gridCol w:w="312"/>
        <w:gridCol w:w="822"/>
        <w:gridCol w:w="1701"/>
      </w:tblGrid>
      <w:tr>
        <w:trPr>
          <w:trHeight w:val="734"/>
        </w:trPr>
        <w:tc>
          <w:tcPr>
            <w:tcW w:w="4281" w:type="dxa"/>
            <w:gridSpan w:val="4"/>
            <w:vMerge w:val="restart"/>
            <w:noWrap/>
            <w:vAlign w:val="center"/>
          </w:tcPr>
          <w:p>
            <w:pPr>
              <w:pStyle w:val="yTableNAm"/>
              <w:jc w:val="center"/>
              <w:rPr>
                <w:i/>
              </w:rPr>
            </w:pPr>
            <w:r>
              <w:br w:type="page"/>
            </w:r>
            <w:r>
              <w:rPr>
                <w:i/>
              </w:rPr>
              <w:t>Government Railways Act 1904</w:t>
            </w:r>
          </w:p>
          <w:p>
            <w:pPr>
              <w:pStyle w:val="yTableNAm"/>
              <w:keepNext/>
              <w:keepLines/>
              <w:spacing w:before="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>
            <w:pPr>
              <w:pStyle w:val="yTableNAm"/>
              <w:keepNext/>
              <w:keepLines/>
              <w:spacing w:after="120"/>
            </w:pPr>
            <w:r>
              <w:t>Withdrawal no.</w:t>
            </w:r>
          </w:p>
        </w:tc>
      </w:tr>
      <w:tr>
        <w:trPr>
          <w:trHeight w:val="573"/>
        </w:trPr>
        <w:tc>
          <w:tcPr>
            <w:tcW w:w="4281" w:type="dxa"/>
            <w:gridSpan w:val="4"/>
            <w:vMerge/>
            <w:noWrap/>
          </w:tcPr>
          <w:p>
            <w:pPr>
              <w:pStyle w:val="yTableNAm"/>
              <w:jc w:val="center"/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>
            <w:pPr>
              <w:pStyle w:val="yTableNAm"/>
              <w:keepNext/>
              <w:keepLines/>
              <w:spacing w:after="120"/>
            </w:pPr>
            <w:r>
              <w:t xml:space="preserve">Date of </w:t>
            </w:r>
            <w:r>
              <w:br/>
              <w:t>withdrawal</w:t>
            </w:r>
          </w:p>
        </w:tc>
      </w:tr>
      <w:tr>
        <w:trPr>
          <w:trHeight w:val="516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offender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Surname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516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Given name(s)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516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702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Details of infringement notice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Infringement notice no.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901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Date of issue of infringement notice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Alleged offence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Place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 xml:space="preserve">Details of offence 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Written law contravened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Government Railways Act 1904</w:t>
            </w:r>
            <w:r>
              <w:t xml:space="preserve"> s. 48(2)</w:t>
            </w:r>
          </w:p>
        </w:tc>
      </w:tr>
      <w:tr>
        <w:trPr>
          <w:trHeight w:val="754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Authorised person withdrawing notice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Name or service number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Signature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1097"/>
        </w:trPr>
        <w:tc>
          <w:tcPr>
            <w:tcW w:w="1446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Withdrawal of infringement notice</w:t>
            </w:r>
          </w:p>
          <w:p>
            <w:pPr>
              <w:pStyle w:val="yTableNAm"/>
              <w:spacing w:before="0"/>
              <w:rPr>
                <w:bCs/>
                <w:i/>
              </w:rPr>
            </w:pPr>
            <w:r>
              <w:rPr>
                <w:bCs/>
                <w:i/>
              </w:rPr>
              <w:t>[*Delete whichever is not applicable]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yTableNAm"/>
            </w:pPr>
            <w:r>
              <w:t>The above infringement notice issued against you for the above alleged offence has been withdrawn.</w:t>
            </w:r>
          </w:p>
          <w:p>
            <w:pPr>
              <w:pStyle w:val="yTableNAm"/>
              <w:spacing w:before="0"/>
            </w:pPr>
            <w:r>
              <w:t>If you have already paid the modified penalty for the alleged offence, you are entitled to a refund.</w:t>
            </w:r>
          </w:p>
          <w:p>
            <w:pPr>
              <w:pStyle w:val="yTableNAm"/>
              <w:ind w:left="346" w:hanging="346"/>
            </w:pPr>
            <w:r>
              <w:t>*</w:t>
            </w:r>
            <w:r>
              <w:tab/>
              <w:t>Your refund is enclosed</w:t>
            </w:r>
          </w:p>
          <w:p>
            <w:pPr>
              <w:pStyle w:val="yTableNAm"/>
              <w:spacing w:before="0"/>
              <w:rPr>
                <w:i/>
              </w:rPr>
            </w:pPr>
            <w:r>
              <w:rPr>
                <w:i/>
              </w:rPr>
              <w:t>or</w:t>
            </w:r>
          </w:p>
          <w:p>
            <w:pPr>
              <w:pStyle w:val="yTableNAm"/>
              <w:spacing w:before="0"/>
              <w:ind w:left="346" w:hanging="346"/>
            </w:pPr>
            <w:r>
              <w:t>*</w:t>
            </w:r>
            <w:r>
              <w:tab/>
              <w:t>If you have paid the modified penalty but a refund is not enclosed, you may claim your refund by signing and dating this notice and posting it to:</w:t>
            </w:r>
          </w:p>
          <w:p>
            <w:pPr>
              <w:pStyle w:val="yTableNAm"/>
              <w:ind w:left="346" w:hanging="346"/>
            </w:pPr>
            <w:r>
              <w:tab/>
            </w:r>
            <w:r>
              <w:rPr>
                <w:i/>
              </w:rPr>
              <w:t>[Insert details of authorised person appointed for purposes of s. 53A(3)]</w:t>
            </w:r>
          </w:p>
          <w:p>
            <w:pPr>
              <w:pStyle w:val="yTableNAm"/>
              <w:spacing w:before="0"/>
              <w:ind w:left="346" w:hanging="346"/>
              <w:rPr>
                <w:i/>
              </w:rPr>
            </w:pPr>
            <w:r>
              <w:tab/>
            </w:r>
            <w:r>
              <w:rPr>
                <w:i/>
              </w:rPr>
              <w:t>[Insert address]</w:t>
            </w:r>
          </w:p>
          <w:p>
            <w:pPr>
              <w:pStyle w:val="yTableNAm"/>
              <w:spacing w:before="0"/>
              <w:ind w:left="346" w:hanging="346"/>
              <w:rPr>
                <w:i/>
              </w:rPr>
            </w:pPr>
          </w:p>
        </w:tc>
      </w:tr>
      <w:tr>
        <w:trPr>
          <w:trHeight w:val="754"/>
        </w:trPr>
        <w:tc>
          <w:tcPr>
            <w:tcW w:w="1446" w:type="dxa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Your signature</w:t>
            </w:r>
          </w:p>
        </w:tc>
        <w:tc>
          <w:tcPr>
            <w:tcW w:w="2523" w:type="dxa"/>
            <w:gridSpan w:val="2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rPr>
                <w:bCs/>
              </w:rPr>
            </w:pPr>
          </w:p>
        </w:tc>
      </w:tr>
    </w:tbl>
    <w:p>
      <w:pPr>
        <w:pStyle w:val="ByCommand"/>
        <w:tabs>
          <w:tab w:val="clear" w:pos="7088"/>
          <w:tab w:val="right" w:pos="2410"/>
          <w:tab w:val="left" w:pos="4536"/>
        </w:tabs>
        <w:ind w:right="4252"/>
      </w:pPr>
      <w:r>
        <w:t>The common seal of the Public Transport Authority of Western Australia was affixed, as authorised by the Authority, in the presence of —</w:t>
      </w:r>
    </w:p>
    <w:p>
      <w:pPr>
        <w:pStyle w:val="ByCommand"/>
        <w:tabs>
          <w:tab w:val="left" w:pos="4536"/>
        </w:tabs>
      </w:pPr>
      <w:r>
        <w:t>P. WORONZOW, Chief Executive Officer</w:t>
      </w:r>
    </w:p>
    <w:p>
      <w:pPr>
        <w:pStyle w:val="Subsection"/>
        <w:outlineLvl w:val="0"/>
        <w:sectPr>
          <w:headerReference w:type="even" r:id="rId26"/>
          <w:headerReference w:type="default" r:id="rId27"/>
          <w:foot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A46EB7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9439E3E" w14:textId="7C799CC2" w:rsidR="00132C19" w:rsidRDefault="00132C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21A8E42" w14:textId="77777777" w:rsidR="00132C19" w:rsidRDefault="00132C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FD05CBC" w14:textId="7D29E281" w:rsidR="00132C19" w:rsidRDefault="00132C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7825B35" w14:textId="77777777" w:rsidR="00132C19" w:rsidRDefault="00132C1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5151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201145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420114538_GUID" w:val="2bf89581-25b4-4097-870b-5ab7bb44440e"/>
    <w:docVar w:name="WAFER_202305181428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18142848_GUID" w:val="63fadc07-33c0-4568-a298-68d141637c01"/>
    <w:docVar w:name="WAFER_202307030938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3093811_GUID" w:val="f5878878-d543-4b0f-a63e-821a2f1efbfb"/>
    <w:docVar w:name="WAFER_202307251337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25133714_GUID" w:val="95191348-9252-47be-8717-367340fb0394"/>
    <w:docVar w:name="WAFER_202401021515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51516_GUID" w:val="a86da279-411c-4ac3-a610-b028b3e964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E9DA0AD-C9C9-4CF5-9865-B9F5E39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1478-372F-4287-8A98-D4A7EEF3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4622</Characters>
  <Application>Microsoft Office Word</Application>
  <DocSecurity>0</DocSecurity>
  <Lines>288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(Trespass) By-law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2024-01-03T06:56:00Z</dcterms:created>
  <dcterms:modified xsi:type="dcterms:W3CDTF">2024-01-03T06:56:00Z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54139</vt:lpwstr>
  </property>
  <property fmtid="{D5CDD505-2E9C-101B-9397-08002B2CF9AE}" pid="3" name="DocumentType">
    <vt:lpwstr>Reg</vt:lpwstr>
  </property>
  <property fmtid="{D5CDD505-2E9C-101B-9397-08002B2CF9AE}" pid="4" name="AsAtDate">
    <vt:lpwstr>26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2023/119</vt:lpwstr>
  </property>
  <property fmtid="{D5CDD505-2E9C-101B-9397-08002B2CF9AE}" pid="8" name="PublishDate">
    <vt:lpwstr>26 Jul 2023</vt:lpwstr>
  </property>
  <property fmtid="{D5CDD505-2E9C-101B-9397-08002B2CF9AE}" pid="9" name="CommencementDate">
    <vt:lpwstr>20230726</vt:lpwstr>
  </property>
  <property fmtid="{D5CDD505-2E9C-101B-9397-08002B2CF9AE}" pid="10" name="CommencementAsAt">
    <vt:filetime>2023-07-25T16:00:00Z</vt:filetime>
  </property>
  <property fmtid="{D5CDD505-2E9C-101B-9397-08002B2CF9AE}" pid="11" name="CommencementYear">
    <vt:lpwstr>2023</vt:lpwstr>
  </property>
</Properties>
</file>