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_Toc155084245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_Toc155084246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offences (Act s. 52B(3), 52H(3) and 52R(2))</w:t>
      </w:r>
      <w:r>
        <w:tab/>
      </w:r>
      <w:r>
        <w:fldChar w:fldCharType="begin"/>
      </w:r>
      <w:r>
        <w:instrText xml:space="preserve"> PAGEREF _Toc155084247 \h </w:instrText>
      </w:r>
      <w:r>
        <w:fldChar w:fldCharType="separate"/>
      </w:r>
      <w:r>
        <w:t>1</w:t>
      </w:r>
      <w:r>
        <w:fldChar w:fldCharType="end"/>
      </w:r>
    </w:p>
    <w:p>
      <w:pPr>
        <w:pStyle w:val="TOC8"/>
        <w:rPr>
          <w:rFonts w:asciiTheme="minorHAnsi" w:eastAsiaTheme="minorEastAsia" w:hAnsiTheme="minorHAnsi" w:cstheme="minorBidi"/>
          <w:szCs w:val="22"/>
        </w:rPr>
      </w:pPr>
      <w:r>
        <w:t>2B.</w:t>
      </w:r>
      <w:r>
        <w:tab/>
        <w:t>Interstate orders prescribed (Act s. 52Q(1))</w:t>
      </w:r>
      <w:r>
        <w:tab/>
      </w:r>
      <w:r>
        <w:fldChar w:fldCharType="begin"/>
      </w:r>
      <w:r>
        <w:instrText xml:space="preserve"> PAGEREF _Toc155084248 \h </w:instrText>
      </w:r>
      <w:r>
        <w:fldChar w:fldCharType="separate"/>
      </w:r>
      <w:r>
        <w:t>2</w:t>
      </w:r>
      <w:r>
        <w:fldChar w:fldCharType="end"/>
      </w:r>
    </w:p>
    <w:p>
      <w:pPr>
        <w:pStyle w:val="TOC8"/>
        <w:rPr>
          <w:rFonts w:asciiTheme="minorHAnsi" w:eastAsiaTheme="minorEastAsia" w:hAnsiTheme="minorHAnsi" w:cstheme="minorBidi"/>
          <w:szCs w:val="22"/>
        </w:rPr>
      </w:pPr>
      <w:r>
        <w:t>3.</w:t>
      </w:r>
      <w:r>
        <w:tab/>
        <w:t>Prescribed time (Act s. 75(1))</w:t>
      </w:r>
      <w:r>
        <w:tab/>
      </w:r>
      <w:r>
        <w:fldChar w:fldCharType="begin"/>
      </w:r>
      <w:r>
        <w:instrText xml:space="preserve"> PAGEREF _Toc155084249 \h </w:instrText>
      </w:r>
      <w:r>
        <w:fldChar w:fldCharType="separate"/>
      </w:r>
      <w:r>
        <w:t>3</w:t>
      </w:r>
      <w:r>
        <w:fldChar w:fldCharType="end"/>
      </w:r>
    </w:p>
    <w:p>
      <w:pPr>
        <w:pStyle w:val="TOC8"/>
        <w:rPr>
          <w:rFonts w:asciiTheme="minorHAnsi" w:eastAsiaTheme="minorEastAsia" w:hAnsiTheme="minorHAnsi" w:cstheme="minorBidi"/>
          <w:szCs w:val="22"/>
        </w:rPr>
      </w:pPr>
      <w:r>
        <w:t>4.</w:t>
      </w:r>
      <w:r>
        <w:tab/>
        <w:t>Prescribed providers and classes of providers (Act s. 75(1))</w:t>
      </w:r>
      <w:r>
        <w:tab/>
      </w:r>
      <w:r>
        <w:fldChar w:fldCharType="begin"/>
      </w:r>
      <w:r>
        <w:instrText xml:space="preserve"> PAGEREF _Toc155084250 \h </w:instrText>
      </w:r>
      <w:r>
        <w:fldChar w:fldCharType="separate"/>
      </w:r>
      <w:r>
        <w:t>3</w:t>
      </w:r>
      <w:r>
        <w:fldChar w:fldCharType="end"/>
      </w:r>
    </w:p>
    <w:p>
      <w:pPr>
        <w:pStyle w:val="TOC8"/>
        <w:rPr>
          <w:rFonts w:asciiTheme="minorHAnsi" w:eastAsiaTheme="minorEastAsia" w:hAnsiTheme="minorHAnsi" w:cstheme="minorBidi"/>
          <w:szCs w:val="22"/>
        </w:rPr>
      </w:pPr>
      <w:r>
        <w:t>5.</w:t>
      </w:r>
      <w:r>
        <w:tab/>
        <w:t>Return, form of (Act s. 75(2))</w:t>
      </w:r>
      <w:r>
        <w:tab/>
      </w:r>
      <w:r>
        <w:fldChar w:fldCharType="begin"/>
      </w:r>
      <w:r>
        <w:instrText xml:space="preserve"> PAGEREF _Toc155084251 \h </w:instrText>
      </w:r>
      <w:r>
        <w:fldChar w:fldCharType="separate"/>
      </w:r>
      <w:r>
        <w:t>4</w:t>
      </w:r>
      <w:r>
        <w:fldChar w:fldCharType="end"/>
      </w:r>
    </w:p>
    <w:p>
      <w:pPr>
        <w:pStyle w:val="TOC8"/>
        <w:rPr>
          <w:rFonts w:asciiTheme="minorHAnsi" w:eastAsiaTheme="minorEastAsia" w:hAnsiTheme="minorHAnsi" w:cstheme="minorBidi"/>
          <w:szCs w:val="22"/>
        </w:rPr>
      </w:pPr>
      <w:r>
        <w:t>6.</w:t>
      </w:r>
      <w:r>
        <w:tab/>
        <w:t>Code of conduct prescribed (Act s. 77A)</w:t>
      </w:r>
      <w:r>
        <w:tab/>
      </w:r>
      <w:r>
        <w:fldChar w:fldCharType="begin"/>
      </w:r>
      <w:r>
        <w:instrText xml:space="preserve"> PAGEREF _Toc155084252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Private hospitals</w:t>
      </w:r>
    </w:p>
    <w:p>
      <w:pPr>
        <w:pStyle w:val="TOC2"/>
        <w:tabs>
          <w:tab w:val="right" w:pos="7077"/>
        </w:tabs>
        <w:rPr>
          <w:rFonts w:asciiTheme="minorHAnsi" w:eastAsiaTheme="minorEastAsia" w:hAnsiTheme="minorHAnsi" w:cstheme="minorBidi"/>
          <w:b w:val="0"/>
          <w:sz w:val="22"/>
          <w:szCs w:val="22"/>
        </w:rPr>
      </w:pPr>
      <w:r>
        <w:t>Schedule 1A — Prescribed offences</w:t>
      </w:r>
    </w:p>
    <w:p>
      <w:pPr>
        <w:pStyle w:val="TOC4"/>
        <w:tabs>
          <w:tab w:val="right" w:pos="7077"/>
        </w:tabs>
        <w:rPr>
          <w:rFonts w:asciiTheme="minorHAnsi" w:eastAsiaTheme="minorEastAsia" w:hAnsiTheme="minorHAnsi" w:cstheme="minorBidi"/>
          <w:b w:val="0"/>
          <w:szCs w:val="22"/>
        </w:rPr>
      </w:pPr>
      <w:r>
        <w:t>Division 1 — Offences under Australian Consumer Law</w:t>
      </w:r>
    </w:p>
    <w:p>
      <w:pPr>
        <w:pStyle w:val="TOC4"/>
        <w:tabs>
          <w:tab w:val="right" w:pos="7077"/>
        </w:tabs>
        <w:rPr>
          <w:rFonts w:asciiTheme="minorHAnsi" w:eastAsiaTheme="minorEastAsia" w:hAnsiTheme="minorHAnsi" w:cstheme="minorBidi"/>
          <w:b w:val="0"/>
          <w:szCs w:val="22"/>
        </w:rPr>
      </w:pPr>
      <w:r>
        <w:t xml:space="preserve">Division 2 — Offences under </w:t>
      </w:r>
      <w:r>
        <w:rPr>
          <w:i/>
        </w:rPr>
        <w:t>Children and Community Services Act 2004</w:t>
      </w:r>
    </w:p>
    <w:p>
      <w:pPr>
        <w:pStyle w:val="TOC4"/>
        <w:tabs>
          <w:tab w:val="right" w:pos="7077"/>
        </w:tabs>
        <w:rPr>
          <w:rFonts w:asciiTheme="minorHAnsi" w:eastAsiaTheme="minorEastAsia" w:hAnsiTheme="minorHAnsi" w:cstheme="minorBidi"/>
          <w:b w:val="0"/>
          <w:szCs w:val="22"/>
        </w:rPr>
      </w:pPr>
      <w:r>
        <w:t xml:space="preserve">Division 3 — Offences under </w:t>
      </w:r>
      <w:r>
        <w:rPr>
          <w:i/>
        </w:rPr>
        <w:t>The Criminal Code</w:t>
      </w:r>
    </w:p>
    <w:p>
      <w:pPr>
        <w:pStyle w:val="TOC4"/>
        <w:tabs>
          <w:tab w:val="right" w:pos="7077"/>
        </w:tabs>
        <w:rPr>
          <w:rFonts w:asciiTheme="minorHAnsi" w:eastAsiaTheme="minorEastAsia" w:hAnsiTheme="minorHAnsi" w:cstheme="minorBidi"/>
          <w:b w:val="0"/>
          <w:szCs w:val="22"/>
        </w:rPr>
      </w:pPr>
      <w:r>
        <w:t xml:space="preserve">Division 4 — Offences under </w:t>
      </w:r>
      <w:r>
        <w:rPr>
          <w:i/>
        </w:rPr>
        <w:t>Human Reproductive Technology Act 1991</w:t>
      </w:r>
    </w:p>
    <w:p>
      <w:pPr>
        <w:pStyle w:val="TOC4"/>
        <w:tabs>
          <w:tab w:val="right" w:pos="7077"/>
        </w:tabs>
        <w:rPr>
          <w:rFonts w:asciiTheme="minorHAnsi" w:eastAsiaTheme="minorEastAsia" w:hAnsiTheme="minorHAnsi" w:cstheme="minorBidi"/>
          <w:b w:val="0"/>
          <w:szCs w:val="22"/>
        </w:rPr>
      </w:pPr>
      <w:r>
        <w:t xml:space="preserve">Division 5 — Offences under </w:t>
      </w:r>
      <w:r>
        <w:rPr>
          <w:i/>
        </w:rPr>
        <w:t>Misuse of Drugs Act 1981</w:t>
      </w:r>
    </w:p>
    <w:p>
      <w:pPr>
        <w:pStyle w:val="TOC4"/>
        <w:tabs>
          <w:tab w:val="right" w:pos="7077"/>
        </w:tabs>
        <w:rPr>
          <w:rFonts w:asciiTheme="minorHAnsi" w:eastAsiaTheme="minorEastAsia" w:hAnsiTheme="minorHAnsi" w:cstheme="minorBidi"/>
          <w:b w:val="0"/>
          <w:szCs w:val="22"/>
        </w:rPr>
      </w:pPr>
      <w:r>
        <w:t xml:space="preserve">Division 6 — Offence under </w:t>
      </w:r>
      <w:r>
        <w:rPr>
          <w:i/>
        </w:rPr>
        <w:t>Prohibited Behaviour Orders Act 2010</w:t>
      </w:r>
    </w:p>
    <w:p>
      <w:pPr>
        <w:pStyle w:val="TOC4"/>
        <w:tabs>
          <w:tab w:val="right" w:pos="7077"/>
        </w:tabs>
        <w:rPr>
          <w:rFonts w:asciiTheme="minorHAnsi" w:eastAsiaTheme="minorEastAsia" w:hAnsiTheme="minorHAnsi" w:cstheme="minorBidi"/>
          <w:b w:val="0"/>
          <w:szCs w:val="22"/>
        </w:rPr>
      </w:pPr>
      <w:r>
        <w:t xml:space="preserve">Division 7 — Offences under </w:t>
      </w:r>
      <w:r>
        <w:rPr>
          <w:i/>
        </w:rPr>
        <w:t>Prostitution Act 2000</w:t>
      </w:r>
    </w:p>
    <w:p>
      <w:pPr>
        <w:pStyle w:val="TOC4"/>
        <w:tabs>
          <w:tab w:val="right" w:pos="7077"/>
        </w:tabs>
        <w:rPr>
          <w:rFonts w:asciiTheme="minorHAnsi" w:eastAsiaTheme="minorEastAsia" w:hAnsiTheme="minorHAnsi" w:cstheme="minorBidi"/>
          <w:b w:val="0"/>
          <w:szCs w:val="22"/>
        </w:rPr>
      </w:pPr>
      <w:r>
        <w:t xml:space="preserve">Division 8 — Offences under </w:t>
      </w:r>
      <w:r>
        <w:rPr>
          <w:i/>
        </w:rPr>
        <w:t>Restraining Orders Act 1997</w:t>
      </w:r>
    </w:p>
    <w:p>
      <w:pPr>
        <w:pStyle w:val="TOC4"/>
        <w:tabs>
          <w:tab w:val="right" w:pos="7077"/>
        </w:tabs>
        <w:rPr>
          <w:rFonts w:asciiTheme="minorHAnsi" w:eastAsiaTheme="minorEastAsia" w:hAnsiTheme="minorHAnsi" w:cstheme="minorBidi"/>
          <w:b w:val="0"/>
          <w:szCs w:val="22"/>
        </w:rPr>
      </w:pPr>
      <w:r>
        <w:t xml:space="preserve">Division 9 — Offences under </w:t>
      </w:r>
      <w:r>
        <w:rPr>
          <w:i/>
        </w:rPr>
        <w:t>Voluntary Assisted Dying Act 2019</w:t>
      </w:r>
    </w:p>
    <w:p>
      <w:pPr>
        <w:pStyle w:val="TOC2"/>
        <w:tabs>
          <w:tab w:val="right" w:pos="7077"/>
        </w:tabs>
        <w:rPr>
          <w:rFonts w:asciiTheme="minorHAnsi" w:eastAsiaTheme="minorEastAsia" w:hAnsiTheme="minorHAnsi" w:cstheme="minorBidi"/>
          <w:b w:val="0"/>
          <w:sz w:val="22"/>
          <w:szCs w:val="22"/>
        </w:rPr>
      </w:pPr>
      <w:r>
        <w:t>Schedule 2 — Form</w:t>
      </w:r>
    </w:p>
    <w:p>
      <w:pPr>
        <w:pStyle w:val="TOC8"/>
        <w:rPr>
          <w:rFonts w:asciiTheme="minorHAnsi" w:eastAsiaTheme="minorEastAsia" w:hAnsiTheme="minorHAnsi" w:cstheme="minorBidi"/>
          <w:szCs w:val="22"/>
        </w:rPr>
      </w:pPr>
      <w:r>
        <w:t>1.</w:t>
      </w:r>
      <w:r>
        <w:tab/>
        <w:t>Annual return of complaints information</w:t>
      </w:r>
      <w:r>
        <w:tab/>
      </w:r>
      <w:r>
        <w:fldChar w:fldCharType="begin"/>
      </w:r>
      <w:r>
        <w:instrText xml:space="preserve"> PAGEREF _Toc155084265 \h </w:instrText>
      </w:r>
      <w:r>
        <w:fldChar w:fldCharType="separate"/>
      </w:r>
      <w:r>
        <w:t>15</w:t>
      </w:r>
      <w:r>
        <w:fldChar w:fldCharType="end"/>
      </w:r>
    </w:p>
    <w:p>
      <w:pPr>
        <w:pStyle w:val="TOC2"/>
        <w:tabs>
          <w:tab w:val="right" w:pos="7077"/>
        </w:tabs>
        <w:rPr>
          <w:rFonts w:asciiTheme="minorHAnsi" w:eastAsiaTheme="minorEastAsia" w:hAnsiTheme="minorHAnsi" w:cstheme="minorBidi"/>
          <w:b w:val="0"/>
          <w:sz w:val="22"/>
          <w:szCs w:val="22"/>
        </w:rPr>
      </w:pPr>
      <w:r>
        <w:t>Schedule 3 — Code of conduct for certain health care workers</w:t>
      </w:r>
    </w:p>
    <w:p>
      <w:pPr>
        <w:pStyle w:val="TOC8"/>
        <w:rPr>
          <w:rFonts w:asciiTheme="minorHAnsi" w:eastAsiaTheme="minorEastAsia" w:hAnsiTheme="minorHAnsi" w:cstheme="minorBidi"/>
          <w:szCs w:val="22"/>
        </w:rPr>
      </w:pPr>
      <w:r>
        <w:t>1.</w:t>
      </w:r>
      <w:r>
        <w:tab/>
        <w:t>Health care workers to provide services in safe and ethical manner</w:t>
      </w:r>
      <w:r>
        <w:tab/>
      </w:r>
      <w:r>
        <w:fldChar w:fldCharType="begin"/>
      </w:r>
      <w:r>
        <w:instrText xml:space="preserve"> PAGEREF _Toc155084267 \h </w:instrText>
      </w:r>
      <w:r>
        <w:fldChar w:fldCharType="separate"/>
      </w:r>
      <w:r>
        <w:t>23</w:t>
      </w:r>
      <w:r>
        <w:fldChar w:fldCharType="end"/>
      </w:r>
    </w:p>
    <w:p>
      <w:pPr>
        <w:pStyle w:val="TOC8"/>
        <w:rPr>
          <w:rFonts w:asciiTheme="minorHAnsi" w:eastAsiaTheme="minorEastAsia" w:hAnsiTheme="minorHAnsi" w:cstheme="minorBidi"/>
          <w:szCs w:val="22"/>
        </w:rPr>
      </w:pPr>
      <w:r>
        <w:t>2.</w:t>
      </w:r>
      <w:r>
        <w:tab/>
        <w:t>Health care workers to obtain consent</w:t>
      </w:r>
      <w:r>
        <w:tab/>
      </w:r>
      <w:r>
        <w:fldChar w:fldCharType="begin"/>
      </w:r>
      <w:r>
        <w:instrText xml:space="preserve"> PAGEREF _Toc155084268 \h </w:instrText>
      </w:r>
      <w:r>
        <w:fldChar w:fldCharType="separate"/>
      </w:r>
      <w:r>
        <w:t>24</w:t>
      </w:r>
      <w:r>
        <w:fldChar w:fldCharType="end"/>
      </w:r>
    </w:p>
    <w:p>
      <w:pPr>
        <w:pStyle w:val="TOC8"/>
        <w:rPr>
          <w:rFonts w:asciiTheme="minorHAnsi" w:eastAsiaTheme="minorEastAsia" w:hAnsiTheme="minorHAnsi" w:cstheme="minorBidi"/>
          <w:szCs w:val="22"/>
        </w:rPr>
      </w:pPr>
      <w:r>
        <w:t>3.</w:t>
      </w:r>
      <w:r>
        <w:tab/>
        <w:t>Appropriate conduct in relation to treatment advice</w:t>
      </w:r>
      <w:r>
        <w:tab/>
      </w:r>
      <w:r>
        <w:fldChar w:fldCharType="begin"/>
      </w:r>
      <w:r>
        <w:instrText xml:space="preserve"> PAGEREF _Toc155084269 \h </w:instrText>
      </w:r>
      <w:r>
        <w:fldChar w:fldCharType="separate"/>
      </w:r>
      <w:r>
        <w:t>24</w:t>
      </w:r>
      <w:r>
        <w:fldChar w:fldCharType="end"/>
      </w:r>
    </w:p>
    <w:p>
      <w:pPr>
        <w:pStyle w:val="TOC8"/>
        <w:rPr>
          <w:rFonts w:asciiTheme="minorHAnsi" w:eastAsiaTheme="minorEastAsia" w:hAnsiTheme="minorHAnsi" w:cstheme="minorBidi"/>
          <w:szCs w:val="22"/>
        </w:rPr>
      </w:pPr>
      <w:r>
        <w:t>4.</w:t>
      </w:r>
      <w:r>
        <w:tab/>
        <w:t>Health care workers to report concerns about conduct of other health care workers</w:t>
      </w:r>
      <w:r>
        <w:tab/>
      </w:r>
      <w:r>
        <w:fldChar w:fldCharType="begin"/>
      </w:r>
      <w:r>
        <w:instrText xml:space="preserve"> PAGEREF _Toc155084270 \h </w:instrText>
      </w:r>
      <w:r>
        <w:fldChar w:fldCharType="separate"/>
      </w:r>
      <w:r>
        <w:t>24</w:t>
      </w:r>
      <w:r>
        <w:fldChar w:fldCharType="end"/>
      </w:r>
    </w:p>
    <w:p>
      <w:pPr>
        <w:pStyle w:val="TOC8"/>
        <w:rPr>
          <w:rFonts w:asciiTheme="minorHAnsi" w:eastAsiaTheme="minorEastAsia" w:hAnsiTheme="minorHAnsi" w:cstheme="minorBidi"/>
          <w:szCs w:val="22"/>
        </w:rPr>
      </w:pPr>
      <w:r>
        <w:t>5.</w:t>
      </w:r>
      <w:r>
        <w:tab/>
        <w:t>Health care workers to take appropriate action in response to adverse events</w:t>
      </w:r>
      <w:r>
        <w:tab/>
      </w:r>
      <w:r>
        <w:fldChar w:fldCharType="begin"/>
      </w:r>
      <w:r>
        <w:instrText xml:space="preserve"> PAGEREF _Toc155084271 \h </w:instrText>
      </w:r>
      <w:r>
        <w:fldChar w:fldCharType="separate"/>
      </w:r>
      <w:r>
        <w:t>24</w:t>
      </w:r>
      <w:r>
        <w:fldChar w:fldCharType="end"/>
      </w:r>
    </w:p>
    <w:p>
      <w:pPr>
        <w:pStyle w:val="TOC8"/>
        <w:rPr>
          <w:rFonts w:asciiTheme="minorHAnsi" w:eastAsiaTheme="minorEastAsia" w:hAnsiTheme="minorHAnsi" w:cstheme="minorBidi"/>
          <w:szCs w:val="22"/>
        </w:rPr>
      </w:pPr>
      <w:r>
        <w:t>6.</w:t>
      </w:r>
      <w:r>
        <w:tab/>
        <w:t>Health care workers to adopt standard precautions for infection control</w:t>
      </w:r>
      <w:r>
        <w:tab/>
      </w:r>
      <w:r>
        <w:fldChar w:fldCharType="begin"/>
      </w:r>
      <w:r>
        <w:instrText xml:space="preserve"> PAGEREF _Toc155084272 \h </w:instrText>
      </w:r>
      <w:r>
        <w:fldChar w:fldCharType="separate"/>
      </w:r>
      <w:r>
        <w:t>25</w:t>
      </w:r>
      <w:r>
        <w:fldChar w:fldCharType="end"/>
      </w:r>
    </w:p>
    <w:p>
      <w:pPr>
        <w:pStyle w:val="TOC8"/>
        <w:rPr>
          <w:rFonts w:asciiTheme="minorHAnsi" w:eastAsiaTheme="minorEastAsia" w:hAnsiTheme="minorHAnsi" w:cstheme="minorBidi"/>
          <w:szCs w:val="22"/>
        </w:rPr>
      </w:pPr>
      <w:r>
        <w:t>7.</w:t>
      </w:r>
      <w:r>
        <w:tab/>
        <w:t>Health care workers diagnosed with infectious medical conditions</w:t>
      </w:r>
      <w:r>
        <w:tab/>
      </w:r>
      <w:r>
        <w:fldChar w:fldCharType="begin"/>
      </w:r>
      <w:r>
        <w:instrText xml:space="preserve"> PAGEREF _Toc155084273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8.</w:t>
      </w:r>
      <w:r>
        <w:tab/>
        <w:t>Health care workers not to make claims to cure certain serious illnesses</w:t>
      </w:r>
      <w:r>
        <w:tab/>
      </w:r>
      <w:r>
        <w:fldChar w:fldCharType="begin"/>
      </w:r>
      <w:r>
        <w:instrText xml:space="preserve"> PAGEREF _Toc155084274 \h </w:instrText>
      </w:r>
      <w:r>
        <w:fldChar w:fldCharType="separate"/>
      </w:r>
      <w:r>
        <w:t>26</w:t>
      </w:r>
      <w:r>
        <w:fldChar w:fldCharType="end"/>
      </w:r>
    </w:p>
    <w:p>
      <w:pPr>
        <w:pStyle w:val="TOC8"/>
        <w:rPr>
          <w:rFonts w:asciiTheme="minorHAnsi" w:eastAsiaTheme="minorEastAsia" w:hAnsiTheme="minorHAnsi" w:cstheme="minorBidi"/>
          <w:szCs w:val="22"/>
        </w:rPr>
      </w:pPr>
      <w:r>
        <w:t>9.</w:t>
      </w:r>
      <w:r>
        <w:tab/>
        <w:t>Health care workers not to misinform clients</w:t>
      </w:r>
      <w:r>
        <w:tab/>
      </w:r>
      <w:r>
        <w:fldChar w:fldCharType="begin"/>
      </w:r>
      <w:r>
        <w:instrText xml:space="preserve"> PAGEREF _Toc155084275 \h </w:instrText>
      </w:r>
      <w:r>
        <w:fldChar w:fldCharType="separate"/>
      </w:r>
      <w:r>
        <w:t>26</w:t>
      </w:r>
      <w:r>
        <w:fldChar w:fldCharType="end"/>
      </w:r>
    </w:p>
    <w:p>
      <w:pPr>
        <w:pStyle w:val="TOC8"/>
        <w:rPr>
          <w:rFonts w:asciiTheme="minorHAnsi" w:eastAsiaTheme="minorEastAsia" w:hAnsiTheme="minorHAnsi" w:cstheme="minorBidi"/>
          <w:szCs w:val="22"/>
        </w:rPr>
      </w:pPr>
      <w:r>
        <w:t>10.</w:t>
      </w:r>
      <w:r>
        <w:tab/>
        <w:t>Health care workers not to practise under influence of alcohol or unlawful substances</w:t>
      </w:r>
      <w:r>
        <w:tab/>
      </w:r>
      <w:r>
        <w:fldChar w:fldCharType="begin"/>
      </w:r>
      <w:r>
        <w:instrText xml:space="preserve"> PAGEREF _Toc155084276 \h </w:instrText>
      </w:r>
      <w:r>
        <w:fldChar w:fldCharType="separate"/>
      </w:r>
      <w:r>
        <w:t>26</w:t>
      </w:r>
      <w:r>
        <w:fldChar w:fldCharType="end"/>
      </w:r>
    </w:p>
    <w:p>
      <w:pPr>
        <w:pStyle w:val="TOC8"/>
        <w:rPr>
          <w:rFonts w:asciiTheme="minorHAnsi" w:eastAsiaTheme="minorEastAsia" w:hAnsiTheme="minorHAnsi" w:cstheme="minorBidi"/>
          <w:szCs w:val="22"/>
        </w:rPr>
      </w:pPr>
      <w:r>
        <w:t>11.</w:t>
      </w:r>
      <w:r>
        <w:tab/>
        <w:t>Health care workers with certain mental or physical impairments</w:t>
      </w:r>
      <w:r>
        <w:tab/>
      </w:r>
      <w:r>
        <w:fldChar w:fldCharType="begin"/>
      </w:r>
      <w:r>
        <w:instrText xml:space="preserve"> PAGEREF _Toc155084277 \h </w:instrText>
      </w:r>
      <w:r>
        <w:fldChar w:fldCharType="separate"/>
      </w:r>
      <w:r>
        <w:t>27</w:t>
      </w:r>
      <w:r>
        <w:fldChar w:fldCharType="end"/>
      </w:r>
    </w:p>
    <w:p>
      <w:pPr>
        <w:pStyle w:val="TOC8"/>
        <w:rPr>
          <w:rFonts w:asciiTheme="minorHAnsi" w:eastAsiaTheme="minorEastAsia" w:hAnsiTheme="minorHAnsi" w:cstheme="minorBidi"/>
          <w:szCs w:val="22"/>
        </w:rPr>
      </w:pPr>
      <w:r>
        <w:t>12.</w:t>
      </w:r>
      <w:r>
        <w:tab/>
        <w:t>Health care workers not to financially exploit clients</w:t>
      </w:r>
      <w:r>
        <w:tab/>
      </w:r>
      <w:r>
        <w:fldChar w:fldCharType="begin"/>
      </w:r>
      <w:r>
        <w:instrText xml:space="preserve"> PAGEREF _Toc155084278 \h </w:instrText>
      </w:r>
      <w:r>
        <w:fldChar w:fldCharType="separate"/>
      </w:r>
      <w:r>
        <w:t>27</w:t>
      </w:r>
      <w:r>
        <w:fldChar w:fldCharType="end"/>
      </w:r>
    </w:p>
    <w:p>
      <w:pPr>
        <w:pStyle w:val="TOC8"/>
        <w:rPr>
          <w:rFonts w:asciiTheme="minorHAnsi" w:eastAsiaTheme="minorEastAsia" w:hAnsiTheme="minorHAnsi" w:cstheme="minorBidi"/>
          <w:szCs w:val="22"/>
        </w:rPr>
      </w:pPr>
      <w:r>
        <w:t>13.</w:t>
      </w:r>
      <w:r>
        <w:tab/>
        <w:t>Health care workers not to engage in sexual or other misconduct</w:t>
      </w:r>
      <w:r>
        <w:tab/>
      </w:r>
      <w:r>
        <w:fldChar w:fldCharType="begin"/>
      </w:r>
      <w:r>
        <w:instrText xml:space="preserve"> PAGEREF _Toc155084279 \h </w:instrText>
      </w:r>
      <w:r>
        <w:fldChar w:fldCharType="separate"/>
      </w:r>
      <w:r>
        <w:t>27</w:t>
      </w:r>
      <w:r>
        <w:fldChar w:fldCharType="end"/>
      </w:r>
    </w:p>
    <w:p>
      <w:pPr>
        <w:pStyle w:val="TOC8"/>
        <w:rPr>
          <w:rFonts w:asciiTheme="minorHAnsi" w:eastAsiaTheme="minorEastAsia" w:hAnsiTheme="minorHAnsi" w:cstheme="minorBidi"/>
          <w:szCs w:val="22"/>
        </w:rPr>
      </w:pPr>
      <w:r>
        <w:t>14.</w:t>
      </w:r>
      <w:r>
        <w:tab/>
        <w:t>Health care workers to comply with relevant privacy laws</w:t>
      </w:r>
      <w:r>
        <w:tab/>
      </w:r>
      <w:r>
        <w:fldChar w:fldCharType="begin"/>
      </w:r>
      <w:r>
        <w:instrText xml:space="preserve"> PAGEREF _Toc155084280 \h </w:instrText>
      </w:r>
      <w:r>
        <w:fldChar w:fldCharType="separate"/>
      </w:r>
      <w:r>
        <w:t>28</w:t>
      </w:r>
      <w:r>
        <w:fldChar w:fldCharType="end"/>
      </w:r>
    </w:p>
    <w:p>
      <w:pPr>
        <w:pStyle w:val="TOC8"/>
        <w:rPr>
          <w:rFonts w:asciiTheme="minorHAnsi" w:eastAsiaTheme="minorEastAsia" w:hAnsiTheme="minorHAnsi" w:cstheme="minorBidi"/>
          <w:szCs w:val="22"/>
        </w:rPr>
      </w:pPr>
      <w:r>
        <w:t>15.</w:t>
      </w:r>
      <w:r>
        <w:tab/>
        <w:t>Health care workers to keep appropriate records</w:t>
      </w:r>
      <w:r>
        <w:tab/>
      </w:r>
      <w:r>
        <w:fldChar w:fldCharType="begin"/>
      </w:r>
      <w:r>
        <w:instrText xml:space="preserve"> PAGEREF _Toc155084281 \h </w:instrText>
      </w:r>
      <w:r>
        <w:fldChar w:fldCharType="separate"/>
      </w:r>
      <w:r>
        <w:t>28</w:t>
      </w:r>
      <w:r>
        <w:fldChar w:fldCharType="end"/>
      </w:r>
    </w:p>
    <w:p>
      <w:pPr>
        <w:pStyle w:val="TOC8"/>
        <w:rPr>
          <w:rFonts w:asciiTheme="minorHAnsi" w:eastAsiaTheme="minorEastAsia" w:hAnsiTheme="minorHAnsi" w:cstheme="minorBidi"/>
          <w:szCs w:val="22"/>
        </w:rPr>
      </w:pPr>
      <w:r>
        <w:t>16.</w:t>
      </w:r>
      <w:r>
        <w:tab/>
        <w:t>Health care workers to have appropriate insurance</w:t>
      </w:r>
      <w:r>
        <w:tab/>
      </w:r>
      <w:r>
        <w:fldChar w:fldCharType="begin"/>
      </w:r>
      <w:r>
        <w:instrText xml:space="preserve"> PAGEREF _Toc155084282 \h </w:instrText>
      </w:r>
      <w:r>
        <w:fldChar w:fldCharType="separate"/>
      </w:r>
      <w:r>
        <w:t>28</w:t>
      </w:r>
      <w:r>
        <w:fldChar w:fldCharType="end"/>
      </w:r>
    </w:p>
    <w:p>
      <w:pPr>
        <w:pStyle w:val="TOC8"/>
        <w:rPr>
          <w:rFonts w:asciiTheme="minorHAnsi" w:eastAsiaTheme="minorEastAsia" w:hAnsiTheme="minorHAnsi" w:cstheme="minorBidi"/>
          <w:szCs w:val="22"/>
        </w:rPr>
      </w:pPr>
      <w:r>
        <w:t>17.</w:t>
      </w:r>
      <w:r>
        <w:tab/>
        <w:t>Health care workers to display code and other information</w:t>
      </w:r>
      <w:r>
        <w:tab/>
      </w:r>
      <w:r>
        <w:fldChar w:fldCharType="begin"/>
      </w:r>
      <w:r>
        <w:instrText xml:space="preserve"> PAGEREF _Toc155084283 \h </w:instrText>
      </w:r>
      <w:r>
        <w:fldChar w:fldCharType="separate"/>
      </w:r>
      <w:r>
        <w:t>29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_Toc155084285 \h </w:instrText>
      </w:r>
      <w:r>
        <w:fldChar w:fldCharType="separate"/>
      </w:r>
      <w:r>
        <w:t>30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_Toc155084286 \h </w:instrText>
      </w:r>
      <w:r>
        <w:fldChar w:fldCharType="separate"/>
      </w:r>
      <w:r>
        <w:t>30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3" w:name="Start_Cursor"/>
      <w:bookmarkStart w:id="4" w:name="_Toc155084245"/>
      <w:bookmarkEnd w:id="3"/>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5" w:name="_Toc15508424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5084247"/>
      <w:r>
        <w:rPr>
          <w:rStyle w:val="CharSectno"/>
        </w:rPr>
        <w:t>2A</w:t>
      </w:r>
      <w:r>
        <w:t>.</w:t>
      </w:r>
      <w:r>
        <w:tab/>
        <w:t>Prescribed offences (Act s. 52B(3), 52H(3) and 52R(2))</w:t>
      </w:r>
      <w:bookmarkEnd w:id="6"/>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7" w:name="_Toc155084248"/>
      <w:r>
        <w:rPr>
          <w:rStyle w:val="CharSectno"/>
        </w:rPr>
        <w:t>2B</w:t>
      </w:r>
      <w:r>
        <w:t>.</w:t>
      </w:r>
      <w:r>
        <w:tab/>
        <w:t>Interstate orders prescribed (Act s. 52Q(1))</w:t>
      </w:r>
      <w:bookmarkEnd w:id="7"/>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tab/>
        <w:t>(b)</w:t>
      </w:r>
      <w:r>
        <w:tab/>
        <w:t xml:space="preserve">an order under the </w:t>
      </w:r>
      <w:r>
        <w:rPr>
          <w:i/>
        </w:rPr>
        <w:t>Health Care Complaints Act 1993</w:t>
      </w:r>
      <w:r>
        <w:t xml:space="preserve"> (New South Wales) section 41A(2)(a);</w:t>
      </w:r>
    </w:p>
    <w:p>
      <w:pPr>
        <w:pStyle w:val="Indenta"/>
      </w:pPr>
      <w:r>
        <w:lastRenderedPageBreak/>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Footnotesection"/>
      </w:pPr>
      <w:r>
        <w:tab/>
        <w:t>[Regulation 2B inserted: SL 2023/115 r. 4.]</w:t>
      </w:r>
    </w:p>
    <w:p>
      <w:pPr>
        <w:pStyle w:val="Heading5"/>
      </w:pPr>
      <w:bookmarkStart w:id="8" w:name="_Toc155084249"/>
      <w:r>
        <w:rPr>
          <w:rStyle w:val="CharSectno"/>
        </w:rPr>
        <w:t>3</w:t>
      </w:r>
      <w:r>
        <w:t>.</w:t>
      </w:r>
      <w:r>
        <w:tab/>
        <w:t>Prescribed time (Act s. 75(1))</w:t>
      </w:r>
      <w:bookmarkEnd w:id="8"/>
    </w:p>
    <w:p>
      <w:pPr>
        <w:pStyle w:val="Subsection"/>
      </w:pPr>
      <w:r>
        <w:tab/>
      </w:r>
      <w:r>
        <w:tab/>
        <w:t>For the purposes of section 75(1) of the Act, the prescribed time is 31 days.</w:t>
      </w:r>
    </w:p>
    <w:p>
      <w:pPr>
        <w:pStyle w:val="Heading5"/>
      </w:pPr>
      <w:bookmarkStart w:id="9" w:name="_Toc155084250"/>
      <w:r>
        <w:rPr>
          <w:rStyle w:val="CharSectno"/>
        </w:rPr>
        <w:t>4</w:t>
      </w:r>
      <w:r>
        <w:t>.</w:t>
      </w:r>
      <w:r>
        <w:tab/>
        <w:t>Prescribed providers and classes of providers (Act s. 75(1))</w:t>
      </w:r>
      <w:bookmarkEnd w:id="9"/>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10" w:name="_Toc155084251"/>
      <w:r>
        <w:rPr>
          <w:rStyle w:val="CharSectno"/>
        </w:rPr>
        <w:lastRenderedPageBreak/>
        <w:t>5</w:t>
      </w:r>
      <w:r>
        <w:t>.</w:t>
      </w:r>
      <w:r>
        <w:tab/>
        <w:t>Return, form of (Act s. 75(2))</w:t>
      </w:r>
      <w:bookmarkEnd w:id="10"/>
    </w:p>
    <w:p>
      <w:pPr>
        <w:pStyle w:val="Subsection"/>
      </w:pPr>
      <w:r>
        <w:tab/>
      </w:r>
      <w:r>
        <w:tab/>
        <w:t>For the purposes of section 75(2) of the Act, the prescribed form is Form 1 in Schedule 2.</w:t>
      </w:r>
    </w:p>
    <w:p>
      <w:pPr>
        <w:pStyle w:val="Heading5"/>
      </w:pPr>
      <w:bookmarkStart w:id="11" w:name="_Toc155084252"/>
      <w:r>
        <w:rPr>
          <w:rStyle w:val="CharSectno"/>
        </w:rPr>
        <w:t>6</w:t>
      </w:r>
      <w:r>
        <w:t>.</w:t>
      </w:r>
      <w:r>
        <w:tab/>
        <w:t>Code of conduct prescribed (Act s. 77A)</w:t>
      </w:r>
      <w:bookmarkEnd w:id="11"/>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2" w:name="_Toc155084253"/>
      <w:r>
        <w:rPr>
          <w:rStyle w:val="CharSchNo"/>
        </w:rPr>
        <w:lastRenderedPageBreak/>
        <w:t>Schedule 1</w:t>
      </w:r>
      <w:r>
        <w:rPr>
          <w:rStyle w:val="CharSDivNo"/>
        </w:rPr>
        <w:t> </w:t>
      </w:r>
      <w:r>
        <w:t>—</w:t>
      </w:r>
      <w:r>
        <w:rPr>
          <w:rStyle w:val="CharSDivText"/>
        </w:rPr>
        <w:t> </w:t>
      </w:r>
      <w:r>
        <w:rPr>
          <w:rStyle w:val="CharSchText"/>
        </w:rPr>
        <w:t>Private hospitals</w:t>
      </w:r>
      <w:bookmarkEnd w:id="12"/>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13" w:name="_Toc155084254"/>
      <w:r>
        <w:rPr>
          <w:rStyle w:val="CharSchNo"/>
        </w:rPr>
        <w:lastRenderedPageBreak/>
        <w:t>Schedule 1A</w:t>
      </w:r>
      <w:r>
        <w:t> — </w:t>
      </w:r>
      <w:r>
        <w:rPr>
          <w:rStyle w:val="CharSchText"/>
        </w:rPr>
        <w:t>Prescribed offences</w:t>
      </w:r>
      <w:bookmarkEnd w:id="13"/>
    </w:p>
    <w:p>
      <w:pPr>
        <w:pStyle w:val="yShoulderClause"/>
      </w:pPr>
      <w:r>
        <w:t>[r. 2A]</w:t>
      </w:r>
    </w:p>
    <w:p>
      <w:pPr>
        <w:pStyle w:val="yFootnoteheading"/>
      </w:pPr>
      <w:r>
        <w:tab/>
        <w:t>[Heading inserted: SL 2023/115 r. 7.]</w:t>
      </w:r>
    </w:p>
    <w:p>
      <w:pPr>
        <w:pStyle w:val="yHeading3"/>
      </w:pPr>
      <w:bookmarkStart w:id="14" w:name="_Toc155084255"/>
      <w:r>
        <w:rPr>
          <w:rStyle w:val="CharSDivNo"/>
        </w:rPr>
        <w:t>Division 1</w:t>
      </w:r>
      <w:r>
        <w:t> — </w:t>
      </w:r>
      <w:r>
        <w:rPr>
          <w:rStyle w:val="CharSDivText"/>
        </w:rPr>
        <w:t>Offences under Australian Consumer Law</w:t>
      </w:r>
      <w:bookmarkEnd w:id="14"/>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15" w:name="_Toc155084256"/>
      <w:r>
        <w:rPr>
          <w:rStyle w:val="CharSDivNo"/>
        </w:rPr>
        <w:t>Division 2</w:t>
      </w:r>
      <w:r>
        <w:t> — </w:t>
      </w:r>
      <w:r>
        <w:rPr>
          <w:rStyle w:val="CharSDivText"/>
        </w:rPr>
        <w:t xml:space="preserve">Offences under </w:t>
      </w:r>
      <w:r>
        <w:rPr>
          <w:rStyle w:val="CharSDivText"/>
          <w:i/>
        </w:rPr>
        <w:t>Children and Community Services Act 2004</w:t>
      </w:r>
      <w:bookmarkEnd w:id="15"/>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16" w:name="_Toc155084257"/>
      <w:r>
        <w:rPr>
          <w:rStyle w:val="CharSDivNo"/>
        </w:rPr>
        <w:lastRenderedPageBreak/>
        <w:t>Division 3</w:t>
      </w:r>
      <w:r>
        <w:t> — </w:t>
      </w:r>
      <w:r>
        <w:rPr>
          <w:rStyle w:val="CharSDivText"/>
        </w:rPr>
        <w:t xml:space="preserve">Offences under </w:t>
      </w:r>
      <w:r>
        <w:rPr>
          <w:rStyle w:val="CharSDivText"/>
          <w:i/>
        </w:rPr>
        <w:t>The Criminal Code</w:t>
      </w:r>
      <w:bookmarkEnd w:id="16"/>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lastRenderedPageBreak/>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709" w:type="dxa"/>
            <w:noWrap/>
          </w:tcPr>
          <w:p>
            <w:pPr>
              <w:pStyle w:val="yTableNAm"/>
            </w:pPr>
            <w:r>
              <w:t>15.</w:t>
            </w:r>
          </w:p>
        </w:tc>
        <w:tc>
          <w:tcPr>
            <w:tcW w:w="1276" w:type="dxa"/>
            <w:noWrap/>
          </w:tcPr>
          <w:p>
            <w:pPr>
              <w:pStyle w:val="yTableNAm"/>
            </w:pPr>
            <w:r>
              <w:t>s. 199</w:t>
            </w:r>
          </w:p>
        </w:tc>
        <w:tc>
          <w:tcPr>
            <w:tcW w:w="4819" w:type="dxa"/>
            <w:noWrap/>
          </w:tcPr>
          <w:p>
            <w:pPr>
              <w:pStyle w:val="yTableNAm"/>
              <w:rPr>
                <w:rStyle w:val="DraftersNotes"/>
                <w:b w:val="0"/>
                <w:i w:val="0"/>
                <w:sz w:val="22"/>
              </w:rPr>
            </w:pPr>
            <w:r>
              <w:t>Abortion</w:t>
            </w:r>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lastRenderedPageBreak/>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lastRenderedPageBreak/>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lastRenderedPageBreak/>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lastRenderedPageBreak/>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7.]</w:t>
      </w:r>
    </w:p>
    <w:p>
      <w:pPr>
        <w:pStyle w:val="yHeading3"/>
        <w:rPr>
          <w:i/>
        </w:rPr>
      </w:pPr>
      <w:bookmarkStart w:id="17" w:name="_Toc155084258"/>
      <w:r>
        <w:rPr>
          <w:rStyle w:val="CharSDivNo"/>
        </w:rPr>
        <w:t>Division 4</w:t>
      </w:r>
      <w:r>
        <w:t> — </w:t>
      </w:r>
      <w:r>
        <w:rPr>
          <w:rStyle w:val="CharSDivText"/>
        </w:rPr>
        <w:t xml:space="preserve">Offences under </w:t>
      </w:r>
      <w:r>
        <w:rPr>
          <w:rStyle w:val="CharSDivText"/>
          <w:i/>
        </w:rPr>
        <w:t>Human Reproductive Technology Act 1991</w:t>
      </w:r>
      <w:bookmarkEnd w:id="17"/>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18" w:name="_Toc155084259"/>
      <w:r>
        <w:rPr>
          <w:rStyle w:val="CharSDivNo"/>
        </w:rPr>
        <w:t>Division 5</w:t>
      </w:r>
      <w:r>
        <w:t> — </w:t>
      </w:r>
      <w:r>
        <w:rPr>
          <w:rStyle w:val="CharSDivText"/>
        </w:rPr>
        <w:t xml:space="preserve">Offences under </w:t>
      </w:r>
      <w:r>
        <w:rPr>
          <w:rStyle w:val="CharSDivText"/>
          <w:i/>
        </w:rPr>
        <w:t>Misuse of Drugs Act 1981</w:t>
      </w:r>
      <w:bookmarkEnd w:id="1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19" w:name="_Toc155084260"/>
      <w:r>
        <w:rPr>
          <w:rStyle w:val="CharSDivNo"/>
        </w:rPr>
        <w:lastRenderedPageBreak/>
        <w:t>Division 6</w:t>
      </w:r>
      <w:r>
        <w:t> — </w:t>
      </w:r>
      <w:r>
        <w:rPr>
          <w:rStyle w:val="CharSDivText"/>
        </w:rPr>
        <w:t xml:space="preserve">Offence under </w:t>
      </w:r>
      <w:r>
        <w:rPr>
          <w:rStyle w:val="CharSDivText"/>
          <w:i/>
        </w:rPr>
        <w:t>Prohibited Behaviour Orders Act 2010</w:t>
      </w:r>
      <w:bookmarkEnd w:id="19"/>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20" w:name="_Toc155084261"/>
      <w:r>
        <w:rPr>
          <w:rStyle w:val="CharSDivNo"/>
        </w:rPr>
        <w:t>Division 7</w:t>
      </w:r>
      <w:r>
        <w:t> — </w:t>
      </w:r>
      <w:r>
        <w:rPr>
          <w:rStyle w:val="CharSDivText"/>
        </w:rPr>
        <w:t xml:space="preserve">Offences under </w:t>
      </w:r>
      <w:r>
        <w:rPr>
          <w:rStyle w:val="CharSDivText"/>
          <w:i/>
        </w:rPr>
        <w:t>Prostitution Act 2000</w:t>
      </w:r>
      <w:bookmarkEnd w:id="20"/>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pPr>
      <w:r>
        <w:tab/>
        <w:t>[Division 7 inserted: SL 2023/115 r. 7.]</w:t>
      </w:r>
    </w:p>
    <w:p>
      <w:pPr>
        <w:pStyle w:val="yHeading3"/>
        <w:rPr>
          <w:i/>
        </w:rPr>
      </w:pPr>
      <w:bookmarkStart w:id="21" w:name="_Toc155084262"/>
      <w:r>
        <w:rPr>
          <w:rStyle w:val="CharSDivNo"/>
        </w:rPr>
        <w:t>Division 8</w:t>
      </w:r>
      <w:r>
        <w:t> — </w:t>
      </w:r>
      <w:r>
        <w:rPr>
          <w:rStyle w:val="CharSDivText"/>
        </w:rPr>
        <w:t xml:space="preserve">Offences under </w:t>
      </w:r>
      <w:r>
        <w:rPr>
          <w:rStyle w:val="CharSDivText"/>
          <w:i/>
        </w:rPr>
        <w:t>Restraining Orders Act 1997</w:t>
      </w:r>
      <w:bookmarkEnd w:id="2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22" w:name="_Toc155084263"/>
      <w:r>
        <w:rPr>
          <w:rStyle w:val="CharSDivNo"/>
        </w:rPr>
        <w:lastRenderedPageBreak/>
        <w:t>Division 9</w:t>
      </w:r>
      <w:r>
        <w:t> — </w:t>
      </w:r>
      <w:r>
        <w:rPr>
          <w:rStyle w:val="CharSDivText"/>
        </w:rPr>
        <w:t xml:space="preserve">Offences under </w:t>
      </w:r>
      <w:r>
        <w:rPr>
          <w:rStyle w:val="CharSDivText"/>
          <w:i/>
        </w:rPr>
        <w:t>Voluntary Assisted Dying Act 2019</w:t>
      </w:r>
      <w:bookmarkEnd w:id="2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23" w:name="_Toc155084264"/>
      <w:r>
        <w:rPr>
          <w:rStyle w:val="CharSchNo"/>
        </w:rPr>
        <w:lastRenderedPageBreak/>
        <w:t>Schedule 2</w:t>
      </w:r>
      <w:r>
        <w:rPr>
          <w:rStyle w:val="CharSDivNo"/>
        </w:rPr>
        <w:t> </w:t>
      </w:r>
      <w:r>
        <w:t>—</w:t>
      </w:r>
      <w:r>
        <w:rPr>
          <w:rStyle w:val="CharSDivText"/>
        </w:rPr>
        <w:t> </w:t>
      </w:r>
      <w:r>
        <w:rPr>
          <w:rStyle w:val="CharSchText"/>
        </w:rPr>
        <w:t>Form</w:t>
      </w:r>
      <w:bookmarkEnd w:id="23"/>
    </w:p>
    <w:p>
      <w:pPr>
        <w:pStyle w:val="yShoulderClause"/>
        <w:spacing w:after="120"/>
      </w:pPr>
      <w:r>
        <w:t>[r. 5]</w:t>
      </w:r>
    </w:p>
    <w:p>
      <w:pPr>
        <w:pStyle w:val="yHeading5"/>
        <w:spacing w:after="120"/>
      </w:pPr>
      <w:bookmarkStart w:id="24" w:name="_Toc155084265"/>
      <w:r>
        <w:rPr>
          <w:rStyle w:val="CharSClsNo"/>
        </w:rPr>
        <w:t>1</w:t>
      </w:r>
      <w:r>
        <w:t>.</w:t>
      </w:r>
      <w:r>
        <w:tab/>
        <w:t>Annual return of complaints information</w:t>
      </w:r>
      <w:bookmarkEnd w:id="24"/>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lastRenderedPageBreak/>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lastRenderedPageBreak/>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lastRenderedPageBreak/>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5" w:name="_Toc155084266"/>
      <w:r>
        <w:rPr>
          <w:rStyle w:val="CharSchNo"/>
        </w:rPr>
        <w:lastRenderedPageBreak/>
        <w:t>Schedule 3</w:t>
      </w:r>
      <w:r>
        <w:t> — </w:t>
      </w:r>
      <w:r>
        <w:rPr>
          <w:rStyle w:val="CharSchText"/>
        </w:rPr>
        <w:t>Code of conduct for certain health care workers</w:t>
      </w:r>
      <w:bookmarkEnd w:id="25"/>
    </w:p>
    <w:p>
      <w:pPr>
        <w:pStyle w:val="yShoulderClause"/>
      </w:pPr>
      <w:r>
        <w:t>[r. 6]</w:t>
      </w:r>
    </w:p>
    <w:p>
      <w:pPr>
        <w:pStyle w:val="yFootnoteheading"/>
      </w:pPr>
      <w:r>
        <w:tab/>
        <w:t>[Heading inserted: SL 2023/115 r. 8.]</w:t>
      </w:r>
    </w:p>
    <w:p>
      <w:pPr>
        <w:pStyle w:val="yHeading5"/>
      </w:pPr>
      <w:bookmarkStart w:id="26" w:name="_Toc155084267"/>
      <w:r>
        <w:rPr>
          <w:rStyle w:val="CharSClsNo"/>
        </w:rPr>
        <w:t>1</w:t>
      </w:r>
      <w:r>
        <w:t>.</w:t>
      </w:r>
      <w:r>
        <w:tab/>
        <w:t>Health care workers to provide services in safe and ethical manner</w:t>
      </w:r>
      <w:bookmarkEnd w:id="26"/>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lastRenderedPageBreak/>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27" w:name="_Toc155084268"/>
      <w:r>
        <w:rPr>
          <w:rStyle w:val="CharSClsNo"/>
        </w:rPr>
        <w:t>2</w:t>
      </w:r>
      <w:r>
        <w:t>.</w:t>
      </w:r>
      <w:r>
        <w:tab/>
        <w:t>Health care workers to obtain consent</w:t>
      </w:r>
      <w:bookmarkEnd w:id="27"/>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28" w:name="_Toc155084269"/>
      <w:r>
        <w:rPr>
          <w:rStyle w:val="CharSClsNo"/>
        </w:rPr>
        <w:t>3</w:t>
      </w:r>
      <w:r>
        <w:t>.</w:t>
      </w:r>
      <w:r>
        <w:tab/>
        <w:t>Appropriate conduct in relation to treatment advice</w:t>
      </w:r>
      <w:bookmarkEnd w:id="28"/>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29" w:name="_Toc155084270"/>
      <w:r>
        <w:rPr>
          <w:rStyle w:val="CharSClsNo"/>
        </w:rPr>
        <w:t>4</w:t>
      </w:r>
      <w:r>
        <w:t>.</w:t>
      </w:r>
      <w:r>
        <w:tab/>
        <w:t>Health care workers to report concerns about conduct of other health care workers</w:t>
      </w:r>
      <w:bookmarkEnd w:id="29"/>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30" w:name="_Toc155084271"/>
      <w:r>
        <w:rPr>
          <w:rStyle w:val="CharSClsNo"/>
        </w:rPr>
        <w:t>5</w:t>
      </w:r>
      <w:r>
        <w:t>.</w:t>
      </w:r>
      <w:r>
        <w:tab/>
        <w:t>Health care workers to take appropriate action in response to adverse events</w:t>
      </w:r>
      <w:bookmarkEnd w:id="30"/>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lastRenderedPageBreak/>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31" w:name="_Toc155084272"/>
      <w:r>
        <w:rPr>
          <w:rStyle w:val="CharSClsNo"/>
        </w:rPr>
        <w:t>6</w:t>
      </w:r>
      <w:r>
        <w:t>.</w:t>
      </w:r>
      <w:r>
        <w:tab/>
        <w:t>Health care workers to adopt standard precautions for infection control</w:t>
      </w:r>
      <w:bookmarkEnd w:id="31"/>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32" w:name="_Toc155084273"/>
      <w:r>
        <w:rPr>
          <w:rStyle w:val="CharSClsNo"/>
        </w:rPr>
        <w:t>7</w:t>
      </w:r>
      <w:r>
        <w:t>.</w:t>
      </w:r>
      <w:r>
        <w:tab/>
        <w:t>Health care workers diagnosed with infectious medical conditions</w:t>
      </w:r>
      <w:bookmarkEnd w:id="32"/>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33" w:name="_Toc155084274"/>
      <w:r>
        <w:rPr>
          <w:rStyle w:val="CharSClsNo"/>
        </w:rPr>
        <w:lastRenderedPageBreak/>
        <w:t>8</w:t>
      </w:r>
      <w:r>
        <w:t>.</w:t>
      </w:r>
      <w:r>
        <w:tab/>
        <w:t>Health care workers not to make claims to cure certain serious illnesses</w:t>
      </w:r>
      <w:bookmarkEnd w:id="33"/>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34" w:name="_Toc155084275"/>
      <w:r>
        <w:rPr>
          <w:rStyle w:val="CharSClsNo"/>
        </w:rPr>
        <w:t>9</w:t>
      </w:r>
      <w:r>
        <w:t>.</w:t>
      </w:r>
      <w:r>
        <w:tab/>
        <w:t>Health care workers not to misinform clients</w:t>
      </w:r>
      <w:bookmarkEnd w:id="34"/>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35" w:name="_Toc155084276"/>
      <w:r>
        <w:rPr>
          <w:rStyle w:val="CharSClsNo"/>
        </w:rPr>
        <w:t>10</w:t>
      </w:r>
      <w:r>
        <w:t>.</w:t>
      </w:r>
      <w:r>
        <w:tab/>
        <w:t>Health care workers not to practise under influence of alcohol or unlawful substances</w:t>
      </w:r>
      <w:bookmarkEnd w:id="35"/>
    </w:p>
    <w:p>
      <w:pPr>
        <w:pStyle w:val="ySubsection"/>
      </w:pPr>
      <w:r>
        <w:tab/>
        <w:t>(1)</w:t>
      </w:r>
      <w:r>
        <w:tab/>
        <w:t>A health care worker must not provide health services to clients while under the influence of alcohol or unlawful substances.</w:t>
      </w:r>
    </w:p>
    <w:p>
      <w:pPr>
        <w:pStyle w:val="ySubsection"/>
      </w:pPr>
      <w:r>
        <w:tab/>
        <w:t>(2)</w:t>
      </w:r>
      <w:r>
        <w:tab/>
        <w:t xml:space="preserve">A health care worker who is taking prescribed medication must obtain advice from the prescribing health practitioner or dispensing pharmacist on the impact of the medication on their ability to practise </w:t>
      </w:r>
      <w:r>
        <w:lastRenderedPageBreak/>
        <w:t>and must refrain from providing health services to clients in circumstances where their capacity is or may be impaired.</w:t>
      </w:r>
    </w:p>
    <w:p>
      <w:pPr>
        <w:pStyle w:val="yFootnotesection"/>
      </w:pPr>
      <w:r>
        <w:tab/>
        <w:t>[Clause 10 inserted: SL 2023/115 r. 8.]</w:t>
      </w:r>
    </w:p>
    <w:p>
      <w:pPr>
        <w:pStyle w:val="yHeading5"/>
      </w:pPr>
      <w:bookmarkStart w:id="36" w:name="_Toc155084277"/>
      <w:r>
        <w:rPr>
          <w:rStyle w:val="CharSClsNo"/>
        </w:rPr>
        <w:t>11</w:t>
      </w:r>
      <w:r>
        <w:t>.</w:t>
      </w:r>
      <w:r>
        <w:tab/>
        <w:t>Health care workers with certain mental or physical impairments</w:t>
      </w:r>
      <w:bookmarkEnd w:id="36"/>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37" w:name="_Toc155084278"/>
      <w:r>
        <w:rPr>
          <w:rStyle w:val="CharSClsNo"/>
        </w:rPr>
        <w:t>12</w:t>
      </w:r>
      <w:r>
        <w:t>.</w:t>
      </w:r>
      <w:r>
        <w:tab/>
        <w:t>Health care workers not to financially exploit clients</w:t>
      </w:r>
      <w:bookmarkEnd w:id="37"/>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38" w:name="_Toc155084279"/>
      <w:r>
        <w:rPr>
          <w:rStyle w:val="CharSClsNo"/>
        </w:rPr>
        <w:t>13</w:t>
      </w:r>
      <w:r>
        <w:t>.</w:t>
      </w:r>
      <w:r>
        <w:tab/>
        <w:t>Health care workers not to engage in sexual or other misconduct</w:t>
      </w:r>
      <w:bookmarkEnd w:id="38"/>
    </w:p>
    <w:p>
      <w:pPr>
        <w:pStyle w:val="ySubsection"/>
      </w:pPr>
      <w:r>
        <w:tab/>
        <w:t>(1)</w:t>
      </w:r>
      <w:r>
        <w:tab/>
        <w:t>A health care worker must not engage in behaviour of a sexual or close personal nature with a client.</w:t>
      </w:r>
    </w:p>
    <w:p>
      <w:pPr>
        <w:pStyle w:val="ySubsection"/>
      </w:pPr>
      <w:r>
        <w:lastRenderedPageBreak/>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39" w:name="_Toc155084280"/>
      <w:r>
        <w:rPr>
          <w:rStyle w:val="CharSClsNo"/>
        </w:rPr>
        <w:t>14</w:t>
      </w:r>
      <w:r>
        <w:t>.</w:t>
      </w:r>
      <w:r>
        <w:tab/>
        <w:t>Health care workers to comply with relevant privacy laws</w:t>
      </w:r>
      <w:bookmarkEnd w:id="39"/>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40" w:name="_Toc155084281"/>
      <w:r>
        <w:rPr>
          <w:rStyle w:val="CharSClsNo"/>
        </w:rPr>
        <w:t>15</w:t>
      </w:r>
      <w:r>
        <w:t>.</w:t>
      </w:r>
      <w:r>
        <w:tab/>
        <w:t>Health care workers to keep appropriate records</w:t>
      </w:r>
      <w:bookmarkEnd w:id="40"/>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41" w:name="_Toc155084282"/>
      <w:r>
        <w:rPr>
          <w:rStyle w:val="CharSClsNo"/>
        </w:rPr>
        <w:t>16</w:t>
      </w:r>
      <w:r>
        <w:t>.</w:t>
      </w:r>
      <w:r>
        <w:tab/>
        <w:t>Health care workers to have appropriate insurance</w:t>
      </w:r>
      <w:bookmarkEnd w:id="41"/>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42" w:name="_Toc155084283"/>
      <w:r>
        <w:rPr>
          <w:rStyle w:val="CharSClsNo"/>
        </w:rPr>
        <w:lastRenderedPageBreak/>
        <w:t>17</w:t>
      </w:r>
      <w:r>
        <w:t>.</w:t>
      </w:r>
      <w:r>
        <w:tab/>
        <w:t>Health care workers to display code and other information</w:t>
      </w:r>
      <w:bookmarkEnd w:id="42"/>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44" w:name="_Toc155084284"/>
      <w:r>
        <w:lastRenderedPageBreak/>
        <w:t>Notes</w:t>
      </w:r>
      <w:bookmarkEnd w:id="44"/>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w:t>
      </w:r>
    </w:p>
    <w:p>
      <w:pPr>
        <w:pStyle w:val="nHeading3"/>
      </w:pPr>
      <w:bookmarkStart w:id="45" w:name="_Toc155084285"/>
      <w:r>
        <w:t>Compilation table</w:t>
      </w:r>
      <w:bookmarkEnd w:id="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single" w:sz="4" w:space="0" w:color="auto"/>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single" w:sz="4" w:space="0" w:color="auto"/>
            </w:tcBorders>
            <w:shd w:val="clear" w:color="auto" w:fill="auto"/>
          </w:tcPr>
          <w:p>
            <w:pPr>
              <w:pStyle w:val="nTable"/>
              <w:spacing w:after="40"/>
            </w:pPr>
            <w:r>
              <w:t>SL 2023/115 26 Jul 2023</w:t>
            </w:r>
          </w:p>
        </w:tc>
        <w:tc>
          <w:tcPr>
            <w:tcW w:w="2693" w:type="dxa"/>
            <w:tcBorders>
              <w:top w:val="nil"/>
              <w:bottom w:val="single" w:sz="4" w:space="0" w:color="auto"/>
            </w:tcBorders>
            <w:shd w:val="clear" w:color="auto" w:fill="auto"/>
          </w:tcPr>
          <w:p>
            <w:pPr>
              <w:pStyle w:val="nTable"/>
              <w:spacing w:after="40"/>
            </w:pPr>
            <w:r>
              <w:t>r. 1 and 2: 26 Jul 2023 (see r. 2(a));</w:t>
            </w:r>
            <w:r>
              <w:br/>
              <w:t>Regulations other than r. 1 and 2: 27 Jul 2023 (see r. 2(b))</w:t>
            </w:r>
          </w:p>
        </w:tc>
      </w:tr>
    </w:tbl>
    <w:p>
      <w:pPr>
        <w:pStyle w:val="nHeading3"/>
      </w:pPr>
      <w:bookmarkStart w:id="46" w:name="_Toc155084286"/>
      <w:r>
        <w:t>Other notes</w:t>
      </w:r>
      <w:bookmarkEnd w:id="46"/>
    </w:p>
    <w:p>
      <w:pPr>
        <w:pStyle w:val="nNote"/>
      </w:pPr>
      <w:r>
        <w:rPr>
          <w:vertAlign w:val="superscript"/>
        </w:rPr>
        <w:t>1</w:t>
      </w:r>
      <w:r>
        <w:tab/>
        <w:t xml:space="preserve">Now known as the </w:t>
      </w:r>
      <w:r>
        <w:rPr>
          <w:i/>
        </w:rPr>
        <w:t>Health and Disability Services (Complaints) Regulations 2010</w:t>
      </w:r>
      <w:r>
        <w:t>; citation changed (see note under r. 1).</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8" w:name="_Toc155084287"/>
      <w:r>
        <w:rPr>
          <w:sz w:val="28"/>
        </w:rPr>
        <w:lastRenderedPageBreak/>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2A(2)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4AAB6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1C6F7FE" w14:textId="3C2716D4" w:rsidR="00360483" w:rsidRDefault="0036048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924C5EF" w14:textId="77777777" w:rsidR="00360483" w:rsidRDefault="0036048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2CA2291" w14:textId="19FEBBDF" w:rsidR="00360483" w:rsidRDefault="0036048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F9CC5C2" w14:textId="77777777" w:rsidR="00360483" w:rsidRDefault="0036048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 w:name="DefinedTerms"/>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4910"/>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5612</Words>
  <Characters>29918</Characters>
  <Application>Microsoft Office Word</Application>
  <DocSecurity>0</DocSecurity>
  <Lines>1574</Lines>
  <Paragraphs>1225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2010 - 01-d0-01</dc:title>
  <dc:subject/>
  <dc:creator/>
  <cp:keywords/>
  <dc:description/>
  <cp:lastModifiedBy>Master Repository Process</cp:lastModifiedBy>
  <cp:revision>4</cp:revision>
  <cp:lastPrinted>2011-08-12T03:19:00Z</cp:lastPrinted>
  <dcterms:created xsi:type="dcterms:W3CDTF">2024-01-02T02:37:00Z</dcterms:created>
  <dcterms:modified xsi:type="dcterms:W3CDTF">2024-01-02T02:37:00Z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AsAtDate">
    <vt:lpwstr>27 Jul 2023</vt:lpwstr>
  </property>
  <property fmtid="{D5CDD505-2E9C-101B-9397-08002B2CF9AE}" pid="8" name="Suffix">
    <vt:lpwstr>01-d0-01</vt:lpwstr>
  </property>
  <property fmtid="{D5CDD505-2E9C-101B-9397-08002B2CF9AE}" pid="9" name="Official">
    <vt:lpwstr/>
  </property>
  <property fmtid="{D5CDD505-2E9C-101B-9397-08002B2CF9AE}" pid="10" name="CommencementDate">
    <vt:lpwstr>20230727</vt:lpwstr>
  </property>
  <property fmtid="{D5CDD505-2E9C-101B-9397-08002B2CF9AE}" pid="11" name="CommencementAsAt">
    <vt:filetime>2023-07-26T16:00:00Z</vt:filetime>
  </property>
  <property fmtid="{D5CDD505-2E9C-101B-9397-08002B2CF9AE}" pid="12" name="CommencementYear">
    <vt:lpwstr>2023</vt:lpwstr>
  </property>
</Properties>
</file>