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_Toc154755483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_Toc154755484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_Toc154755485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_Toc154755486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_Toc154755487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_Toc154755488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_Toc154755489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_Toc154755490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_Toc154755491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_Toc154755492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_Toc154755493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_Toc154755494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_Toc154755495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_Toc154755496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_Toc154755497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_Toc154755498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_Toc154755499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_Toc154755500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_Toc154755501 \h </w:instrText>
      </w:r>
      <w:r>
        <w:fldChar w:fldCharType="separate"/>
      </w:r>
      <w:r>
        <w:t>13</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_Toc154755502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Registry fees</w:t>
      </w:r>
    </w:p>
    <w:p>
      <w:pPr>
        <w:pStyle w:val="TOC2"/>
        <w:tabs>
          <w:tab w:val="right" w:pos="7077"/>
        </w:tabs>
        <w:rPr>
          <w:rFonts w:asciiTheme="minorHAnsi" w:eastAsiaTheme="minorEastAsia" w:hAnsiTheme="minorHAnsi" w:cstheme="minorBidi"/>
          <w:b w:val="0"/>
          <w:sz w:val="22"/>
          <w:szCs w:val="22"/>
        </w:rPr>
      </w:pPr>
      <w:r>
        <w:t>Schedule 2 — Sheriff’s fees</w:t>
      </w:r>
    </w:p>
    <w:p>
      <w:pPr>
        <w:pStyle w:val="TOC2"/>
        <w:tabs>
          <w:tab w:val="right" w:pos="7077"/>
        </w:tabs>
        <w:rPr>
          <w:rFonts w:asciiTheme="minorHAnsi" w:eastAsiaTheme="minorEastAsia" w:hAnsiTheme="minorHAnsi" w:cstheme="minorBidi"/>
          <w:b w:val="0"/>
          <w:sz w:val="22"/>
          <w:szCs w:val="22"/>
        </w:rPr>
      </w:pPr>
      <w:r>
        <w:t>Schedule 3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_Toc154755507 \h </w:instrText>
      </w:r>
      <w:r>
        <w:fldChar w:fldCharType="separate"/>
      </w:r>
      <w:r>
        <w:t>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_Toc154755508 \h </w:instrText>
      </w:r>
      <w:r>
        <w:fldChar w:fldCharType="separate"/>
      </w:r>
      <w:r>
        <w:t>39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(Fees) Regulations 2002</w:t>
      </w:r>
    </w:p>
    <w:p>
      <w:pPr>
        <w:pStyle w:val="Heading5"/>
      </w:pPr>
      <w:bookmarkStart w:id="3" w:name="_Toc154755483"/>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t>.</w:t>
      </w:r>
    </w:p>
    <w:p>
      <w:pPr>
        <w:pStyle w:val="Heading5"/>
      </w:pPr>
      <w:bookmarkStart w:id="4" w:name="_Toc154755484"/>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154755485"/>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lastRenderedPageBreak/>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 SL 2023/120 r. 14.]</w:t>
      </w:r>
    </w:p>
    <w:p>
      <w:pPr>
        <w:pStyle w:val="Heading5"/>
        <w:rPr>
          <w:snapToGrid w:val="0"/>
        </w:rPr>
      </w:pPr>
      <w:bookmarkStart w:id="6" w:name="_Toc154755486"/>
      <w:r>
        <w:rPr>
          <w:rStyle w:val="CharSectno"/>
        </w:rPr>
        <w:lastRenderedPageBreak/>
        <w:t>4</w:t>
      </w:r>
      <w:r>
        <w:rPr>
          <w:snapToGrid w:val="0"/>
        </w:rPr>
        <w:t>.</w:t>
      </w:r>
      <w:r>
        <w:rPr>
          <w:snapToGrid w:val="0"/>
        </w:rPr>
        <w:tab/>
        <w:t>Fees to be charged</w:t>
      </w:r>
      <w:bookmarkEnd w:id="6"/>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lastRenderedPageBreak/>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154755487"/>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lastRenderedPageBreak/>
        <w:tab/>
        <w:t>[Regulation 4A inserted: Gazette 14 Jun 2016 p. 1881</w:t>
      </w:r>
      <w:r>
        <w:noBreakHyphen/>
        <w:t>2.]</w:t>
      </w:r>
    </w:p>
    <w:p>
      <w:pPr>
        <w:pStyle w:val="Heading5"/>
        <w:rPr>
          <w:snapToGrid w:val="0"/>
        </w:rPr>
      </w:pPr>
      <w:bookmarkStart w:id="8" w:name="_Toc154755488"/>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154755489"/>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154755490"/>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lastRenderedPageBreak/>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 SL 2023/120 r. 15.]</w:t>
      </w:r>
    </w:p>
    <w:p>
      <w:pPr>
        <w:pStyle w:val="Heading5"/>
      </w:pPr>
      <w:bookmarkStart w:id="11" w:name="_Toc154755491"/>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154755492"/>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lastRenderedPageBreak/>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154755493"/>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keepNext/>
      </w:pPr>
      <w:r>
        <w:lastRenderedPageBreak/>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154755494"/>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keepNext/>
      </w:pPr>
      <w:r>
        <w:tab/>
        <w:t>(5)</w:t>
      </w:r>
      <w:r>
        <w:tab/>
        <w:t xml:space="preserve">An order under subregulation (4)(b) may include orders relating to the future conduct of the proceedings to which the fees relate </w:t>
      </w:r>
      <w:r>
        <w:lastRenderedPageBreak/>
        <w:t xml:space="preserve">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154755495"/>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154755496"/>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154755497"/>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154755498"/>
      <w:r>
        <w:rPr>
          <w:rStyle w:val="CharSectno"/>
        </w:rPr>
        <w:t>9</w:t>
      </w:r>
      <w:r>
        <w:t>.</w:t>
      </w:r>
      <w:r>
        <w:tab/>
        <w:t>Allocation of hearing date — Schedule 1 item 6</w:t>
      </w:r>
      <w:bookmarkEnd w:id="1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lastRenderedPageBreak/>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pPr>
      <w:r>
        <w:tab/>
        <w:t>(5)</w:t>
      </w:r>
      <w:r>
        <w:tab/>
        <w:t>The proceeding may be listed for hearing before the fee is paid.</w:t>
      </w:r>
    </w:p>
    <w:p>
      <w:pPr>
        <w:pStyle w:val="Subsection"/>
      </w:pPr>
      <w:r>
        <w:tab/>
        <w:t>(5A)</w:t>
      </w:r>
      <w:r>
        <w:tab/>
        <w:t xml:space="preserve">The fee is payable after the Court makes an order (the </w:t>
      </w:r>
      <w:r>
        <w:rPr>
          <w:rStyle w:val="CharDefText"/>
        </w:rPr>
        <w:t>listing order</w:t>
      </w:r>
      <w:r>
        <w:t xml:space="preserve">) allocating the dates for hearing the proceeding and must be paid by — </w:t>
      </w:r>
    </w:p>
    <w:p>
      <w:pPr>
        <w:pStyle w:val="Indenta"/>
      </w:pPr>
      <w:r>
        <w:tab/>
        <w:t>(a)</w:t>
      </w:r>
      <w:r>
        <w:tab/>
        <w:t>if the Court makes an order setting the day by which the fee is to be paid — the day set by the Court; or</w:t>
      </w:r>
    </w:p>
    <w:p>
      <w:pPr>
        <w:pStyle w:val="Indenta"/>
      </w:pPr>
      <w:r>
        <w:tab/>
        <w:t>(b)</w:t>
      </w:r>
      <w:r>
        <w:tab/>
        <w:t>if the Court does not make an order mentioned in paragraph (a) — by the day that is 14 days after the day on which the Court makes the listing order.</w:t>
      </w:r>
    </w:p>
    <w:p>
      <w:pPr>
        <w:pStyle w:val="Subsection"/>
      </w:pPr>
      <w:r>
        <w:tab/>
        <w:t>(5B)</w:t>
      </w:r>
      <w:r>
        <w:tab/>
        <w:t>If the fee is not paid by the day provided under subregulation (5A), the Court may vacate the dates allocated for hearing the proceeding.</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keepNext/>
        <w:spacing w:before="140"/>
      </w:pPr>
      <w:r>
        <w:tab/>
        <w:t>(8)</w:t>
      </w:r>
      <w:r>
        <w:tab/>
        <w:t xml:space="preserve">If the hearing is adjourned before the first date allocated for the hearing the following percentage of the fee paid is to be </w:t>
      </w:r>
      <w:r>
        <w:lastRenderedPageBreak/>
        <w:t xml:space="preserve">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keepNext/>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keepNext/>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 SL 2023/120 r. 16.]</w:t>
      </w:r>
    </w:p>
    <w:p>
      <w:pPr>
        <w:pStyle w:val="Heading5"/>
      </w:pPr>
      <w:bookmarkStart w:id="19" w:name="_Toc154755499"/>
      <w:r>
        <w:rPr>
          <w:rStyle w:val="CharSectno"/>
        </w:rPr>
        <w:t>10</w:t>
      </w:r>
      <w:r>
        <w:t>.</w:t>
      </w:r>
      <w:r>
        <w:tab/>
        <w:t>Schedule 1 item 7 fee</w:t>
      </w:r>
      <w:bookmarkEnd w:id="19"/>
    </w:p>
    <w:p>
      <w:pPr>
        <w:pStyle w:val="Subsection"/>
      </w:pPr>
      <w:r>
        <w:tab/>
      </w:r>
      <w:r>
        <w:tab/>
        <w:t>If a fee is to be paid under Schedule 1 item 7, the hearing is not to be reconvened until that fee has been paid or so much of it as has not been waived or reduced under regulation 7 has been paid.</w:t>
      </w:r>
    </w:p>
    <w:p>
      <w:pPr>
        <w:pStyle w:val="Footnotesection"/>
      </w:pPr>
      <w:r>
        <w:tab/>
        <w:t>[Regulation 10 amended: SL 2023/120 r. 17.]</w:t>
      </w:r>
    </w:p>
    <w:p>
      <w:pPr>
        <w:pStyle w:val="Heading5"/>
      </w:pPr>
      <w:bookmarkStart w:id="20" w:name="_Toc154755500"/>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154755501"/>
      <w:r>
        <w:rPr>
          <w:rStyle w:val="CharSectno"/>
        </w:rPr>
        <w:lastRenderedPageBreak/>
        <w:t>11A</w:t>
      </w:r>
      <w:r>
        <w:t>.</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154755502"/>
      <w:r>
        <w:rPr>
          <w:rStyle w:val="CharSectno"/>
        </w:rPr>
        <w:lastRenderedPageBreak/>
        <w:t>12</w:t>
      </w:r>
      <w:r>
        <w:t>.</w:t>
      </w:r>
      <w:r>
        <w:tab/>
        <w:t>Transitional</w:t>
      </w:r>
      <w:bookmarkEnd w:id="22"/>
    </w:p>
    <w:p>
      <w:pPr>
        <w:pStyle w:val="Subsection"/>
        <w:keepNext/>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3" w:name="_Toc154755503"/>
      <w:r>
        <w:rPr>
          <w:rStyle w:val="CharSchNo"/>
        </w:rPr>
        <w:lastRenderedPageBreak/>
        <w:t>Schedule 1</w:t>
      </w:r>
      <w:r>
        <w:t> — </w:t>
      </w:r>
      <w:r>
        <w:rPr>
          <w:rStyle w:val="CharSchText"/>
        </w:rPr>
        <w:t>Registry fees</w:t>
      </w:r>
      <w:bookmarkEnd w:id="23"/>
    </w:p>
    <w:p>
      <w:pPr>
        <w:pStyle w:val="yShoulderClause"/>
      </w:pPr>
      <w:r>
        <w:t>[r. 4]</w:t>
      </w:r>
    </w:p>
    <w:p>
      <w:pPr>
        <w:pStyle w:val="yFootnoteheading"/>
        <w:spacing w:after="60"/>
      </w:pPr>
      <w:r>
        <w:tab/>
        <w:t>[Heading inserted: SL 2023/120 r. 18.]</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jc w:val="center"/>
              <w:rPr>
                <w:b/>
              </w:rPr>
            </w:pPr>
            <w:r>
              <w:rPr>
                <w:b/>
              </w:rPr>
              <w:t>Item</w:t>
            </w:r>
          </w:p>
        </w:tc>
        <w:tc>
          <w:tcPr>
            <w:tcW w:w="2410"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43" w:type="dxa"/>
            <w:tcBorders>
              <w:top w:val="single" w:sz="4" w:space="0" w:color="auto"/>
            </w:tcBorders>
            <w:noWrap/>
          </w:tcPr>
          <w:p>
            <w:pPr>
              <w:pStyle w:val="yTableNAm"/>
            </w:pPr>
            <w:r>
              <w:t>1.</w:t>
            </w:r>
          </w:p>
        </w:tc>
        <w:tc>
          <w:tcPr>
            <w:tcW w:w="2410" w:type="dxa"/>
            <w:tcBorders>
              <w:top w:val="single" w:sz="4" w:space="0" w:color="auto"/>
            </w:tcBorders>
            <w:noWrap/>
          </w:tcPr>
          <w:p>
            <w:pPr>
              <w:pStyle w:val="yTableNAm"/>
            </w:pPr>
            <w:r>
              <w:t>On filing an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yTableNAm"/>
              <w:ind w:right="175"/>
              <w:jc w:val="right"/>
            </w:pPr>
            <w:r>
              <w:t>1 152.00</w:t>
            </w:r>
          </w:p>
        </w:tc>
        <w:tc>
          <w:tcPr>
            <w:tcW w:w="1276" w:type="dxa"/>
            <w:tcBorders>
              <w:top w:val="single" w:sz="4" w:space="0" w:color="auto"/>
            </w:tcBorders>
            <w:noWrap/>
            <w:vAlign w:val="bottom"/>
          </w:tcPr>
          <w:p>
            <w:pPr>
              <w:pStyle w:val="yTableNAm"/>
              <w:ind w:right="175"/>
              <w:jc w:val="right"/>
            </w:pPr>
            <w:r>
              <w:t>2 246.00</w:t>
            </w:r>
          </w:p>
        </w:tc>
        <w:tc>
          <w:tcPr>
            <w:tcW w:w="1275" w:type="dxa"/>
            <w:tcBorders>
              <w:top w:val="single" w:sz="4" w:space="0" w:color="auto"/>
            </w:tcBorders>
            <w:noWrap/>
            <w:vAlign w:val="bottom"/>
          </w:tcPr>
          <w:p>
            <w:pPr>
              <w:pStyle w:val="yTableNAm"/>
              <w:ind w:right="175"/>
              <w:jc w:val="right"/>
              <w:rPr>
                <w:rStyle w:val="DraftersNotes"/>
                <w:b w:val="0"/>
                <w:i w:val="0"/>
              </w:rPr>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ind w:right="175"/>
              <w:jc w:val="right"/>
            </w:pPr>
            <w:r>
              <w:t>255.00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ind w:right="175"/>
              <w:jc w:val="right"/>
            </w:pPr>
            <w:r>
              <w:t>168.00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50.50</w:t>
            </w:r>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ind w:right="175"/>
              <w:jc w:val="right"/>
            </w:pPr>
          </w:p>
        </w:tc>
        <w:tc>
          <w:tcPr>
            <w:tcW w:w="1276" w:type="dxa"/>
            <w:noWrap/>
          </w:tcPr>
          <w:p>
            <w:pPr>
              <w:pStyle w:val="yTableNAm"/>
              <w:ind w:right="175"/>
              <w:jc w:val="right"/>
            </w:pPr>
          </w:p>
        </w:tc>
        <w:tc>
          <w:tcPr>
            <w:tcW w:w="1275" w:type="dxa"/>
            <w:noWrap/>
          </w:tcPr>
          <w:p>
            <w:pPr>
              <w:pStyle w:val="yTableNAm"/>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 counterclaim</w:t>
            </w:r>
          </w:p>
        </w:tc>
        <w:tc>
          <w:tcPr>
            <w:tcW w:w="1275" w:type="dxa"/>
            <w:noWrap/>
            <w:vAlign w:val="bottom"/>
          </w:tcPr>
          <w:p>
            <w:pPr>
              <w:pStyle w:val="yTableNAm"/>
              <w:ind w:right="175"/>
              <w:jc w:val="right"/>
            </w:pPr>
            <w:r>
              <w:t>1 152.00</w:t>
            </w:r>
          </w:p>
        </w:tc>
        <w:tc>
          <w:tcPr>
            <w:tcW w:w="1276" w:type="dxa"/>
            <w:noWrap/>
            <w:vAlign w:val="bottom"/>
          </w:tcPr>
          <w:p>
            <w:pPr>
              <w:pStyle w:val="yTableNAm"/>
              <w:ind w:right="175"/>
              <w:jc w:val="right"/>
            </w:pPr>
            <w:r>
              <w:t>2 246.00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 third party notice</w:t>
            </w:r>
          </w:p>
        </w:tc>
        <w:tc>
          <w:tcPr>
            <w:tcW w:w="1275" w:type="dxa"/>
            <w:noWrap/>
            <w:vAlign w:val="bottom"/>
          </w:tcPr>
          <w:p>
            <w:pPr>
              <w:pStyle w:val="yTableNAm"/>
              <w:ind w:right="175"/>
              <w:jc w:val="right"/>
            </w:pPr>
            <w:r>
              <w:t>1 152.00</w:t>
            </w:r>
          </w:p>
        </w:tc>
        <w:tc>
          <w:tcPr>
            <w:tcW w:w="1276" w:type="dxa"/>
            <w:noWrap/>
            <w:vAlign w:val="bottom"/>
          </w:tcPr>
          <w:p>
            <w:pPr>
              <w:pStyle w:val="yTableNAm"/>
              <w:ind w:right="175"/>
              <w:jc w:val="right"/>
              <w:rPr>
                <w:highlight w:val="yellow"/>
              </w:rPr>
            </w:pPr>
            <w:r>
              <w:t>2 246.00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 </w:t>
            </w:r>
          </w:p>
          <w:p>
            <w:pPr>
              <w:pStyle w:val="yTableNAm"/>
              <w:tabs>
                <w:tab w:val="clear" w:pos="567"/>
              </w:tabs>
              <w:ind w:left="601" w:hanging="426"/>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to limit a period of time within which proceedings may be taken</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leave to serve a writ or notice of a writ out of jurisdiction</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(d)</w:t>
            </w:r>
            <w:r>
              <w:tab/>
              <w:t>an application for leave to appeal</w:t>
            </w:r>
          </w:p>
        </w:tc>
        <w:tc>
          <w:tcPr>
            <w:tcW w:w="1275" w:type="dxa"/>
            <w:shd w:val="clear" w:color="auto" w:fill="auto"/>
            <w:noWrap/>
            <w:vAlign w:val="bottom"/>
          </w:tcPr>
          <w:p>
            <w:pPr>
              <w:pStyle w:val="yTableNAm"/>
              <w:keepNext/>
              <w:jc w:val="center"/>
            </w:pPr>
            <w:r>
              <w:t>Nil</w:t>
            </w:r>
          </w:p>
        </w:tc>
        <w:tc>
          <w:tcPr>
            <w:tcW w:w="1276" w:type="dxa"/>
            <w:shd w:val="clear" w:color="auto" w:fill="auto"/>
            <w:noWrap/>
            <w:vAlign w:val="bottom"/>
          </w:tcPr>
          <w:p>
            <w:pPr>
              <w:pStyle w:val="yTableNAm"/>
              <w:keepNext/>
              <w:jc w:val="center"/>
            </w:pPr>
            <w:r>
              <w:t>Nil</w:t>
            </w:r>
          </w:p>
        </w:tc>
        <w:tc>
          <w:tcPr>
            <w:tcW w:w="1275" w:type="dxa"/>
            <w:shd w:val="clear" w:color="auto" w:fill="auto"/>
            <w:noWrap/>
            <w:vAlign w:val="bottom"/>
          </w:tcPr>
          <w:p>
            <w:pPr>
              <w:pStyle w:val="yTableNAm"/>
              <w:keepNext/>
              <w:jc w:val="center"/>
            </w:pPr>
            <w:r>
              <w:t>Nil</w:t>
            </w:r>
          </w:p>
        </w:tc>
      </w:tr>
      <w:tr>
        <w:trPr>
          <w:cantSplit/>
        </w:trPr>
        <w:tc>
          <w:tcPr>
            <w:tcW w:w="743" w:type="dxa"/>
            <w:noWrap/>
          </w:tcPr>
          <w:p>
            <w:pPr>
              <w:pStyle w:val="yTableNAm"/>
            </w:pPr>
          </w:p>
        </w:tc>
        <w:tc>
          <w:tcPr>
            <w:tcW w:w="2410" w:type="dxa"/>
            <w:noWrap/>
          </w:tcPr>
          <w:p>
            <w:pPr>
              <w:pStyle w:val="yTableNAm"/>
              <w:tabs>
                <w:tab w:val="clear" w:pos="567"/>
              </w:tabs>
              <w:ind w:left="317" w:hanging="317"/>
            </w:pPr>
            <w:r>
              <w:t>(e)</w:t>
            </w:r>
            <w:r>
              <w:tab/>
              <w:t>another application for which no fee has been provided in this Schedule</w:t>
            </w:r>
          </w:p>
        </w:tc>
        <w:tc>
          <w:tcPr>
            <w:tcW w:w="1275" w:type="dxa"/>
            <w:shd w:val="clear" w:color="auto" w:fill="auto"/>
            <w:noWrap/>
            <w:vAlign w:val="bottom"/>
          </w:tcPr>
          <w:p>
            <w:pPr>
              <w:pStyle w:val="yTableNAm"/>
              <w:tabs>
                <w:tab w:val="clear" w:pos="567"/>
              </w:tabs>
              <w:ind w:right="175"/>
              <w:jc w:val="right"/>
            </w:pPr>
            <w:r>
              <w:t>433.00</w:t>
            </w:r>
          </w:p>
        </w:tc>
        <w:tc>
          <w:tcPr>
            <w:tcW w:w="1276" w:type="dxa"/>
            <w:shd w:val="clear" w:color="auto" w:fill="auto"/>
            <w:noWrap/>
            <w:vAlign w:val="bottom"/>
          </w:tcPr>
          <w:p>
            <w:pPr>
              <w:pStyle w:val="yTableNAm"/>
              <w:tabs>
                <w:tab w:val="clear" w:pos="567"/>
              </w:tabs>
              <w:ind w:right="175"/>
              <w:jc w:val="right"/>
            </w:pPr>
            <w:r>
              <w:t>748.00</w:t>
            </w:r>
          </w:p>
        </w:tc>
        <w:tc>
          <w:tcPr>
            <w:tcW w:w="1275" w:type="dxa"/>
            <w:shd w:val="clear" w:color="auto" w:fill="auto"/>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s>
              <w:ind w:left="317" w:hanging="317"/>
            </w:pPr>
            <w:r>
              <w:t>(a)</w:t>
            </w:r>
            <w:r>
              <w:tab/>
              <w:t>an appeal notice</w:t>
            </w:r>
          </w:p>
        </w:tc>
        <w:tc>
          <w:tcPr>
            <w:tcW w:w="1275" w:type="dxa"/>
            <w:noWrap/>
            <w:vAlign w:val="bottom"/>
          </w:tcPr>
          <w:p>
            <w:pPr>
              <w:pStyle w:val="yTableNAm"/>
              <w:tabs>
                <w:tab w:val="clear" w:pos="567"/>
              </w:tabs>
              <w:ind w:right="175"/>
              <w:jc w:val="right"/>
            </w:pPr>
            <w:r>
              <w:t>653.00</w:t>
            </w:r>
          </w:p>
        </w:tc>
        <w:tc>
          <w:tcPr>
            <w:tcW w:w="1276" w:type="dxa"/>
            <w:noWrap/>
            <w:vAlign w:val="bottom"/>
          </w:tcPr>
          <w:p>
            <w:pPr>
              <w:pStyle w:val="yTableNAm"/>
              <w:tabs>
                <w:tab w:val="clear" w:pos="567"/>
              </w:tabs>
              <w:ind w:right="175"/>
              <w:jc w:val="right"/>
            </w:pPr>
            <w:r>
              <w:t>1 689.00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s>
              <w:ind w:left="317" w:hanging="317"/>
            </w:pPr>
            <w:r>
              <w:t>(b)</w:t>
            </w:r>
            <w:r>
              <w:tab/>
              <w:t>for each additional half day allocated for the hearing of the appeal</w:t>
            </w:r>
          </w:p>
        </w:tc>
        <w:tc>
          <w:tcPr>
            <w:tcW w:w="1275" w:type="dxa"/>
            <w:noWrap/>
            <w:vAlign w:val="bottom"/>
          </w:tcPr>
          <w:p>
            <w:pPr>
              <w:pStyle w:val="yTableNAm"/>
              <w:tabs>
                <w:tab w:val="clear" w:pos="567"/>
              </w:tabs>
              <w:ind w:right="175"/>
              <w:jc w:val="right"/>
            </w:pPr>
            <w:r>
              <w:t>506.00</w:t>
            </w:r>
          </w:p>
        </w:tc>
        <w:tc>
          <w:tcPr>
            <w:tcW w:w="1276" w:type="dxa"/>
            <w:noWrap/>
            <w:vAlign w:val="bottom"/>
          </w:tcPr>
          <w:p>
            <w:pPr>
              <w:pStyle w:val="yTableNAm"/>
              <w:tabs>
                <w:tab w:val="clear" w:pos="567"/>
              </w:tabs>
              <w:ind w:right="175"/>
              <w:jc w:val="right"/>
            </w:pPr>
            <w:r>
              <w:t>1 315.00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Style w:val="DraftersNotes"/>
                <w:rFonts w:ascii="Arial" w:hAnsi="Arial" w:cs="Arial"/>
                <w:b w:val="0"/>
                <w:i w:val="0"/>
                <w:sz w:val="18"/>
                <w:szCs w:val="18"/>
              </w:rPr>
            </w:pPr>
            <w:r>
              <w:rPr>
                <w:rFonts w:ascii="Arial" w:hAnsi="Arial" w:cs="Arial"/>
                <w:sz w:val="18"/>
                <w:szCs w:val="18"/>
              </w:rPr>
              <w:t>1.</w:t>
            </w:r>
            <w:r>
              <w:rPr>
                <w:rFonts w:ascii="Arial" w:hAnsi="Arial" w:cs="Arial"/>
                <w:sz w:val="18"/>
                <w:szCs w:val="18"/>
              </w:rPr>
              <w:tab/>
              <w:t>The fee in paragraph (a) includes a directions hearing and the first half day allocated by the Court for the hearing of the appeal.</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Court for the hearing of the appeal, that is additional to the first half day of hearing.</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pPr>
            <w:r>
              <w:t>6.</w:t>
            </w:r>
          </w:p>
        </w:tc>
        <w:tc>
          <w:tcPr>
            <w:tcW w:w="2410" w:type="dxa"/>
            <w:noWrap/>
          </w:tcPr>
          <w:p>
            <w:pPr>
              <w:pStyle w:val="yTableNAm"/>
            </w:pPr>
            <w:r>
              <w:t>Entry of a cause or matter for hearing (including the assessment of damages in an action for personal injury) or entry of notice of an appointment to hear an originating summons</w:t>
            </w:r>
          </w:p>
        </w:tc>
        <w:tc>
          <w:tcPr>
            <w:tcW w:w="1275" w:type="dxa"/>
            <w:noWrap/>
            <w:vAlign w:val="bottom"/>
          </w:tcPr>
          <w:p>
            <w:pPr>
              <w:pStyle w:val="yTableNAm"/>
              <w:tabs>
                <w:tab w:val="clear" w:pos="567"/>
              </w:tabs>
              <w:ind w:right="175"/>
              <w:jc w:val="right"/>
            </w:pPr>
            <w:r>
              <w:t>1 152.00</w:t>
            </w:r>
          </w:p>
        </w:tc>
        <w:tc>
          <w:tcPr>
            <w:tcW w:w="1276" w:type="dxa"/>
            <w:noWrap/>
            <w:vAlign w:val="bottom"/>
          </w:tcPr>
          <w:p>
            <w:pPr>
              <w:pStyle w:val="yTableNAm"/>
              <w:tabs>
                <w:tab w:val="clear" w:pos="567"/>
              </w:tabs>
              <w:ind w:right="175"/>
              <w:jc w:val="right"/>
            </w:pPr>
            <w:r>
              <w:t>2 246.00</w:t>
            </w:r>
          </w:p>
        </w:tc>
        <w:tc>
          <w:tcPr>
            <w:tcW w:w="1275" w:type="dxa"/>
            <w:noWrap/>
            <w:vAlign w:val="bottom"/>
          </w:tcPr>
          <w:p>
            <w:pPr>
              <w:pStyle w:val="yTableNAm"/>
              <w:tabs>
                <w:tab w:val="clear" w:pos="567"/>
              </w:tabs>
              <w:ind w:right="175"/>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keepNext/>
            </w:pPr>
            <w:r>
              <w:lastRenderedPageBreak/>
              <w:t>7.</w:t>
            </w:r>
          </w:p>
        </w:tc>
        <w:tc>
          <w:tcPr>
            <w:tcW w:w="2410" w:type="dxa"/>
            <w:noWrap/>
          </w:tcPr>
          <w:p>
            <w:pPr>
              <w:pStyle w:val="yTableNAm"/>
              <w:keepNext/>
            </w:pPr>
            <w:r>
              <w:t>Allocation of hearing date, for each day allocated</w:t>
            </w:r>
          </w:p>
        </w:tc>
        <w:tc>
          <w:tcPr>
            <w:tcW w:w="1275" w:type="dxa"/>
            <w:noWrap/>
            <w:vAlign w:val="bottom"/>
          </w:tcPr>
          <w:p>
            <w:pPr>
              <w:pStyle w:val="yTableNAm"/>
              <w:keepNext/>
              <w:tabs>
                <w:tab w:val="clear" w:pos="567"/>
              </w:tabs>
              <w:ind w:right="175"/>
              <w:jc w:val="right"/>
            </w:pPr>
            <w:r>
              <w:t>1 011.00</w:t>
            </w:r>
          </w:p>
        </w:tc>
        <w:tc>
          <w:tcPr>
            <w:tcW w:w="1276" w:type="dxa"/>
            <w:noWrap/>
            <w:vAlign w:val="bottom"/>
          </w:tcPr>
          <w:p>
            <w:pPr>
              <w:pStyle w:val="yTableNAm"/>
              <w:keepNext/>
              <w:tabs>
                <w:tab w:val="clear" w:pos="567"/>
              </w:tabs>
              <w:ind w:right="175"/>
              <w:jc w:val="right"/>
            </w:pPr>
            <w:r>
              <w:t>2 633.00</w:t>
            </w:r>
          </w:p>
        </w:tc>
        <w:tc>
          <w:tcPr>
            <w:tcW w:w="1275" w:type="dxa"/>
            <w:noWrap/>
            <w:vAlign w:val="bottom"/>
          </w:tcPr>
          <w:p>
            <w:pPr>
              <w:pStyle w:val="yTableNAm"/>
              <w:keepNext/>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5"/>
              <w:jc w:val="right"/>
            </w:pPr>
            <w:r>
              <w:t>1 011.00</w:t>
            </w:r>
          </w:p>
        </w:tc>
        <w:tc>
          <w:tcPr>
            <w:tcW w:w="1276" w:type="dxa"/>
            <w:noWrap/>
            <w:vAlign w:val="bottom"/>
          </w:tcPr>
          <w:p>
            <w:pPr>
              <w:pStyle w:val="yTableNAm"/>
              <w:tabs>
                <w:tab w:val="clear" w:pos="567"/>
              </w:tabs>
              <w:ind w:right="175"/>
              <w:jc w:val="right"/>
            </w:pPr>
            <w:r>
              <w:t>2 633.00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the number of hearing days or half days greater than the number of hearing days for which a fee has been paid under item 5 or 7.</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an interlocutory application, summons or motion returnable</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 application for assessment of damages other than in an action for personal injury</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for summary judgment</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summons or motion and includes an adjournment of the hearing.</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 application exercising liberty to apply to relist.</w:t>
            </w:r>
          </w:p>
        </w:tc>
      </w:tr>
      <w:tr>
        <w:tc>
          <w:tcPr>
            <w:tcW w:w="743" w:type="dxa"/>
            <w:noWrap/>
          </w:tcPr>
          <w:p>
            <w:pPr>
              <w:pStyle w:val="yTableNAm"/>
            </w:pPr>
            <w:r>
              <w:t>10.</w:t>
            </w:r>
          </w:p>
        </w:tc>
        <w:tc>
          <w:tcPr>
            <w:tcW w:w="2410" w:type="dxa"/>
            <w:noWrap/>
          </w:tcPr>
          <w:p>
            <w:pPr>
              <w:pStyle w:val="yTableNAm"/>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c>
          <w:tcPr>
            <w:tcW w:w="743" w:type="dxa"/>
            <w:noWrap/>
          </w:tcPr>
          <w:p>
            <w:pPr>
              <w:pStyle w:val="yTableNAm"/>
              <w:keepNext/>
            </w:pPr>
            <w:r>
              <w:lastRenderedPageBreak/>
              <w:t>11.</w:t>
            </w:r>
          </w:p>
        </w:tc>
        <w:tc>
          <w:tcPr>
            <w:tcW w:w="2410" w:type="dxa"/>
            <w:noWrap/>
          </w:tcPr>
          <w:p>
            <w:pPr>
              <w:pStyle w:val="yTableNAm"/>
              <w:keepNext/>
            </w:pPr>
            <w:r>
              <w:t xml:space="preserve">On an appointment to tax a bill of costs in a cause or matter or under the </w:t>
            </w:r>
            <w:r>
              <w:rPr>
                <w:i/>
              </w:rPr>
              <w:t>Commercial Arbitration Act 2012</w:t>
            </w:r>
            <w:r>
              <w:t>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lodgment fee</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in addition to the lodgment fee — a taxing fee at the rate of</w:t>
            </w:r>
          </w:p>
        </w:tc>
        <w:tc>
          <w:tcPr>
            <w:tcW w:w="1275" w:type="dxa"/>
            <w:noWrap/>
            <w:vAlign w:val="bottom"/>
          </w:tcPr>
          <w:p>
            <w:pPr>
              <w:pStyle w:val="yTableNAm"/>
              <w:tabs>
                <w:tab w:val="clear" w:pos="567"/>
              </w:tabs>
              <w:ind w:right="175"/>
              <w:jc w:val="right"/>
            </w:pPr>
            <w:r>
              <w:t>2.50%</w:t>
            </w:r>
          </w:p>
        </w:tc>
        <w:tc>
          <w:tcPr>
            <w:tcW w:w="1276" w:type="dxa"/>
            <w:noWrap/>
            <w:vAlign w:val="bottom"/>
          </w:tcPr>
          <w:p>
            <w:pPr>
              <w:pStyle w:val="yTableNAm"/>
              <w:tabs>
                <w:tab w:val="clear" w:pos="567"/>
              </w:tabs>
              <w:ind w:right="175"/>
              <w:jc w:val="right"/>
            </w:pPr>
            <w:r>
              <w:t>2.50%</w:t>
            </w:r>
          </w:p>
        </w:tc>
        <w:tc>
          <w:tcPr>
            <w:tcW w:w="1275" w:type="dxa"/>
            <w:noWrap/>
            <w:vAlign w:val="bottom"/>
          </w:tcPr>
          <w:p>
            <w:pPr>
              <w:pStyle w:val="yTableNAm"/>
              <w:tabs>
                <w:tab w:val="clear" w:pos="567"/>
              </w:tabs>
              <w:ind w:right="175"/>
              <w:jc w:val="right"/>
            </w:pPr>
            <w:r>
              <w:t>0.00%</w:t>
            </w:r>
          </w:p>
        </w:tc>
      </w:tr>
      <w:tr>
        <w:trPr>
          <w:cantSplit/>
          <w:trHeight w:val="624"/>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42"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 record or proceeding</w:t>
            </w:r>
          </w:p>
        </w:tc>
        <w:tc>
          <w:tcPr>
            <w:tcW w:w="1275" w:type="dxa"/>
            <w:noWrap/>
            <w:vAlign w:val="bottom"/>
          </w:tcPr>
          <w:p>
            <w:pPr>
              <w:pStyle w:val="yTableNAm"/>
              <w:tabs>
                <w:tab w:val="clear" w:pos="567"/>
              </w:tabs>
              <w:ind w:right="175"/>
              <w:jc w:val="right"/>
            </w:pPr>
            <w:r>
              <w:t>58.50</w:t>
            </w:r>
          </w:p>
        </w:tc>
        <w:tc>
          <w:tcPr>
            <w:tcW w:w="1276" w:type="dxa"/>
            <w:noWrap/>
            <w:vAlign w:val="bottom"/>
          </w:tcPr>
          <w:p>
            <w:pPr>
              <w:pStyle w:val="yTableNAm"/>
              <w:tabs>
                <w:tab w:val="clear" w:pos="567"/>
              </w:tabs>
              <w:ind w:right="175"/>
              <w:jc w:val="right"/>
            </w:pPr>
            <w:r>
              <w:t>58.50</w:t>
            </w:r>
          </w:p>
        </w:tc>
        <w:tc>
          <w:tcPr>
            <w:tcW w:w="1275" w:type="dxa"/>
            <w:noWrap/>
            <w:vAlign w:val="bottom"/>
          </w:tcPr>
          <w:p>
            <w:pPr>
              <w:pStyle w:val="yTableNAm"/>
              <w:tabs>
                <w:tab w:val="clear" w:pos="567"/>
              </w:tabs>
              <w:ind w:right="175"/>
              <w:jc w:val="right"/>
            </w:pPr>
            <w:r>
              <w:t>17.55</w:t>
            </w:r>
          </w:p>
        </w:tc>
      </w:tr>
      <w:t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s>
              <w:ind w:left="742" w:hanging="425"/>
              <w:rPr>
                <w:rFonts w:ascii="Arial" w:hAnsi="Arial" w:cs="Arial"/>
                <w:sz w:val="18"/>
                <w:szCs w:val="18"/>
              </w:rPr>
            </w:pPr>
            <w:r>
              <w:rPr>
                <w:rFonts w:ascii="Arial" w:hAnsi="Arial" w:cs="Arial"/>
                <w:sz w:val="18"/>
                <w:szCs w:val="18"/>
              </w:rPr>
              <w:lastRenderedPageBreak/>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lastRenderedPageBreak/>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5"/>
              <w:jc w:val="right"/>
            </w:pPr>
          </w:p>
        </w:tc>
        <w:tc>
          <w:tcPr>
            <w:tcW w:w="1276" w:type="dxa"/>
            <w:noWrap/>
            <w:vAlign w:val="bottom"/>
          </w:tcPr>
          <w:p>
            <w:pPr>
              <w:pStyle w:val="yTableNAm"/>
              <w:tabs>
                <w:tab w:val="clear" w:pos="567"/>
              </w:tabs>
              <w:ind w:right="175"/>
              <w:jc w:val="right"/>
            </w:pPr>
          </w:p>
        </w:tc>
        <w:tc>
          <w:tcPr>
            <w:tcW w:w="1275" w:type="dxa"/>
            <w:noWrap/>
            <w:vAlign w:val="bottom"/>
          </w:tcPr>
          <w:p>
            <w:pPr>
              <w:pStyle w:val="yTableNAm"/>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fee per action or matter provided to approved recipient</w:t>
            </w:r>
          </w:p>
        </w:tc>
        <w:tc>
          <w:tcPr>
            <w:tcW w:w="1275" w:type="dxa"/>
            <w:noWrap/>
            <w:vAlign w:val="bottom"/>
          </w:tcPr>
          <w:p>
            <w:pPr>
              <w:pStyle w:val="yTableNAm"/>
              <w:tabs>
                <w:tab w:val="clear" w:pos="567"/>
              </w:tabs>
              <w:ind w:right="175"/>
              <w:jc w:val="right"/>
            </w:pPr>
            <w:r>
              <w:t>2.60</w:t>
            </w:r>
          </w:p>
        </w:tc>
        <w:tc>
          <w:tcPr>
            <w:tcW w:w="1276" w:type="dxa"/>
            <w:noWrap/>
            <w:vAlign w:val="bottom"/>
          </w:tcPr>
          <w:p>
            <w:pPr>
              <w:pStyle w:val="yTableNAm"/>
              <w:tabs>
                <w:tab w:val="clear" w:pos="567"/>
              </w:tabs>
              <w:ind w:right="175"/>
              <w:jc w:val="right"/>
            </w:pPr>
            <w:r>
              <w:t>2.60</w:t>
            </w:r>
          </w:p>
        </w:tc>
        <w:tc>
          <w:tcPr>
            <w:tcW w:w="1275" w:type="dxa"/>
            <w:noWrap/>
            <w:vAlign w:val="bottom"/>
          </w:tcPr>
          <w:p>
            <w:pPr>
              <w:pStyle w:val="yTableNAm"/>
              <w:tabs>
                <w:tab w:val="clear" w:pos="567"/>
              </w:tabs>
              <w:ind w:right="175"/>
              <w:jc w:val="right"/>
            </w:pPr>
            <w:r>
              <w:t>0.80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annual fee for information provided by email to approved recipient</w:t>
            </w:r>
          </w:p>
        </w:tc>
        <w:tc>
          <w:tcPr>
            <w:tcW w:w="1275" w:type="dxa"/>
            <w:noWrap/>
            <w:vAlign w:val="bottom"/>
          </w:tcPr>
          <w:p>
            <w:pPr>
              <w:pStyle w:val="yTableNAm"/>
              <w:tabs>
                <w:tab w:val="clear" w:pos="567"/>
              </w:tabs>
              <w:ind w:right="175"/>
              <w:jc w:val="right"/>
            </w:pPr>
            <w:r>
              <w:t>2 648.00</w:t>
            </w:r>
          </w:p>
        </w:tc>
        <w:tc>
          <w:tcPr>
            <w:tcW w:w="1276" w:type="dxa"/>
            <w:noWrap/>
            <w:vAlign w:val="bottom"/>
          </w:tcPr>
          <w:p>
            <w:pPr>
              <w:pStyle w:val="yTableNAm"/>
              <w:tabs>
                <w:tab w:val="clear" w:pos="567"/>
              </w:tabs>
              <w:ind w:right="175"/>
              <w:jc w:val="right"/>
            </w:pPr>
            <w:r>
              <w:t>2 648.00</w:t>
            </w:r>
          </w:p>
        </w:tc>
        <w:tc>
          <w:tcPr>
            <w:tcW w:w="1275" w:type="dxa"/>
            <w:noWrap/>
            <w:vAlign w:val="bottom"/>
          </w:tcPr>
          <w:p>
            <w:pPr>
              <w:pStyle w:val="yTableNAm"/>
              <w:tabs>
                <w:tab w:val="clear" w:pos="567"/>
              </w:tabs>
              <w:ind w:right="175"/>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s>
              <w:ind w:left="317" w:hanging="317"/>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5"/>
              <w:jc w:val="right"/>
            </w:pPr>
            <w:r>
              <w:t>85.50</w:t>
            </w:r>
          </w:p>
        </w:tc>
        <w:tc>
          <w:tcPr>
            <w:tcW w:w="1276" w:type="dxa"/>
            <w:noWrap/>
            <w:vAlign w:val="bottom"/>
          </w:tcPr>
          <w:p>
            <w:pPr>
              <w:pStyle w:val="yTableNAm"/>
              <w:tabs>
                <w:tab w:val="clear" w:pos="567"/>
              </w:tabs>
              <w:ind w:right="175"/>
              <w:jc w:val="right"/>
            </w:pPr>
            <w:r>
              <w:t>85.50</w:t>
            </w:r>
          </w:p>
        </w:tc>
        <w:tc>
          <w:tcPr>
            <w:tcW w:w="1275" w:type="dxa"/>
            <w:noWrap/>
            <w:vAlign w:val="bottom"/>
          </w:tcPr>
          <w:p>
            <w:pPr>
              <w:pStyle w:val="yTableNAm"/>
              <w:tabs>
                <w:tab w:val="clear" w:pos="567"/>
              </w:tabs>
              <w:ind w:right="175"/>
              <w:jc w:val="right"/>
            </w:pPr>
            <w:r>
              <w:t>25.60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If an officer is required to attend at a court or place out of the District Court building — </w:t>
            </w:r>
          </w:p>
          <w:p>
            <w:pPr>
              <w:pStyle w:val="yTableNAm"/>
              <w:tabs>
                <w:tab w:val="clear" w:pos="567"/>
              </w:tabs>
              <w:ind w:left="1058" w:hanging="567"/>
            </w:pPr>
            <w:r>
              <w:t>(i)</w:t>
            </w:r>
            <w:r>
              <w:tab/>
              <w:t>the officer’s reasonable expenses</w:t>
            </w:r>
          </w:p>
          <w:p>
            <w:pPr>
              <w:pStyle w:val="yTableNAm"/>
              <w:tabs>
                <w:tab w:val="clear" w:pos="567"/>
              </w:tabs>
              <w:ind w:left="1058" w:hanging="567"/>
            </w:pPr>
            <w:r>
              <w:t>(ii)</w:t>
            </w:r>
            <w:r>
              <w:tab/>
              <w:t>in addition, for each hour the officer is necessarily absent from the officer’s office</w:t>
            </w:r>
          </w:p>
        </w:tc>
        <w:tc>
          <w:tcPr>
            <w:tcW w:w="1275" w:type="dxa"/>
            <w:noWrap/>
            <w:vAlign w:val="bottom"/>
          </w:tcPr>
          <w:p>
            <w:pPr>
              <w:pStyle w:val="yTableNAm"/>
              <w:tabs>
                <w:tab w:val="clear" w:pos="567"/>
              </w:tabs>
              <w:ind w:right="175"/>
              <w:jc w:val="right"/>
            </w:pPr>
            <w:r>
              <w:t>129.00</w:t>
            </w:r>
          </w:p>
        </w:tc>
        <w:tc>
          <w:tcPr>
            <w:tcW w:w="1276" w:type="dxa"/>
            <w:noWrap/>
            <w:vAlign w:val="bottom"/>
          </w:tcPr>
          <w:p>
            <w:pPr>
              <w:pStyle w:val="yTableNAm"/>
              <w:tabs>
                <w:tab w:val="clear" w:pos="567"/>
              </w:tabs>
              <w:ind w:right="175"/>
              <w:jc w:val="right"/>
            </w:pPr>
            <w:r>
              <w:t>129.00</w:t>
            </w:r>
          </w:p>
        </w:tc>
        <w:tc>
          <w:tcPr>
            <w:tcW w:w="1275" w:type="dxa"/>
            <w:noWrap/>
            <w:vAlign w:val="bottom"/>
          </w:tcPr>
          <w:p>
            <w:pPr>
              <w:pStyle w:val="yTableNAm"/>
              <w:tabs>
                <w:tab w:val="clear" w:pos="567"/>
              </w:tabs>
              <w:ind w:right="175"/>
              <w:jc w:val="right"/>
            </w:pPr>
            <w:r>
              <w:t>38.70</w:t>
            </w:r>
          </w:p>
        </w:tc>
      </w:tr>
      <w:tr>
        <w:trPr>
          <w:cantSplit/>
        </w:trPr>
        <w:tc>
          <w:tcPr>
            <w:tcW w:w="743" w:type="dxa"/>
            <w:noWrap/>
          </w:tcPr>
          <w:p>
            <w:pPr>
              <w:pStyle w:val="yTableNAm"/>
            </w:pPr>
            <w:r>
              <w:t>15.</w:t>
            </w:r>
          </w:p>
        </w:tc>
        <w:tc>
          <w:tcPr>
            <w:tcW w:w="2410" w:type="dxa"/>
            <w:noWrap/>
          </w:tcPr>
          <w:p>
            <w:pPr>
              <w:pStyle w:val="yTableNAm"/>
              <w:tabs>
                <w:tab w:val="clear" w:pos="567"/>
              </w:tabs>
              <w:ind w:left="317" w:hanging="317"/>
            </w:pPr>
            <w:r>
              <w:t>(a)</w:t>
            </w:r>
            <w:r>
              <w:tab/>
              <w:t>For a copy of a document of any kind or an exhibit, including marking as an office copy if required, for each page or part of a page</w:t>
            </w:r>
          </w:p>
        </w:tc>
        <w:tc>
          <w:tcPr>
            <w:tcW w:w="1275" w:type="dxa"/>
            <w:noWrap/>
            <w:vAlign w:val="bottom"/>
          </w:tcPr>
          <w:p>
            <w:pPr>
              <w:pStyle w:val="yTableNAm"/>
              <w:tabs>
                <w:tab w:val="clear" w:pos="567"/>
              </w:tabs>
              <w:ind w:right="175"/>
              <w:jc w:val="right"/>
            </w:pPr>
            <w:r>
              <w:t>2.45</w:t>
            </w:r>
          </w:p>
        </w:tc>
        <w:tc>
          <w:tcPr>
            <w:tcW w:w="1276" w:type="dxa"/>
            <w:noWrap/>
            <w:vAlign w:val="bottom"/>
          </w:tcPr>
          <w:p>
            <w:pPr>
              <w:pStyle w:val="yTableNAm"/>
              <w:tabs>
                <w:tab w:val="clear" w:pos="567"/>
              </w:tabs>
              <w:ind w:right="175"/>
              <w:jc w:val="right"/>
            </w:pPr>
            <w:r>
              <w:t>2.45</w:t>
            </w:r>
          </w:p>
        </w:tc>
        <w:tc>
          <w:tcPr>
            <w:tcW w:w="1275" w:type="dxa"/>
            <w:noWrap/>
            <w:vAlign w:val="bottom"/>
          </w:tcPr>
          <w:p>
            <w:pPr>
              <w:pStyle w:val="yTableNAm"/>
              <w:tabs>
                <w:tab w:val="clear" w:pos="567"/>
              </w:tabs>
              <w:ind w:right="175"/>
              <w:jc w:val="right"/>
            </w:pPr>
            <w:r>
              <w:t>0.75</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(b)</w:t>
            </w:r>
            <w:r>
              <w:tab/>
              <w:t>For a copy of reasons for judgment —</w:t>
            </w:r>
          </w:p>
        </w:tc>
        <w:tc>
          <w:tcPr>
            <w:tcW w:w="1275" w:type="dxa"/>
            <w:noWrap/>
            <w:vAlign w:val="bottom"/>
          </w:tcPr>
          <w:p>
            <w:pPr>
              <w:pStyle w:val="yTableNAm"/>
              <w:keepNext/>
              <w:tabs>
                <w:tab w:val="clear" w:pos="567"/>
              </w:tabs>
              <w:ind w:right="175"/>
              <w:jc w:val="right"/>
            </w:pPr>
          </w:p>
        </w:tc>
        <w:tc>
          <w:tcPr>
            <w:tcW w:w="1276" w:type="dxa"/>
            <w:noWrap/>
            <w:vAlign w:val="bottom"/>
          </w:tcPr>
          <w:p>
            <w:pPr>
              <w:pStyle w:val="yTableNAm"/>
              <w:keepNext/>
              <w:tabs>
                <w:tab w:val="clear" w:pos="567"/>
              </w:tabs>
              <w:ind w:right="175"/>
              <w:jc w:val="right"/>
            </w:pPr>
          </w:p>
        </w:tc>
        <w:tc>
          <w:tcPr>
            <w:tcW w:w="1275" w:type="dxa"/>
            <w:noWrap/>
            <w:vAlign w:val="bottom"/>
          </w:tcPr>
          <w:p>
            <w:pPr>
              <w:pStyle w:val="yTableNAm"/>
              <w:keepNext/>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for each copy issued to a person who is not a party to the proceedings </w:t>
            </w:r>
          </w:p>
        </w:tc>
        <w:tc>
          <w:tcPr>
            <w:tcW w:w="1275" w:type="dxa"/>
            <w:noWrap/>
            <w:vAlign w:val="bottom"/>
          </w:tcPr>
          <w:p>
            <w:pPr>
              <w:pStyle w:val="yTableNAm"/>
              <w:tabs>
                <w:tab w:val="clear" w:pos="567"/>
              </w:tabs>
              <w:ind w:right="175"/>
              <w:jc w:val="right"/>
            </w:pPr>
            <w:r>
              <w:t>20.30</w:t>
            </w:r>
          </w:p>
        </w:tc>
        <w:tc>
          <w:tcPr>
            <w:tcW w:w="1276" w:type="dxa"/>
            <w:noWrap/>
            <w:vAlign w:val="bottom"/>
          </w:tcPr>
          <w:p>
            <w:pPr>
              <w:pStyle w:val="yTableNAm"/>
              <w:tabs>
                <w:tab w:val="clear" w:pos="567"/>
              </w:tabs>
              <w:ind w:right="175"/>
              <w:jc w:val="right"/>
            </w:pPr>
            <w:r>
              <w:t>20.30</w:t>
            </w:r>
          </w:p>
        </w:tc>
        <w:tc>
          <w:tcPr>
            <w:tcW w:w="1275" w:type="dxa"/>
            <w:noWrap/>
            <w:vAlign w:val="bottom"/>
          </w:tcPr>
          <w:p>
            <w:pPr>
              <w:pStyle w:val="yTableNAm"/>
              <w:tabs>
                <w:tab w:val="clear" w:pos="567"/>
              </w:tabs>
              <w:ind w:right="175"/>
              <w:jc w:val="right"/>
            </w:pPr>
            <w:r>
              <w:t>6.10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for each copy in excess of 1 copy issued to a party to the proceedings</w:t>
            </w:r>
          </w:p>
        </w:tc>
        <w:tc>
          <w:tcPr>
            <w:tcW w:w="1275" w:type="dxa"/>
            <w:noWrap/>
            <w:vAlign w:val="bottom"/>
          </w:tcPr>
          <w:p>
            <w:pPr>
              <w:pStyle w:val="yTableNAm"/>
              <w:tabs>
                <w:tab w:val="clear" w:pos="567"/>
              </w:tabs>
              <w:ind w:right="175"/>
              <w:jc w:val="right"/>
            </w:pPr>
            <w:r>
              <w:t>20.30</w:t>
            </w:r>
          </w:p>
        </w:tc>
        <w:tc>
          <w:tcPr>
            <w:tcW w:w="1276" w:type="dxa"/>
            <w:noWrap/>
            <w:vAlign w:val="bottom"/>
          </w:tcPr>
          <w:p>
            <w:pPr>
              <w:pStyle w:val="yTableNAm"/>
              <w:tabs>
                <w:tab w:val="clear" w:pos="567"/>
              </w:tabs>
              <w:ind w:right="175"/>
              <w:jc w:val="right"/>
            </w:pPr>
            <w:r>
              <w:t>20.30</w:t>
            </w:r>
          </w:p>
        </w:tc>
        <w:tc>
          <w:tcPr>
            <w:tcW w:w="1275" w:type="dxa"/>
            <w:noWrap/>
            <w:vAlign w:val="bottom"/>
          </w:tcPr>
          <w:p>
            <w:pPr>
              <w:pStyle w:val="yTableNAm"/>
              <w:tabs>
                <w:tab w:val="clear" w:pos="567"/>
              </w:tabs>
              <w:ind w:right="175"/>
              <w:jc w:val="right"/>
            </w:pPr>
            <w:r>
              <w:t>6.10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each copy consisting of 10 or more pages, an additional fee per page</w:t>
            </w:r>
          </w:p>
        </w:tc>
        <w:tc>
          <w:tcPr>
            <w:tcW w:w="1275" w:type="dxa"/>
            <w:noWrap/>
            <w:vAlign w:val="bottom"/>
          </w:tcPr>
          <w:p>
            <w:pPr>
              <w:pStyle w:val="yTableNAm"/>
              <w:tabs>
                <w:tab w:val="clear" w:pos="567"/>
              </w:tabs>
              <w:ind w:right="175"/>
              <w:jc w:val="right"/>
            </w:pPr>
            <w:r>
              <w:t>2.60</w:t>
            </w:r>
          </w:p>
        </w:tc>
        <w:tc>
          <w:tcPr>
            <w:tcW w:w="1276" w:type="dxa"/>
            <w:noWrap/>
            <w:vAlign w:val="bottom"/>
          </w:tcPr>
          <w:p>
            <w:pPr>
              <w:pStyle w:val="yTableNAm"/>
              <w:tabs>
                <w:tab w:val="clear" w:pos="567"/>
              </w:tabs>
              <w:ind w:right="175"/>
              <w:jc w:val="right"/>
            </w:pPr>
            <w:r>
              <w:t>2.60</w:t>
            </w:r>
          </w:p>
        </w:tc>
        <w:tc>
          <w:tcPr>
            <w:tcW w:w="1275" w:type="dxa"/>
            <w:noWrap/>
            <w:vAlign w:val="bottom"/>
          </w:tcPr>
          <w:p>
            <w:pPr>
              <w:pStyle w:val="yTableNAm"/>
              <w:tabs>
                <w:tab w:val="clear" w:pos="567"/>
              </w:tabs>
              <w:ind w:right="175"/>
              <w:jc w:val="right"/>
            </w:pPr>
            <w:r>
              <w:t>0.80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For certifying under seal that a document is a true copy — an additional fee</w:t>
            </w:r>
          </w:p>
        </w:tc>
        <w:tc>
          <w:tcPr>
            <w:tcW w:w="1275" w:type="dxa"/>
            <w:noWrap/>
            <w:vAlign w:val="bottom"/>
          </w:tcPr>
          <w:p>
            <w:pPr>
              <w:pStyle w:val="yTableNAm"/>
              <w:tabs>
                <w:tab w:val="clear" w:pos="567"/>
              </w:tabs>
              <w:ind w:right="175"/>
              <w:jc w:val="right"/>
            </w:pPr>
            <w:r>
              <w:t>27.20</w:t>
            </w:r>
          </w:p>
        </w:tc>
        <w:tc>
          <w:tcPr>
            <w:tcW w:w="1276" w:type="dxa"/>
            <w:noWrap/>
            <w:vAlign w:val="bottom"/>
          </w:tcPr>
          <w:p>
            <w:pPr>
              <w:pStyle w:val="yTableNAm"/>
              <w:tabs>
                <w:tab w:val="clear" w:pos="567"/>
              </w:tabs>
              <w:ind w:right="175"/>
              <w:jc w:val="right"/>
            </w:pPr>
            <w:r>
              <w:t>27.20</w:t>
            </w:r>
          </w:p>
        </w:tc>
        <w:tc>
          <w:tcPr>
            <w:tcW w:w="1275" w:type="dxa"/>
            <w:noWrap/>
            <w:vAlign w:val="bottom"/>
          </w:tcPr>
          <w:p>
            <w:pPr>
              <w:pStyle w:val="yTableNAm"/>
              <w:tabs>
                <w:tab w:val="clear" w:pos="567"/>
              </w:tabs>
              <w:ind w:right="175"/>
              <w:jc w:val="right"/>
            </w:pPr>
            <w:r>
              <w:t>8.15</w:t>
            </w:r>
          </w:p>
        </w:tc>
      </w:tr>
      <w:tr>
        <w:trPr>
          <w:cantSplit/>
        </w:trPr>
        <w:tc>
          <w:tcPr>
            <w:tcW w:w="743" w:type="dxa"/>
            <w:noWrap/>
          </w:tcPr>
          <w:p>
            <w:pPr>
              <w:pStyle w:val="yTableNAm"/>
            </w:pPr>
          </w:p>
        </w:tc>
        <w:tc>
          <w:tcPr>
            <w:tcW w:w="2410" w:type="dxa"/>
            <w:noWrap/>
          </w:tcPr>
          <w:p>
            <w:pPr>
              <w:pStyle w:val="yTableNAm"/>
              <w:tabs>
                <w:tab w:val="clear" w:pos="567"/>
              </w:tabs>
              <w:ind w:left="317" w:hanging="317"/>
            </w:pPr>
            <w:r>
              <w:t>(d)</w:t>
            </w:r>
            <w:r>
              <w:tab/>
              <w:t>For a certificate under the hand of a registrar</w:t>
            </w:r>
          </w:p>
        </w:tc>
        <w:tc>
          <w:tcPr>
            <w:tcW w:w="1275" w:type="dxa"/>
            <w:noWrap/>
            <w:vAlign w:val="bottom"/>
          </w:tcPr>
          <w:p>
            <w:pPr>
              <w:pStyle w:val="yTableNAm"/>
              <w:tabs>
                <w:tab w:val="clear" w:pos="567"/>
              </w:tabs>
              <w:ind w:right="175"/>
              <w:jc w:val="right"/>
            </w:pPr>
            <w:r>
              <w:t>51.00</w:t>
            </w:r>
          </w:p>
        </w:tc>
        <w:tc>
          <w:tcPr>
            <w:tcW w:w="1276" w:type="dxa"/>
            <w:noWrap/>
            <w:vAlign w:val="bottom"/>
          </w:tcPr>
          <w:p>
            <w:pPr>
              <w:pStyle w:val="yTableNAm"/>
              <w:tabs>
                <w:tab w:val="clear" w:pos="567"/>
              </w:tabs>
              <w:ind w:right="175"/>
              <w:jc w:val="right"/>
            </w:pPr>
            <w:r>
              <w:t>51.00</w:t>
            </w:r>
          </w:p>
        </w:tc>
        <w:tc>
          <w:tcPr>
            <w:tcW w:w="1275" w:type="dxa"/>
            <w:noWrap/>
            <w:vAlign w:val="bottom"/>
          </w:tcPr>
          <w:p>
            <w:pPr>
              <w:pStyle w:val="yTableNAm"/>
              <w:tabs>
                <w:tab w:val="clear" w:pos="567"/>
              </w:tabs>
              <w:ind w:right="175"/>
              <w:jc w:val="right"/>
            </w:pPr>
            <w:r>
              <w:t>15.30</w:t>
            </w:r>
          </w:p>
        </w:tc>
      </w:tr>
      <w:tr>
        <w:trPr>
          <w:cantSplit/>
        </w:trPr>
        <w:tc>
          <w:tcPr>
            <w:tcW w:w="743" w:type="dxa"/>
            <w:noWrap/>
          </w:tcPr>
          <w:p>
            <w:pPr>
              <w:pStyle w:val="yTableNAm"/>
              <w:keepNext/>
            </w:pPr>
            <w:r>
              <w:lastRenderedPageBreak/>
              <w:t>16.</w:t>
            </w:r>
          </w:p>
        </w:tc>
        <w:tc>
          <w:tcPr>
            <w:tcW w:w="2410" w:type="dxa"/>
            <w:noWrap/>
          </w:tcPr>
          <w:p>
            <w:pPr>
              <w:pStyle w:val="yTableNAm"/>
              <w:keepNext/>
              <w:tabs>
                <w:tab w:val="clear" w:pos="567"/>
              </w:tabs>
              <w:ind w:left="317" w:hanging="317"/>
            </w:pPr>
            <w:r>
              <w:t>(a)</w:t>
            </w:r>
            <w:r>
              <w:tab/>
              <w:t xml:space="preserve">For providing a transcript, or part of a transcript —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provided within 1 day after the day on which the fee is paid </w:t>
            </w:r>
          </w:p>
        </w:tc>
        <w:tc>
          <w:tcPr>
            <w:tcW w:w="1275" w:type="dxa"/>
            <w:noWrap/>
          </w:tcPr>
          <w:p>
            <w:pPr>
              <w:pStyle w:val="yTableNAm"/>
            </w:pPr>
            <w:r>
              <w:t>26.90 plus</w:t>
            </w:r>
            <w:r>
              <w:br/>
              <w:t>11.10 per page</w:t>
            </w:r>
          </w:p>
        </w:tc>
        <w:tc>
          <w:tcPr>
            <w:tcW w:w="1276" w:type="dxa"/>
            <w:noWrap/>
          </w:tcPr>
          <w:p>
            <w:pPr>
              <w:pStyle w:val="yTableNAm"/>
            </w:pPr>
            <w:r>
              <w:t>26.90 plus</w:t>
            </w:r>
            <w:r>
              <w:br/>
              <w:t>22.20 per page</w:t>
            </w:r>
          </w:p>
        </w:tc>
        <w:tc>
          <w:tcPr>
            <w:tcW w:w="1275" w:type="dxa"/>
            <w:noWrap/>
          </w:tcPr>
          <w:p>
            <w:pPr>
              <w:pStyle w:val="yTableNAm"/>
            </w:pPr>
            <w:r>
              <w:t>8.05 plus</w:t>
            </w:r>
            <w:r>
              <w:br/>
              <w:t>3.35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 xml:space="preserve">provided within 2 days after the day on which the fee is paid </w:t>
            </w:r>
          </w:p>
        </w:tc>
        <w:tc>
          <w:tcPr>
            <w:tcW w:w="1275" w:type="dxa"/>
            <w:noWrap/>
          </w:tcPr>
          <w:p>
            <w:pPr>
              <w:pStyle w:val="yTableNAm"/>
            </w:pPr>
            <w:r>
              <w:t>26.90 plus</w:t>
            </w:r>
            <w:r>
              <w:br/>
              <w:t>10.20 per page</w:t>
            </w:r>
          </w:p>
        </w:tc>
        <w:tc>
          <w:tcPr>
            <w:tcW w:w="1276" w:type="dxa"/>
            <w:noWrap/>
          </w:tcPr>
          <w:p>
            <w:pPr>
              <w:pStyle w:val="yTableNAm"/>
            </w:pPr>
            <w:r>
              <w:t>26.90 plus</w:t>
            </w:r>
            <w:r>
              <w:br/>
              <w:t>20.30 per page</w:t>
            </w:r>
          </w:p>
        </w:tc>
        <w:tc>
          <w:tcPr>
            <w:tcW w:w="1275" w:type="dxa"/>
            <w:noWrap/>
          </w:tcPr>
          <w:p>
            <w:pPr>
              <w:pStyle w:val="yTableNAm"/>
            </w:pPr>
            <w:r>
              <w:t xml:space="preserve">8.05 plus </w:t>
            </w:r>
            <w:r>
              <w:br/>
              <w:t>3.05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 xml:space="preserve">provided within 4 days after the day on which the fee is paid </w:t>
            </w:r>
          </w:p>
        </w:tc>
        <w:tc>
          <w:tcPr>
            <w:tcW w:w="1275" w:type="dxa"/>
            <w:noWrap/>
          </w:tcPr>
          <w:p>
            <w:pPr>
              <w:pStyle w:val="yTableNAm"/>
            </w:pPr>
            <w:r>
              <w:t>26.90 plus</w:t>
            </w:r>
            <w:r>
              <w:br/>
              <w:t>9.60 per page</w:t>
            </w:r>
          </w:p>
        </w:tc>
        <w:tc>
          <w:tcPr>
            <w:tcW w:w="1276" w:type="dxa"/>
            <w:noWrap/>
          </w:tcPr>
          <w:p>
            <w:pPr>
              <w:pStyle w:val="yTableNAm"/>
            </w:pPr>
            <w:r>
              <w:t>26.90 plus</w:t>
            </w:r>
            <w:r>
              <w:br/>
              <w:t>19.40 per page</w:t>
            </w:r>
          </w:p>
        </w:tc>
        <w:tc>
          <w:tcPr>
            <w:tcW w:w="1275" w:type="dxa"/>
            <w:noWrap/>
          </w:tcPr>
          <w:p>
            <w:pPr>
              <w:pStyle w:val="yTableNAm"/>
            </w:pPr>
            <w:r>
              <w:t xml:space="preserve">8.05 plus </w:t>
            </w:r>
            <w:r>
              <w:br/>
              <w:t>2.90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(iv)</w:t>
            </w:r>
            <w:r>
              <w:tab/>
              <w:t xml:space="preserve">provided within 7 days after the day on which the fee is paid </w:t>
            </w:r>
          </w:p>
        </w:tc>
        <w:tc>
          <w:tcPr>
            <w:tcW w:w="1275" w:type="dxa"/>
            <w:noWrap/>
          </w:tcPr>
          <w:p>
            <w:pPr>
              <w:pStyle w:val="yTableNAm"/>
            </w:pPr>
            <w:r>
              <w:t>26.90 plus</w:t>
            </w:r>
            <w:r>
              <w:br/>
              <w:t>9.30 per page</w:t>
            </w:r>
          </w:p>
        </w:tc>
        <w:tc>
          <w:tcPr>
            <w:tcW w:w="1276" w:type="dxa"/>
            <w:noWrap/>
          </w:tcPr>
          <w:p>
            <w:pPr>
              <w:pStyle w:val="yTableNAm"/>
            </w:pPr>
            <w:r>
              <w:t>26.90 plus</w:t>
            </w:r>
            <w:r>
              <w:br/>
              <w:t>18.45 per page</w:t>
            </w:r>
          </w:p>
        </w:tc>
        <w:tc>
          <w:tcPr>
            <w:tcW w:w="1275" w:type="dxa"/>
            <w:noWrap/>
          </w:tcPr>
          <w:p>
            <w:pPr>
              <w:pStyle w:val="yTableNAm"/>
            </w:pPr>
            <w:r>
              <w:t xml:space="preserve">8.05 plus </w:t>
            </w:r>
            <w:r>
              <w:br/>
              <w:t>2.80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w:t>
            </w:r>
            <w:r>
              <w:tab/>
              <w:t xml:space="preserve">provided within 14 days after the day on which the fee is paid </w:t>
            </w:r>
          </w:p>
        </w:tc>
        <w:tc>
          <w:tcPr>
            <w:tcW w:w="1275" w:type="dxa"/>
            <w:noWrap/>
          </w:tcPr>
          <w:p>
            <w:pPr>
              <w:pStyle w:val="yTableNAm"/>
            </w:pPr>
            <w:r>
              <w:t>26.90 plus</w:t>
            </w:r>
            <w:r>
              <w:br/>
              <w:t>7.85 per page</w:t>
            </w:r>
          </w:p>
        </w:tc>
        <w:tc>
          <w:tcPr>
            <w:tcW w:w="1276" w:type="dxa"/>
            <w:noWrap/>
          </w:tcPr>
          <w:p>
            <w:pPr>
              <w:pStyle w:val="yTableNAm"/>
            </w:pPr>
            <w:r>
              <w:t>26.90 plus</w:t>
            </w:r>
            <w:r>
              <w:br/>
              <w:t>15.75 per page</w:t>
            </w:r>
          </w:p>
        </w:tc>
        <w:tc>
          <w:tcPr>
            <w:tcW w:w="1275" w:type="dxa"/>
            <w:noWrap/>
          </w:tcPr>
          <w:p>
            <w:pPr>
              <w:pStyle w:val="yTableNAm"/>
            </w:pPr>
            <w:r>
              <w:t xml:space="preserve">8.05 plus </w:t>
            </w:r>
            <w:r>
              <w:br/>
              <w:t>2.35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(vi)</w:t>
            </w:r>
            <w:r>
              <w:tab/>
              <w:t>provided on a running basis (i.e. periodically throughout or following the day of the proceedings)</w:t>
            </w:r>
          </w:p>
        </w:tc>
        <w:tc>
          <w:tcPr>
            <w:tcW w:w="1275" w:type="dxa"/>
            <w:noWrap/>
          </w:tcPr>
          <w:p>
            <w:pPr>
              <w:pStyle w:val="yTableNAm"/>
            </w:pPr>
            <w:r>
              <w:t>26.90 plus</w:t>
            </w:r>
            <w:r>
              <w:br/>
              <w:t>11.80 per page</w:t>
            </w:r>
          </w:p>
        </w:tc>
        <w:tc>
          <w:tcPr>
            <w:tcW w:w="1276" w:type="dxa"/>
            <w:noWrap/>
          </w:tcPr>
          <w:p>
            <w:pPr>
              <w:pStyle w:val="yTableNAm"/>
            </w:pPr>
            <w:r>
              <w:t>26.90 plus</w:t>
            </w:r>
            <w:r>
              <w:br/>
              <w:t>23.60 per page</w:t>
            </w:r>
          </w:p>
        </w:tc>
        <w:tc>
          <w:tcPr>
            <w:tcW w:w="1275" w:type="dxa"/>
            <w:noWrap/>
          </w:tcPr>
          <w:p>
            <w:pPr>
              <w:pStyle w:val="yTableNAm"/>
            </w:pPr>
            <w:r>
              <w:t xml:space="preserve">8.05 plus </w:t>
            </w:r>
            <w:r>
              <w:br/>
              <w:t>3.55 per page</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For providing a copy of a transcript, or part of a transcript, if the transcript or part has been provided to the person requesting the copy — </w:t>
            </w:r>
          </w:p>
        </w:tc>
        <w:tc>
          <w:tcPr>
            <w:tcW w:w="1275" w:type="dxa"/>
            <w:noWrap/>
          </w:tcPr>
          <w:p>
            <w:pPr>
              <w:pStyle w:val="yTableNAm"/>
            </w:pPr>
          </w:p>
        </w:tc>
        <w:tc>
          <w:tcPr>
            <w:tcW w:w="1276" w:type="dxa"/>
            <w:noWrap/>
          </w:tcPr>
          <w:p>
            <w:pPr>
              <w:pStyle w:val="yTableNAm"/>
            </w:pPr>
          </w:p>
        </w:tc>
        <w:tc>
          <w:tcPr>
            <w:tcW w:w="1275" w:type="dxa"/>
            <w:noWrap/>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electronic format </w:t>
            </w:r>
          </w:p>
        </w:tc>
        <w:tc>
          <w:tcPr>
            <w:tcW w:w="1275" w:type="dxa"/>
            <w:noWrap/>
            <w:vAlign w:val="bottom"/>
          </w:tcPr>
          <w:p>
            <w:pPr>
              <w:pStyle w:val="yTableNAm"/>
            </w:pPr>
            <w:r>
              <w:t>28.10 per copy</w:t>
            </w:r>
          </w:p>
        </w:tc>
        <w:tc>
          <w:tcPr>
            <w:tcW w:w="1276" w:type="dxa"/>
            <w:noWrap/>
          </w:tcPr>
          <w:p>
            <w:pPr>
              <w:pStyle w:val="yTableNAm"/>
            </w:pPr>
            <w:r>
              <w:t>28.10 per copy</w:t>
            </w:r>
          </w:p>
        </w:tc>
        <w:tc>
          <w:tcPr>
            <w:tcW w:w="1275" w:type="dxa"/>
            <w:noWrap/>
          </w:tcPr>
          <w:p>
            <w:pPr>
              <w:pStyle w:val="yTableNAm"/>
            </w:pPr>
            <w:r>
              <w:t>8.45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s>
              <w:ind w:left="601" w:hanging="426"/>
            </w:pPr>
            <w:r>
              <w:t>(ii)</w:t>
            </w:r>
            <w:r>
              <w:tab/>
              <w:t xml:space="preserve">paper copy </w:t>
            </w:r>
          </w:p>
        </w:tc>
        <w:tc>
          <w:tcPr>
            <w:tcW w:w="1275" w:type="dxa"/>
            <w:tcBorders>
              <w:bottom w:val="single" w:sz="4" w:space="0" w:color="auto"/>
            </w:tcBorders>
            <w:noWrap/>
            <w:vAlign w:val="bottom"/>
          </w:tcPr>
          <w:p>
            <w:pPr>
              <w:pStyle w:val="yTableNAm"/>
            </w:pPr>
            <w:r>
              <w:t>2.80 per page</w:t>
            </w:r>
          </w:p>
        </w:tc>
        <w:tc>
          <w:tcPr>
            <w:tcW w:w="1276" w:type="dxa"/>
            <w:tcBorders>
              <w:bottom w:val="single" w:sz="4" w:space="0" w:color="auto"/>
            </w:tcBorders>
            <w:noWrap/>
          </w:tcPr>
          <w:p>
            <w:pPr>
              <w:pStyle w:val="yTableNAm"/>
            </w:pPr>
            <w:r>
              <w:t>2.80 per page</w:t>
            </w:r>
          </w:p>
        </w:tc>
        <w:tc>
          <w:tcPr>
            <w:tcW w:w="1275" w:type="dxa"/>
            <w:tcBorders>
              <w:bottom w:val="single" w:sz="4" w:space="0" w:color="auto"/>
            </w:tcBorders>
            <w:noWrap/>
          </w:tcPr>
          <w:p>
            <w:pPr>
              <w:pStyle w:val="yTableNAm"/>
            </w:pPr>
            <w:r>
              <w:t>0.85 per page</w:t>
            </w:r>
          </w:p>
        </w:tc>
      </w:tr>
    </w:tbl>
    <w:p>
      <w:pPr>
        <w:pStyle w:val="yFootnotesection"/>
      </w:pPr>
      <w:r>
        <w:tab/>
        <w:t>[Schedule 1 inserted: SL 2023/120 r. 18.]</w:t>
      </w:r>
    </w:p>
    <w:p>
      <w:pPr>
        <w:pStyle w:val="yScheduleHeading"/>
      </w:pPr>
      <w:bookmarkStart w:id="24" w:name="_Toc154755504"/>
      <w:r>
        <w:rPr>
          <w:rStyle w:val="CharSchNo"/>
        </w:rPr>
        <w:lastRenderedPageBreak/>
        <w:t>Schedule 2</w:t>
      </w:r>
      <w:r>
        <w:t> — </w:t>
      </w:r>
      <w:r>
        <w:rPr>
          <w:rStyle w:val="CharSchText"/>
        </w:rPr>
        <w:t>Sheriff’s fees</w:t>
      </w:r>
      <w:bookmarkEnd w:id="24"/>
    </w:p>
    <w:p>
      <w:pPr>
        <w:pStyle w:val="yShoulderClause"/>
      </w:pPr>
      <w:r>
        <w:t>[r. 4]</w:t>
      </w:r>
    </w:p>
    <w:p>
      <w:pPr>
        <w:pStyle w:val="yFootnoteheading"/>
        <w:spacing w:after="60"/>
      </w:pPr>
      <w:r>
        <w:tab/>
        <w:t>[Heading inserted: SL 2023/120 r. 18.]</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Matter</w:t>
            </w:r>
          </w:p>
        </w:tc>
        <w:tc>
          <w:tcPr>
            <w:tcW w:w="1208"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66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 xml:space="preserve">On the execution of an arrest warrant of any kind — </w:t>
            </w:r>
          </w:p>
        </w:tc>
        <w:tc>
          <w:tcPr>
            <w:tcW w:w="1208" w:type="dxa"/>
            <w:tcBorders>
              <w:top w:val="single" w:sz="4" w:space="0" w:color="auto"/>
            </w:tcBorders>
            <w:noWrap/>
          </w:tcPr>
          <w:p>
            <w:pPr>
              <w:pStyle w:val="yTableNAm"/>
            </w:pPr>
          </w:p>
        </w:tc>
      </w:tr>
      <w:tr>
        <w:trPr>
          <w:cantSplit/>
        </w:trPr>
        <w:tc>
          <w:tcPr>
            <w:tcW w:w="669" w:type="dxa"/>
            <w:noWrap/>
          </w:tcPr>
          <w:p>
            <w:pPr>
              <w:pStyle w:val="yTableNAm"/>
            </w:pPr>
          </w:p>
        </w:tc>
        <w:tc>
          <w:tcPr>
            <w:tcW w:w="5103" w:type="dxa"/>
            <w:noWrap/>
          </w:tcPr>
          <w:p>
            <w:pPr>
              <w:pStyle w:val="yTableNAm"/>
            </w:pPr>
            <w:r>
              <w:t>(a)</w:t>
            </w:r>
            <w:r>
              <w:tab/>
              <w:t xml:space="preserve">for arresting the person </w:t>
            </w:r>
          </w:p>
        </w:tc>
        <w:tc>
          <w:tcPr>
            <w:tcW w:w="1208" w:type="dxa"/>
            <w:noWrap/>
            <w:vAlign w:val="bottom"/>
          </w:tcPr>
          <w:p>
            <w:pPr>
              <w:pStyle w:val="yTableNAm"/>
              <w:ind w:right="172"/>
              <w:jc w:val="right"/>
            </w:pPr>
            <w:r>
              <w:rPr>
                <w:szCs w:val="22"/>
              </w:rPr>
              <w:t>185.50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ind w:right="172"/>
              <w:jc w:val="right"/>
              <w:rPr>
                <w:szCs w:val="22"/>
              </w:rPr>
            </w:pPr>
            <w:r>
              <w:rPr>
                <w:szCs w:val="22"/>
              </w:rPr>
              <w:t>184.00</w:t>
            </w:r>
          </w:p>
        </w:tc>
      </w:tr>
      <w:tr>
        <w:trPr>
          <w:cantSplit/>
        </w:trPr>
        <w:tc>
          <w:tcPr>
            <w:tcW w:w="669" w:type="dxa"/>
            <w:noWrap/>
          </w:tcPr>
          <w:p>
            <w:pPr>
              <w:pStyle w:val="yTableNAm"/>
            </w:pPr>
          </w:p>
        </w:tc>
        <w:tc>
          <w:tcPr>
            <w:tcW w:w="5103" w:type="dxa"/>
            <w:noWrap/>
          </w:tcPr>
          <w:p>
            <w:pPr>
              <w:pStyle w:val="yTableNAm"/>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ind w:right="172"/>
              <w:jc w:val="right"/>
              <w:rPr>
                <w:szCs w:val="22"/>
              </w:rPr>
            </w:pPr>
            <w:r>
              <w:rPr>
                <w:szCs w:val="22"/>
              </w:rPr>
              <w:t>48.60</w:t>
            </w:r>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ind w:left="391" w:hanging="391"/>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 writ, application, summons, originating process, notice or order of the Court or other process requiring service </w:t>
            </w:r>
          </w:p>
        </w:tc>
        <w:tc>
          <w:tcPr>
            <w:tcW w:w="1208" w:type="dxa"/>
            <w:noWrap/>
            <w:vAlign w:val="bottom"/>
          </w:tcPr>
          <w:p>
            <w:pPr>
              <w:pStyle w:val="yTableNAm"/>
              <w:ind w:right="172"/>
              <w:jc w:val="right"/>
            </w:pPr>
            <w:r>
              <w:rPr>
                <w:szCs w:val="22"/>
              </w:rPr>
              <w:t>103.50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ind w:left="391" w:hanging="391"/>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lastRenderedPageBreak/>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rPr>
                <w:szCs w:val="22"/>
              </w:rPr>
            </w:pPr>
          </w:p>
        </w:tc>
      </w:tr>
      <w:tr>
        <w:trPr>
          <w:cantSplit/>
        </w:trPr>
        <w:tc>
          <w:tcPr>
            <w:tcW w:w="669" w:type="dxa"/>
            <w:noWrap/>
          </w:tcPr>
          <w:p>
            <w:pPr>
              <w:pStyle w:val="yTableNAm"/>
            </w:pPr>
          </w:p>
        </w:tc>
        <w:tc>
          <w:tcPr>
            <w:tcW w:w="5103" w:type="dxa"/>
            <w:noWrap/>
          </w:tcPr>
          <w:p>
            <w:pPr>
              <w:pStyle w:val="yTableNAm"/>
              <w:ind w:left="533" w:hanging="533"/>
            </w:pPr>
            <w:r>
              <w:t>(a)</w:t>
            </w:r>
            <w:r>
              <w:tab/>
              <w:t xml:space="preserve">for each kilometre travelled (1 way) in the metropolitan region </w:t>
            </w:r>
          </w:p>
        </w:tc>
        <w:tc>
          <w:tcPr>
            <w:tcW w:w="1208" w:type="dxa"/>
            <w:noWrap/>
            <w:vAlign w:val="bottom"/>
          </w:tcPr>
          <w:p>
            <w:pPr>
              <w:pStyle w:val="yTableNAm"/>
              <w:ind w:right="172"/>
              <w:jc w:val="right"/>
              <w:rPr>
                <w:szCs w:val="22"/>
              </w:rPr>
            </w:pPr>
            <w:r>
              <w:rPr>
                <w:szCs w:val="22"/>
              </w:rPr>
              <w:t>2.50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each kilometre travelled (1 way) outside the metropolitan region </w:t>
            </w:r>
          </w:p>
        </w:tc>
        <w:tc>
          <w:tcPr>
            <w:tcW w:w="1208" w:type="dxa"/>
            <w:noWrap/>
            <w:vAlign w:val="bottom"/>
          </w:tcPr>
          <w:p>
            <w:pPr>
              <w:pStyle w:val="yTableNAm"/>
              <w:ind w:right="172"/>
              <w:jc w:val="right"/>
              <w:rPr>
                <w:szCs w:val="22"/>
              </w:rPr>
            </w:pPr>
            <w:r>
              <w:rPr>
                <w:szCs w:val="22"/>
              </w:rPr>
              <w:t>2.80</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91"/>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ind w:right="172"/>
              <w:jc w:val="right"/>
              <w:rPr>
                <w:szCs w:val="22"/>
              </w:rPr>
            </w:pPr>
            <w:r>
              <w:rPr>
                <w:szCs w:val="22"/>
              </w:rPr>
              <w:t>97.00</w:t>
            </w:r>
          </w:p>
        </w:tc>
      </w:tr>
      <w:tr>
        <w:trPr>
          <w:cantSplit/>
        </w:trPr>
        <w:tc>
          <w:tcPr>
            <w:tcW w:w="669" w:type="dxa"/>
            <w:noWrap/>
          </w:tcPr>
          <w:p>
            <w:pPr>
              <w:pStyle w:val="yTableNAm"/>
            </w:pPr>
            <w:r>
              <w:t>5.</w:t>
            </w:r>
          </w:p>
        </w:tc>
        <w:tc>
          <w:tcPr>
            <w:tcW w:w="5103" w:type="dxa"/>
            <w:noWrap/>
          </w:tcPr>
          <w:p>
            <w:pPr>
              <w:pStyle w:val="yTableNAm"/>
              <w:ind w:left="533" w:hanging="533"/>
            </w:pPr>
            <w:r>
              <w:t>(a)</w:t>
            </w:r>
            <w:r>
              <w:tab/>
              <w:t xml:space="preserve">For striking a jury and preparing a jury panel </w:t>
            </w:r>
          </w:p>
        </w:tc>
        <w:tc>
          <w:tcPr>
            <w:tcW w:w="1208" w:type="dxa"/>
            <w:noWrap/>
            <w:vAlign w:val="bottom"/>
          </w:tcPr>
          <w:p>
            <w:pPr>
              <w:pStyle w:val="yTableNAm"/>
              <w:ind w:right="172"/>
              <w:jc w:val="right"/>
              <w:rPr>
                <w:szCs w:val="22"/>
              </w:rPr>
            </w:pPr>
            <w:r>
              <w:rPr>
                <w:szCs w:val="22"/>
              </w:rPr>
              <w:t>313.00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ind w:left="533" w:hanging="533"/>
            </w:pPr>
            <w:r>
              <w:t>(b)</w:t>
            </w:r>
            <w:r>
              <w:tab/>
              <w:t>For attendance of Sheriff’s officer at hearing (per day or part of a day)</w:t>
            </w:r>
          </w:p>
        </w:tc>
        <w:tc>
          <w:tcPr>
            <w:tcW w:w="1208" w:type="dxa"/>
            <w:tcBorders>
              <w:bottom w:val="single" w:sz="4" w:space="0" w:color="auto"/>
            </w:tcBorders>
            <w:noWrap/>
          </w:tcPr>
          <w:p>
            <w:pPr>
              <w:pStyle w:val="yTableNAm"/>
            </w:pPr>
            <w:r>
              <w:t>The reasonable amount paid</w:t>
            </w:r>
          </w:p>
        </w:tc>
      </w:tr>
    </w:tbl>
    <w:p>
      <w:pPr>
        <w:pStyle w:val="yFootnotesection"/>
      </w:pPr>
      <w:r>
        <w:tab/>
        <w:t>[Schedule 2 inserted: SL 2023/120 r. 18.]</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6" w:name="_Toc154755505"/>
      <w:r>
        <w:rPr>
          <w:rStyle w:val="CharSchNo"/>
        </w:rPr>
        <w:lastRenderedPageBreak/>
        <w:t>Schedule 3</w:t>
      </w:r>
      <w:r>
        <w:t xml:space="preserve"> — </w:t>
      </w:r>
      <w:r>
        <w:rPr>
          <w:rStyle w:val="CharSchText"/>
        </w:rPr>
        <w:t>Forms</w:t>
      </w:r>
      <w:bookmarkEnd w:id="26"/>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lastRenderedPageBreak/>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lastRenderedPageBreak/>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lastRenderedPageBreak/>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lastRenderedPageBreak/>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lastRenderedPageBreak/>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lastRenderedPageBreak/>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lastRenderedPageBreak/>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27" w:name="_Toc154755506"/>
      <w:r>
        <w:lastRenderedPageBreak/>
        <w:t>Notes</w:t>
      </w:r>
      <w:bookmarkEnd w:id="27"/>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28" w:name="_Toc154755507"/>
      <w:r>
        <w:t>Compilation table</w:t>
      </w:r>
      <w:bookmarkEnd w:id="28"/>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lastRenderedPageBreak/>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w:t>
            </w:r>
            <w:r>
              <w:rPr>
                <w:bCs/>
                <w:snapToGrid w:val="0"/>
                <w:spacing w:val="-2"/>
              </w:rPr>
              <w:lastRenderedPageBreak/>
              <w:t xml:space="preserve">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lastRenderedPageBreak/>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top w:val="nil"/>
              <w:bottom w:val="nil"/>
            </w:tcBorders>
            <w:shd w:val="clear" w:color="auto" w:fill="auto"/>
          </w:tcPr>
          <w:p>
            <w:pPr>
              <w:pStyle w:val="nTable"/>
              <w:spacing w:after="40"/>
            </w:pPr>
            <w:r>
              <w:t>SL 2021/155 10 Sep 2021</w:t>
            </w:r>
          </w:p>
        </w:tc>
        <w:tc>
          <w:tcPr>
            <w:tcW w:w="2637" w:type="dxa"/>
            <w:tcBorders>
              <w:top w:val="nil"/>
              <w:bottom w:val="nil"/>
            </w:tcBorders>
            <w:shd w:val="clear" w:color="auto" w:fill="auto"/>
          </w:tcPr>
          <w:p>
            <w:pPr>
              <w:pStyle w:val="nTable"/>
              <w:spacing w:after="40"/>
            </w:pPr>
            <w:r>
              <w:t>11 Sep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7</w:t>
            </w:r>
          </w:p>
        </w:tc>
        <w:tc>
          <w:tcPr>
            <w:tcW w:w="1276" w:type="dxa"/>
            <w:tcBorders>
              <w:top w:val="nil"/>
              <w:bottom w:val="nil"/>
            </w:tcBorders>
            <w:shd w:val="clear" w:color="auto" w:fill="auto"/>
          </w:tcPr>
          <w:p>
            <w:pPr>
              <w:pStyle w:val="nTable"/>
              <w:spacing w:after="40"/>
            </w:pPr>
            <w:r>
              <w:t>SL 2022/111</w:t>
            </w:r>
            <w:r>
              <w:br/>
              <w:t>30 Jun 2022</w:t>
            </w:r>
          </w:p>
        </w:tc>
        <w:tc>
          <w:tcPr>
            <w:tcW w:w="2637"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7</w:t>
            </w:r>
          </w:p>
        </w:tc>
        <w:tc>
          <w:tcPr>
            <w:tcW w:w="1276" w:type="dxa"/>
            <w:tcBorders>
              <w:bottom w:val="single" w:sz="4" w:space="0" w:color="auto"/>
            </w:tcBorders>
            <w:shd w:val="clear" w:color="auto" w:fill="auto"/>
          </w:tcPr>
          <w:p>
            <w:pPr>
              <w:pStyle w:val="nTable"/>
              <w:spacing w:after="40"/>
            </w:pPr>
            <w:r>
              <w:t>SL 2023/120 2 Aug 2023</w:t>
            </w:r>
          </w:p>
        </w:tc>
        <w:tc>
          <w:tcPr>
            <w:tcW w:w="2637" w:type="dxa"/>
            <w:tcBorders>
              <w:bottom w:val="single" w:sz="4" w:space="0" w:color="auto"/>
            </w:tcBorders>
            <w:shd w:val="clear" w:color="auto" w:fill="auto"/>
          </w:tcPr>
          <w:p>
            <w:pPr>
              <w:pStyle w:val="nTable"/>
              <w:spacing w:after="40"/>
            </w:pPr>
            <w:r>
              <w:t>3 Aug 2023 (see r. 2(b))</w:t>
            </w:r>
          </w:p>
        </w:tc>
      </w:tr>
    </w:tbl>
    <w:p>
      <w:pPr>
        <w:pStyle w:val="nHeading3"/>
      </w:pPr>
      <w:bookmarkStart w:id="29" w:name="_Toc154755508"/>
      <w:r>
        <w:t>Other notes</w:t>
      </w:r>
      <w:bookmarkEnd w:id="29"/>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1" w:name="_Toc154755509"/>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listing order</w:t>
      </w:r>
      <w:r>
        <w:tab/>
        <w:t>9(5A)</w:t>
      </w:r>
    </w:p>
    <w:p>
      <w:pPr>
        <w:pStyle w:val="DefinedTerms"/>
      </w:pPr>
      <w:r>
        <w:t>metropolitan region</w:t>
      </w:r>
      <w:r>
        <w:tab/>
        <w:t>3</w:t>
      </w:r>
    </w:p>
    <w:p>
      <w:pPr>
        <w:pStyle w:val="DefinedTerms"/>
      </w:pPr>
      <w:r>
        <w:t>non-profit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A44219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4CDC16B" w14:textId="07A9A577" w:rsidR="00F141AF" w:rsidRDefault="00F141A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81F4D">
                        <w:rPr>
                          <w:sz w:val="16"/>
                        </w:rPr>
                        <w:t>2023</w:t>
                      </w:r>
                      <w:r>
                        <w:rPr>
                          <w:sz w:val="16"/>
                        </w:rPr>
                        <w:fldChar w:fldCharType="end"/>
                      </w:r>
                      <w:r>
                        <w:rPr>
                          <w:sz w:val="16"/>
                        </w:rPr>
                        <w:t>.</w:t>
                      </w:r>
                    </w:p>
                    <w:p w14:paraId="44821E22" w14:textId="77777777" w:rsidR="00F141AF" w:rsidRDefault="00F141A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CAC648" w14:textId="4DB801BE" w:rsidR="00F141AF" w:rsidRDefault="00F141A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81F4D">
                        <w:rPr>
                          <w:sz w:val="16"/>
                        </w:rPr>
                        <w:t>2023</w:t>
                      </w:r>
                      <w:r>
                        <w:rPr>
                          <w:sz w:val="16"/>
                        </w:rPr>
                        <w:fldChar w:fldCharType="end"/>
                      </w:r>
                      <w:r>
                        <w:rPr>
                          <w:sz w:val="16"/>
                        </w:rPr>
                        <w:t>.</w:t>
                      </w:r>
                    </w:p>
                    <w:p w14:paraId="5425A061" w14:textId="77777777" w:rsidR="00F141AF" w:rsidRDefault="00F141A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0352"/>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 w:name="WAFER_20220627160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0339_GUID" w:val="e8ee53a5-5cb6-4cb3-8d65-62642bcf6576"/>
    <w:docVar w:name="WAFER_20220627162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124_GUID" w:val="c043f4ea-52ec-4c9f-aad5-88c6c860eaca"/>
    <w:docVar w:name="WAFER_20230801164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156_GUID" w:val="f204eeea-3189-428c-976a-6c41494df421"/>
    <w:docVar w:name="WAFER_20231228100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0352_GUID" w:val="ccdeac4c-feb3-42e9-89b7-a52aca71d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50A7-E968-4FBC-A8DF-C4BAE1ED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8047</Words>
  <Characters>39111</Characters>
  <Application>Microsoft Office Word</Application>
  <DocSecurity>0</DocSecurity>
  <Lines>1862</Lines>
  <Paragraphs>1096</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2002 - 03-v0-01</dc:title>
  <dc:subject/>
  <dc:creator/>
  <cp:keywords/>
  <dc:description/>
  <cp:lastModifiedBy>Master Repository Process</cp:lastModifiedBy>
  <cp:revision>4</cp:revision>
  <cp:lastPrinted>2016-07-22T01:04:00Z</cp:lastPrinted>
  <dcterms:created xsi:type="dcterms:W3CDTF">2023-12-29T07:17:00Z</dcterms:created>
  <dcterms:modified xsi:type="dcterms:W3CDTF">2023-12-29T07:17:00Z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03 Aug 2023</vt:lpwstr>
  </property>
  <property fmtid="{D5CDD505-2E9C-101B-9397-08002B2CF9AE}" pid="8" name="Suffix">
    <vt:lpwstr>03-v0-01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