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Work Health and Safety Act 2020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 Health and Safety Regulations Amendment Regulations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 Health and Safety Regulations Amendment Regulations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_Toc155187710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_Toc155187711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Work Health and Safety (General) Regulations 2022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_Toc155187713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5 amended</w:t>
      </w:r>
      <w:r>
        <w:tab/>
      </w:r>
      <w:r>
        <w:fldChar w:fldCharType="begin"/>
      </w:r>
      <w:r>
        <w:instrText xml:space="preserve"> PAGEREF _Toc155187714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 142C amended</w:t>
      </w:r>
      <w:r>
        <w:tab/>
      </w:r>
      <w:r>
        <w:fldChar w:fldCharType="begin"/>
      </w:r>
      <w:r>
        <w:instrText xml:space="preserve"> PAGEREF _Toc155187715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225 amended</w:t>
      </w:r>
      <w:r>
        <w:tab/>
      </w:r>
      <w:r>
        <w:fldChar w:fldCharType="begin"/>
      </w:r>
      <w:r>
        <w:instrText xml:space="preserve"> PAGEREF _Toc155187716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 252 amended</w:t>
      </w:r>
      <w:r>
        <w:tab/>
      </w:r>
      <w:r>
        <w:fldChar w:fldCharType="begin"/>
      </w:r>
      <w:r>
        <w:instrText xml:space="preserve"> PAGEREF _Toc155187717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Part 11.4 heading amended</w:t>
      </w:r>
      <w:r>
        <w:tab/>
      </w:r>
      <w:r>
        <w:fldChar w:fldCharType="begin"/>
      </w:r>
      <w:r>
        <w:instrText xml:space="preserve"> PAGEREF _Toc155187718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Part 11.5 inserted</w:t>
      </w:r>
      <w:r>
        <w:tab/>
      </w:r>
      <w:r>
        <w:fldChar w:fldCharType="begin"/>
      </w:r>
      <w:r>
        <w:instrText xml:space="preserve"> PAGEREF _Toc155187719 \h </w:instrText>
      </w:r>
      <w:r>
        <w:fldChar w:fldCharType="separate"/>
      </w:r>
      <w:r>
        <w:t>3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Part 11.5 — Transitional and savings provisions for </w:t>
      </w:r>
      <w:r>
        <w:rPr>
          <w:i/>
        </w:rPr>
        <w:t>Work Health and Safety Regulations Amendment Regulations (No. 2) 2023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733.</w:t>
      </w:r>
      <w:r>
        <w:rPr>
          <w:noProof/>
        </w:rPr>
        <w:tab/>
        <w:t>Delayed application of Schedule 3 items 14A and 15A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_Toc155187721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Schedule 3 amended</w:t>
      </w:r>
      <w:r>
        <w:tab/>
      </w:r>
      <w:r>
        <w:fldChar w:fldCharType="begin"/>
      </w:r>
      <w:r>
        <w:instrText xml:space="preserve"> PAGEREF _Toc155187722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Work Health and Safety (Mines) Regulations 2022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_Toc155187724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Regulation 5 amended</w:t>
      </w:r>
      <w:r>
        <w:tab/>
      </w:r>
      <w:r>
        <w:fldChar w:fldCharType="begin"/>
      </w:r>
      <w:r>
        <w:instrText xml:space="preserve"> PAGEREF _Toc155187725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lastRenderedPageBreak/>
        <w:t>13.</w:t>
      </w:r>
      <w:r>
        <w:tab/>
        <w:t>Regulation 94 amended</w:t>
      </w:r>
      <w:r>
        <w:tab/>
      </w:r>
      <w:r>
        <w:fldChar w:fldCharType="begin"/>
      </w:r>
      <w:r>
        <w:instrText xml:space="preserve"> PAGEREF _Toc155187726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Regulation 142C amended</w:t>
      </w:r>
      <w:r>
        <w:tab/>
      </w:r>
      <w:r>
        <w:fldChar w:fldCharType="begin"/>
      </w:r>
      <w:r>
        <w:instrText xml:space="preserve"> PAGEREF _Toc155187727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Regulation 225 amended</w:t>
      </w:r>
      <w:r>
        <w:tab/>
      </w:r>
      <w:r>
        <w:fldChar w:fldCharType="begin"/>
      </w:r>
      <w:r>
        <w:instrText xml:space="preserve"> PAGEREF _Toc155187728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Regulation 675TA amended</w:t>
      </w:r>
      <w:r>
        <w:tab/>
      </w:r>
      <w:r>
        <w:fldChar w:fldCharType="begin"/>
      </w:r>
      <w:r>
        <w:instrText xml:space="preserve"> PAGEREF _Toc155187729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Regulation 675ZZJ amended</w:t>
      </w:r>
      <w:r>
        <w:tab/>
      </w:r>
      <w:r>
        <w:fldChar w:fldCharType="begin"/>
      </w:r>
      <w:r>
        <w:instrText xml:space="preserve"> PAGEREF _Toc155187730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Part 11.4 heading amended</w:t>
      </w:r>
      <w:r>
        <w:tab/>
      </w:r>
      <w:r>
        <w:fldChar w:fldCharType="begin"/>
      </w:r>
      <w:r>
        <w:instrText xml:space="preserve"> PAGEREF _Toc155187731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Part 11.5 inserted</w:t>
      </w:r>
      <w:r>
        <w:tab/>
      </w:r>
      <w:r>
        <w:fldChar w:fldCharType="begin"/>
      </w:r>
      <w:r>
        <w:instrText xml:space="preserve"> PAGEREF _Toc155187732 \h </w:instrText>
      </w:r>
      <w:r>
        <w:fldChar w:fldCharType="separate"/>
      </w:r>
      <w:r>
        <w:t>7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Part 11.5 — Transitional and savings provisions for </w:t>
      </w:r>
      <w:r>
        <w:rPr>
          <w:i/>
        </w:rPr>
        <w:t>Work Health and Safety Regulations Amendment Regulations (No. 2) 2023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750.</w:t>
      </w:r>
      <w:r>
        <w:rPr>
          <w:noProof/>
        </w:rPr>
        <w:tab/>
        <w:t>Delayed application of Schedule 3 items 14A and 15A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_Toc155187734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Schedule 3 amended</w:t>
      </w:r>
      <w:r>
        <w:tab/>
      </w:r>
      <w:r>
        <w:fldChar w:fldCharType="begin"/>
      </w:r>
      <w:r>
        <w:instrText xml:space="preserve"> PAGEREF _Toc155187735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Schedule 27 clause 6 amended</w:t>
      </w:r>
      <w:r>
        <w:tab/>
      </w:r>
      <w:r>
        <w:fldChar w:fldCharType="begin"/>
      </w:r>
      <w:r>
        <w:instrText xml:space="preserve"> PAGEREF _Toc155187736 \h </w:instrText>
      </w:r>
      <w:r>
        <w:fldChar w:fldCharType="separate"/>
      </w:r>
      <w:r>
        <w:t>8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Work Health and Safety Act 2020</w:t>
      </w:r>
    </w:p>
    <w:p>
      <w:pPr>
        <w:pStyle w:val="NameofActReg"/>
      </w:pPr>
      <w:r>
        <w:t>Work Health and Safety Regulations Amendment Regulations (No. 2) 2023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360"/>
      </w:pPr>
      <w:bookmarkStart w:id="3" w:name="_Toc155187709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</w:p>
    <w:p>
      <w:pPr>
        <w:pStyle w:val="Heading5"/>
      </w:pPr>
      <w:bookmarkStart w:id="4" w:name="_Toc155187710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Work Health and Safety Regulations Amendment Regulations (No. 2) 2023</w:t>
      </w:r>
      <w:r>
        <w:t>.</w:t>
      </w:r>
    </w:p>
    <w:p>
      <w:pPr>
        <w:pStyle w:val="Heading5"/>
        <w:rPr>
          <w:spacing w:val="-2"/>
        </w:rPr>
      </w:pPr>
      <w:bookmarkStart w:id="6" w:name="_Toc15518771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</w:pPr>
      <w:bookmarkStart w:id="7" w:name="_Toc155187712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Work Health and Safety (General) Regulations 2022</w:t>
      </w:r>
      <w:r>
        <w:rPr>
          <w:rStyle w:val="CharPartText"/>
        </w:rPr>
        <w:t xml:space="preserve"> amended</w:t>
      </w:r>
      <w:bookmarkEnd w:id="7"/>
    </w:p>
    <w:p>
      <w:pPr>
        <w:pStyle w:val="Heading5"/>
        <w:rPr>
          <w:snapToGrid w:val="0"/>
        </w:rPr>
      </w:pPr>
      <w:bookmarkStart w:id="8" w:name="_Toc15518771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Work Health and Safety (General) Regulations 2022</w:t>
      </w:r>
      <w:r>
        <w:t>.</w:t>
      </w:r>
    </w:p>
    <w:p>
      <w:pPr>
        <w:pStyle w:val="Heading5"/>
      </w:pPr>
      <w:bookmarkStart w:id="9" w:name="_Toc155187714"/>
      <w:r>
        <w:rPr>
          <w:rStyle w:val="CharSectno"/>
        </w:rPr>
        <w:t>4</w:t>
      </w:r>
      <w:r>
        <w:t>.</w:t>
      </w:r>
      <w:r>
        <w:tab/>
        <w:t>Regulation 5 amended</w:t>
      </w:r>
      <w:bookmarkEnd w:id="9"/>
    </w:p>
    <w:p>
      <w:pPr>
        <w:pStyle w:val="Subsection"/>
      </w:pPr>
      <w:r>
        <w:tab/>
      </w:r>
      <w:r>
        <w:tab/>
        <w:t xml:space="preserve">In regulation 5 in the definition of </w:t>
      </w:r>
      <w:r>
        <w:rPr>
          <w:b/>
          <w:i/>
        </w:rPr>
        <w:t>crane</w:t>
      </w:r>
      <w:r>
        <w:t xml:space="preserve"> in the note delete “</w:t>
      </w:r>
      <w:r>
        <w:rPr>
          <w:rFonts w:ascii="Arial" w:hAnsi="Arial" w:cs="Arial"/>
          <w:sz w:val="18"/>
        </w:rPr>
        <w:t>and Schedule 3 clause 2 apply</w:t>
      </w:r>
      <w:r>
        <w:t>” and insert:</w:t>
      </w:r>
    </w:p>
    <w:p>
      <w:pPr>
        <w:pStyle w:val="BlankOpen"/>
      </w:pPr>
    </w:p>
    <w:p>
      <w:pPr>
        <w:pStyle w:val="Subsection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applies</w:t>
      </w:r>
    </w:p>
    <w:p>
      <w:pPr>
        <w:pStyle w:val="BlankClose"/>
      </w:pPr>
    </w:p>
    <w:p>
      <w:pPr>
        <w:pStyle w:val="Heading5"/>
      </w:pPr>
      <w:bookmarkStart w:id="10" w:name="_Toc155187715"/>
      <w:r>
        <w:rPr>
          <w:rStyle w:val="CharSectno"/>
        </w:rPr>
        <w:t>5</w:t>
      </w:r>
      <w:r>
        <w:t>.</w:t>
      </w:r>
      <w:r>
        <w:tab/>
        <w:t>Regulation 142C amended</w:t>
      </w:r>
      <w:bookmarkEnd w:id="10"/>
    </w:p>
    <w:p>
      <w:pPr>
        <w:pStyle w:val="Subsection"/>
      </w:pPr>
      <w:r>
        <w:tab/>
      </w:r>
      <w:r>
        <w:tab/>
        <w:t>In regulation 142C(2) and (3) delete “Class 2” (2</w:t>
      </w:r>
      <w:r>
        <w:rPr>
          <w:vertAlign w:val="superscript"/>
        </w:rPr>
        <w:t>nd</w:t>
      </w:r>
      <w:r>
        <w:t xml:space="preserve"> occurrence). </w:t>
      </w:r>
    </w:p>
    <w:p>
      <w:pPr>
        <w:pStyle w:val="SectAltNote"/>
      </w:pPr>
      <w:r>
        <w:tab/>
        <w:t>Note: The heading to amended regulation 142C is to read:</w:t>
      </w:r>
    </w:p>
    <w:p>
      <w:pPr>
        <w:pStyle w:val="SectAltHeading"/>
      </w:pPr>
      <w:r>
        <w:tab/>
      </w:r>
      <w:r>
        <w:tab/>
        <w:t>Requirement to hold demolition licence to carry out Class 2 demolition work</w:t>
      </w:r>
    </w:p>
    <w:p>
      <w:pPr>
        <w:pStyle w:val="Heading5"/>
      </w:pPr>
      <w:bookmarkStart w:id="11" w:name="_Toc155187716"/>
      <w:r>
        <w:rPr>
          <w:rStyle w:val="CharSectno"/>
        </w:rPr>
        <w:t>6</w:t>
      </w:r>
      <w:r>
        <w:t>.</w:t>
      </w:r>
      <w:r>
        <w:tab/>
        <w:t>Regulation 225 amended</w:t>
      </w:r>
      <w:bookmarkEnd w:id="11"/>
      <w:r>
        <w:t xml:space="preserve"> </w:t>
      </w:r>
    </w:p>
    <w:p>
      <w:pPr>
        <w:pStyle w:val="Subsection"/>
      </w:pPr>
      <w:r>
        <w:tab/>
      </w:r>
      <w:r>
        <w:tab/>
        <w:t xml:space="preserve">In regulation 225(1A) in the definition of </w:t>
      </w:r>
      <w:r>
        <w:rPr>
          <w:b/>
          <w:i/>
        </w:rPr>
        <w:t>AS/NZS 1576 Parts 1 to 6</w:t>
      </w:r>
      <w:r>
        <w:t xml:space="preserve"> paragraph (b) delete “AS 1576.2:1991” and insert:</w:t>
      </w:r>
    </w:p>
    <w:p>
      <w:pPr>
        <w:pStyle w:val="BlankOpen"/>
        <w:rPr>
          <w:rStyle w:val="CharSectno"/>
        </w:rPr>
      </w:pPr>
    </w:p>
    <w:p>
      <w:pPr>
        <w:pStyle w:val="Subsection"/>
        <w:rPr>
          <w:rStyle w:val="CharSectno"/>
        </w:rPr>
      </w:pPr>
      <w:r>
        <w:rPr>
          <w:rStyle w:val="CharSectno"/>
        </w:rPr>
        <w:tab/>
      </w:r>
      <w:r>
        <w:rPr>
          <w:rStyle w:val="CharSectno"/>
        </w:rPr>
        <w:tab/>
        <w:t>AS 1576.2:2016</w:t>
      </w:r>
    </w:p>
    <w:p>
      <w:pPr>
        <w:pStyle w:val="BlankClose"/>
        <w:rPr>
          <w:rStyle w:val="CharSectno"/>
        </w:rPr>
      </w:pPr>
    </w:p>
    <w:p>
      <w:pPr>
        <w:pStyle w:val="Heading5"/>
      </w:pPr>
      <w:bookmarkStart w:id="12" w:name="_Toc155187717"/>
      <w:r>
        <w:rPr>
          <w:rStyle w:val="CharSectno"/>
        </w:rPr>
        <w:lastRenderedPageBreak/>
        <w:t>7</w:t>
      </w:r>
      <w:r>
        <w:t>.</w:t>
      </w:r>
      <w:r>
        <w:tab/>
        <w:t>Regulation 252 amended</w:t>
      </w:r>
      <w:bookmarkEnd w:id="12"/>
    </w:p>
    <w:p>
      <w:pPr>
        <w:pStyle w:val="Subsection"/>
        <w:keepNext/>
      </w:pPr>
      <w:r>
        <w:tab/>
      </w:r>
      <w:r>
        <w:tab/>
        <w:t>In regulation 252(1A)(a)(i) delete “inspect the plant; and” and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design the plant or verify the design of the plant; and</w:t>
      </w:r>
    </w:p>
    <w:p>
      <w:pPr>
        <w:pStyle w:val="BlankClose"/>
      </w:pPr>
    </w:p>
    <w:p>
      <w:pPr>
        <w:pStyle w:val="Heading5"/>
      </w:pPr>
      <w:bookmarkStart w:id="13" w:name="_Toc155187718"/>
      <w:r>
        <w:rPr>
          <w:rStyle w:val="CharSectno"/>
        </w:rPr>
        <w:t>8</w:t>
      </w:r>
      <w:r>
        <w:t>.</w:t>
      </w:r>
      <w:r>
        <w:tab/>
        <w:t>Part 11.4 heading amended</w:t>
      </w:r>
      <w:bookmarkEnd w:id="13"/>
    </w:p>
    <w:p>
      <w:pPr>
        <w:pStyle w:val="Subsection"/>
      </w:pPr>
      <w:r>
        <w:tab/>
      </w:r>
      <w:r>
        <w:tab/>
        <w:t>In the heading to Part 11.4 after “</w:t>
      </w:r>
      <w:r>
        <w:rPr>
          <w:b/>
          <w:sz w:val="26"/>
          <w:szCs w:val="26"/>
        </w:rPr>
        <w:t>provisions</w:t>
      </w:r>
      <w:r>
        <w:t>” insert:</w:t>
      </w:r>
    </w:p>
    <w:p>
      <w:pPr>
        <w:pStyle w:val="BlankOpen"/>
      </w:pPr>
    </w:p>
    <w:p>
      <w:pPr>
        <w:pStyle w:val="Subsection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for </w:t>
      </w:r>
      <w:r>
        <w:rPr>
          <w:b/>
          <w:i/>
          <w:sz w:val="26"/>
          <w:szCs w:val="26"/>
        </w:rPr>
        <w:t>Work Health and Safety (General) Regulations 2022</w:t>
      </w:r>
    </w:p>
    <w:p>
      <w:pPr>
        <w:pStyle w:val="BlankClose"/>
      </w:pPr>
    </w:p>
    <w:p>
      <w:pPr>
        <w:pStyle w:val="Heading5"/>
      </w:pPr>
      <w:bookmarkStart w:id="14" w:name="_Toc155187719"/>
      <w:r>
        <w:rPr>
          <w:rStyle w:val="CharSectno"/>
        </w:rPr>
        <w:t>9</w:t>
      </w:r>
      <w:r>
        <w:t>.</w:t>
      </w:r>
      <w:r>
        <w:tab/>
        <w:t>Part 11.5 inserted</w:t>
      </w:r>
      <w:bookmarkEnd w:id="14"/>
    </w:p>
    <w:p>
      <w:pPr>
        <w:pStyle w:val="Subsection"/>
      </w:pPr>
      <w:r>
        <w:tab/>
      </w:r>
      <w:r>
        <w:tab/>
        <w:t>After regulation 732 insert:</w:t>
      </w:r>
    </w:p>
    <w:p>
      <w:pPr>
        <w:pStyle w:val="BlankOpen"/>
      </w:pPr>
    </w:p>
    <w:p>
      <w:pPr>
        <w:pStyle w:val="zHeading3"/>
      </w:pPr>
      <w:bookmarkStart w:id="15" w:name="_Toc155187720"/>
      <w:r>
        <w:t xml:space="preserve">Part 11.5 — Transitional and savings provisions for </w:t>
      </w:r>
      <w:r>
        <w:rPr>
          <w:i/>
        </w:rPr>
        <w:t>Work Health and Safety Regulations Amendment Regulations (No. 2) 2023</w:t>
      </w:r>
      <w:bookmarkEnd w:id="15"/>
    </w:p>
    <w:p>
      <w:pPr>
        <w:pStyle w:val="zHeading5"/>
      </w:pPr>
      <w:bookmarkStart w:id="16" w:name="_Toc155187721"/>
      <w:r>
        <w:t>733.</w:t>
      </w:r>
      <w:r>
        <w:tab/>
        <w:t>Delayed application of Schedule 3 items 14A and 15A</w:t>
      </w:r>
      <w:bookmarkEnd w:id="16"/>
    </w:p>
    <w:p>
      <w:pPr>
        <w:pStyle w:val="zSubsection"/>
        <w:keepNext/>
      </w:pPr>
      <w:r>
        <w:tab/>
      </w:r>
      <w:r>
        <w:tab/>
        <w:t xml:space="preserve">During the period of 2 years beginning on the day on which the </w:t>
      </w:r>
      <w:r>
        <w:rPr>
          <w:i/>
        </w:rPr>
        <w:t xml:space="preserve">Work Health and Safety Regulations Amendment Regulations (No. 2) 2023 </w:t>
      </w:r>
      <w:r>
        <w:t>regulation 9 comes into operation, Schedule 3 items 14A and 15A do not apply.</w:t>
      </w:r>
    </w:p>
    <w:p>
      <w:pPr>
        <w:pStyle w:val="BlankClose"/>
      </w:pPr>
    </w:p>
    <w:p>
      <w:pPr>
        <w:pStyle w:val="Heading5"/>
      </w:pPr>
      <w:bookmarkStart w:id="17" w:name="_Toc155187722"/>
      <w:r>
        <w:rPr>
          <w:rStyle w:val="CharSectno"/>
        </w:rPr>
        <w:lastRenderedPageBreak/>
        <w:t>10</w:t>
      </w:r>
      <w:r>
        <w:t>.</w:t>
      </w:r>
      <w:r>
        <w:tab/>
        <w:t>Schedule 3 amended</w:t>
      </w:r>
      <w:bookmarkEnd w:id="17"/>
    </w:p>
    <w:p>
      <w:pPr>
        <w:pStyle w:val="Subsection"/>
        <w:keepNext/>
      </w:pPr>
      <w:r>
        <w:tab/>
        <w:t>(1)</w:t>
      </w:r>
      <w:r>
        <w:tab/>
        <w:t>In Schedule 3 in Table 3.1 after item 14 insert:</w:t>
      </w:r>
    </w:p>
    <w:p>
      <w:pPr>
        <w:pStyle w:val="BlankOpe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38"/>
        <w:gridCol w:w="2353"/>
        <w:gridCol w:w="3713"/>
      </w:tblGrid>
      <w:tr>
        <w:tc>
          <w:tcPr>
            <w:tcW w:w="738" w:type="dxa"/>
            <w:noWrap/>
          </w:tcPr>
          <w:p>
            <w:pPr>
              <w:pStyle w:val="zyTableNAm"/>
            </w:pPr>
            <w:r>
              <w:t>14A.</w:t>
            </w:r>
          </w:p>
        </w:tc>
        <w:tc>
          <w:tcPr>
            <w:tcW w:w="2353" w:type="dxa"/>
            <w:noWrap/>
          </w:tcPr>
          <w:p>
            <w:pPr>
              <w:pStyle w:val="zyTableNAm"/>
            </w:pPr>
            <w:r>
              <w:t>Non</w:t>
            </w:r>
            <w:r>
              <w:noBreakHyphen/>
              <w:t>slewing mobile crane</w:t>
            </w:r>
          </w:p>
        </w:tc>
        <w:tc>
          <w:tcPr>
            <w:tcW w:w="3713" w:type="dxa"/>
            <w:noWrap/>
          </w:tcPr>
          <w:p>
            <w:pPr>
              <w:pStyle w:val="zyTableNAm"/>
            </w:pPr>
            <w:r>
              <w:t>Use of non</w:t>
            </w:r>
            <w:r>
              <w:noBreakHyphen/>
              <w:t>slewing earthmoving machinery with a safe working load greater than 3 tonnes as a crane</w:t>
            </w:r>
          </w:p>
        </w:tc>
      </w:tr>
    </w:tbl>
    <w:p>
      <w:pPr>
        <w:pStyle w:val="BlankClose"/>
      </w:pPr>
    </w:p>
    <w:p>
      <w:pPr>
        <w:pStyle w:val="Subsection"/>
      </w:pPr>
      <w:r>
        <w:tab/>
        <w:t>(2)</w:t>
      </w:r>
      <w:r>
        <w:tab/>
        <w:t>In Schedule 3 in Table 3.1 after item 15 insert:</w:t>
      </w:r>
    </w:p>
    <w:p>
      <w:pPr>
        <w:pStyle w:val="BlankOpe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38"/>
        <w:gridCol w:w="2353"/>
        <w:gridCol w:w="3713"/>
      </w:tblGrid>
      <w:tr>
        <w:trPr>
          <w:cantSplit/>
        </w:trPr>
        <w:tc>
          <w:tcPr>
            <w:tcW w:w="738" w:type="dxa"/>
            <w:noWrap/>
          </w:tcPr>
          <w:p>
            <w:pPr>
              <w:pStyle w:val="zyTableNAm"/>
            </w:pPr>
            <w:r>
              <w:t>15A.</w:t>
            </w:r>
          </w:p>
        </w:tc>
        <w:tc>
          <w:tcPr>
            <w:tcW w:w="2353" w:type="dxa"/>
            <w:noWrap/>
          </w:tcPr>
          <w:p>
            <w:pPr>
              <w:pStyle w:val="zyTableNAm"/>
            </w:pPr>
            <w:r>
              <w:t>Slewing mobile crane — with a capacity up to 20 tonnes</w:t>
            </w:r>
          </w:p>
        </w:tc>
        <w:tc>
          <w:tcPr>
            <w:tcW w:w="3713" w:type="dxa"/>
            <w:noWrap/>
          </w:tcPr>
          <w:p>
            <w:pPr>
              <w:pStyle w:val="zyTableNAm"/>
            </w:pPr>
            <w:r>
              <w:t>Use of slewing earthmoving machinery with a safe working load greater than 3 tonnes as a crane</w:t>
            </w:r>
          </w:p>
        </w:tc>
      </w:tr>
    </w:tbl>
    <w:p>
      <w:pPr>
        <w:pStyle w:val="BlankClose"/>
      </w:pPr>
    </w:p>
    <w:p>
      <w:pPr>
        <w:pStyle w:val="Subsection"/>
      </w:pPr>
      <w:r>
        <w:tab/>
        <w:t>(3)</w:t>
      </w:r>
      <w:r>
        <w:tab/>
        <w:t>Delete Schedule 3 clause 2.</w:t>
      </w:r>
    </w:p>
    <w:p>
      <w:pPr>
        <w:pStyle w:val="Heading2"/>
      </w:pPr>
      <w:bookmarkStart w:id="18" w:name="_Toc155187723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Work Health and Safety (Mines) Regulations 2022</w:t>
      </w:r>
      <w:r>
        <w:rPr>
          <w:rStyle w:val="CharPartText"/>
        </w:rPr>
        <w:t xml:space="preserve"> amended</w:t>
      </w:r>
      <w:bookmarkEnd w:id="18"/>
    </w:p>
    <w:p>
      <w:pPr>
        <w:pStyle w:val="Heading5"/>
        <w:rPr>
          <w:snapToGrid w:val="0"/>
        </w:rPr>
      </w:pPr>
      <w:bookmarkStart w:id="19" w:name="_Toc155187724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19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Work Health and Safety (Mines) Regulations 2022</w:t>
      </w:r>
      <w:r>
        <w:t>.</w:t>
      </w:r>
    </w:p>
    <w:p>
      <w:pPr>
        <w:pStyle w:val="Heading5"/>
      </w:pPr>
      <w:bookmarkStart w:id="20" w:name="_Toc155187725"/>
      <w:r>
        <w:rPr>
          <w:rStyle w:val="CharSectno"/>
        </w:rPr>
        <w:t>12</w:t>
      </w:r>
      <w:r>
        <w:t>.</w:t>
      </w:r>
      <w:r>
        <w:tab/>
        <w:t>Regulation 5 amended</w:t>
      </w:r>
      <w:bookmarkEnd w:id="20"/>
    </w:p>
    <w:p>
      <w:pPr>
        <w:pStyle w:val="Subsection"/>
      </w:pPr>
      <w:r>
        <w:tab/>
        <w:t>(1)</w:t>
      </w:r>
      <w:r>
        <w:tab/>
        <w:t xml:space="preserve">In regulation 5 delete the definition of </w:t>
      </w:r>
      <w:r>
        <w:rPr>
          <w:b/>
          <w:i/>
        </w:rPr>
        <w:t>card holder</w:t>
      </w:r>
      <w:r>
        <w:t xml:space="preserve"> and insert: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card holder</w:t>
      </w:r>
      <w:r>
        <w:t xml:space="preserve"> has the meaning given in the </w:t>
      </w:r>
      <w:r>
        <w:rPr>
          <w:i/>
        </w:rPr>
        <w:t>Work Health and Safety (General) Regulations 2022</w:t>
      </w:r>
      <w:r>
        <w:t xml:space="preserve"> regulation 5;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 xml:space="preserve">In regulation 5 in the definition of </w:t>
      </w:r>
      <w:r>
        <w:rPr>
          <w:b/>
          <w:i/>
        </w:rPr>
        <w:t>crane</w:t>
      </w:r>
      <w:r>
        <w:t xml:space="preserve"> in the note delete “</w:t>
      </w:r>
      <w:r>
        <w:rPr>
          <w:rFonts w:ascii="Arial" w:hAnsi="Arial" w:cs="Arial"/>
          <w:sz w:val="18"/>
        </w:rPr>
        <w:t>and Schedule 3 clause 2 apply</w:t>
      </w:r>
      <w:r>
        <w:t>” and insert:</w:t>
      </w:r>
    </w:p>
    <w:p>
      <w:pPr>
        <w:pStyle w:val="BlankOpen"/>
      </w:pPr>
    </w:p>
    <w:p>
      <w:pPr>
        <w:pStyle w:val="Subsection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rPr>
          <w:rFonts w:ascii="Arial" w:hAnsi="Arial" w:cs="Arial"/>
          <w:sz w:val="18"/>
          <w:szCs w:val="18"/>
        </w:rPr>
        <w:t>applies</w:t>
      </w:r>
    </w:p>
    <w:p>
      <w:pPr>
        <w:pStyle w:val="BlankClose"/>
      </w:pPr>
    </w:p>
    <w:p>
      <w:pPr>
        <w:pStyle w:val="Heading5"/>
      </w:pPr>
      <w:bookmarkStart w:id="21" w:name="_Toc155187726"/>
      <w:r>
        <w:rPr>
          <w:rStyle w:val="CharSectno"/>
        </w:rPr>
        <w:t>13</w:t>
      </w:r>
      <w:r>
        <w:t>.</w:t>
      </w:r>
      <w:r>
        <w:tab/>
        <w:t>Regulation 94 amended</w:t>
      </w:r>
      <w:bookmarkEnd w:id="21"/>
    </w:p>
    <w:p>
      <w:pPr>
        <w:pStyle w:val="Subsection"/>
      </w:pPr>
      <w:r>
        <w:tab/>
      </w:r>
      <w:r>
        <w:tab/>
        <w:t>In regulation 94(2)(a) and (b) after “</w:t>
      </w:r>
      <w:r>
        <w:rPr>
          <w:i/>
        </w:rPr>
        <w:t>Safety</w:t>
      </w:r>
      <w:r>
        <w:t>” insert:</w:t>
      </w:r>
    </w:p>
    <w:p>
      <w:pPr>
        <w:pStyle w:val="BlankOpen"/>
      </w:pPr>
    </w:p>
    <w:p>
      <w:pPr>
        <w:pStyle w:val="Subsection"/>
        <w:rPr>
          <w:i/>
        </w:rPr>
      </w:pPr>
      <w:r>
        <w:tab/>
      </w:r>
      <w:r>
        <w:tab/>
      </w:r>
      <w:r>
        <w:rPr>
          <w:i/>
        </w:rPr>
        <w:t>(General)</w:t>
      </w:r>
    </w:p>
    <w:p>
      <w:pPr>
        <w:pStyle w:val="BlankClose"/>
      </w:pPr>
    </w:p>
    <w:p>
      <w:pPr>
        <w:pStyle w:val="Heading5"/>
      </w:pPr>
      <w:bookmarkStart w:id="22" w:name="_Toc155187727"/>
      <w:r>
        <w:rPr>
          <w:rStyle w:val="CharSectno"/>
        </w:rPr>
        <w:t>14</w:t>
      </w:r>
      <w:r>
        <w:t>.</w:t>
      </w:r>
      <w:r>
        <w:tab/>
        <w:t>Regulation 142C amended</w:t>
      </w:r>
      <w:bookmarkEnd w:id="22"/>
      <w:r>
        <w:t xml:space="preserve"> </w:t>
      </w:r>
    </w:p>
    <w:p>
      <w:pPr>
        <w:pStyle w:val="Subsection"/>
        <w:keepNext/>
      </w:pPr>
      <w:r>
        <w:tab/>
      </w:r>
      <w:r>
        <w:tab/>
        <w:t>In regulation 142C(2) and (3) delete “Class 2” (2</w:t>
      </w:r>
      <w:r>
        <w:rPr>
          <w:vertAlign w:val="superscript"/>
        </w:rPr>
        <w:t>nd</w:t>
      </w:r>
      <w:r>
        <w:t xml:space="preserve"> occurrence). </w:t>
      </w:r>
    </w:p>
    <w:p>
      <w:pPr>
        <w:pStyle w:val="SectAltNote"/>
      </w:pPr>
      <w:r>
        <w:tab/>
        <w:t>Note: The heading to amended regulation 142C is to read:</w:t>
      </w:r>
    </w:p>
    <w:p>
      <w:pPr>
        <w:pStyle w:val="SectAltHeading"/>
      </w:pPr>
      <w:r>
        <w:tab/>
      </w:r>
      <w:r>
        <w:tab/>
        <w:t>Requirement to hold demolition licence to carry out Class 2 demolition work</w:t>
      </w:r>
    </w:p>
    <w:p>
      <w:pPr>
        <w:pStyle w:val="Heading5"/>
      </w:pPr>
      <w:bookmarkStart w:id="23" w:name="_Toc155187728"/>
      <w:r>
        <w:rPr>
          <w:rStyle w:val="CharSectno"/>
        </w:rPr>
        <w:lastRenderedPageBreak/>
        <w:t>15</w:t>
      </w:r>
      <w:r>
        <w:t>.</w:t>
      </w:r>
      <w:r>
        <w:tab/>
        <w:t>Regulation 225 amended</w:t>
      </w:r>
      <w:bookmarkEnd w:id="23"/>
      <w:r>
        <w:t xml:space="preserve"> </w:t>
      </w:r>
    </w:p>
    <w:p>
      <w:pPr>
        <w:pStyle w:val="Subsection"/>
      </w:pPr>
      <w:r>
        <w:tab/>
      </w:r>
      <w:r>
        <w:tab/>
        <w:t xml:space="preserve">In regulation 225(1A) in the definition of </w:t>
      </w:r>
      <w:r>
        <w:rPr>
          <w:b/>
          <w:i/>
        </w:rPr>
        <w:t>AS/NZS 1576 Parts 1 to 6</w:t>
      </w:r>
      <w:r>
        <w:t xml:space="preserve"> paragraph (b) delete “AS 1576.2:1991” and insert:</w:t>
      </w:r>
    </w:p>
    <w:p>
      <w:pPr>
        <w:pStyle w:val="BlankOpen"/>
        <w:rPr>
          <w:rStyle w:val="CharSectno"/>
        </w:rPr>
      </w:pPr>
    </w:p>
    <w:p>
      <w:pPr>
        <w:pStyle w:val="Subsection"/>
        <w:rPr>
          <w:rStyle w:val="CharSectno"/>
        </w:rPr>
      </w:pPr>
      <w:r>
        <w:rPr>
          <w:rStyle w:val="CharSectno"/>
        </w:rPr>
        <w:tab/>
      </w:r>
      <w:r>
        <w:rPr>
          <w:rStyle w:val="CharSectno"/>
        </w:rPr>
        <w:tab/>
        <w:t>AS 1576.2:2016</w:t>
      </w:r>
    </w:p>
    <w:p>
      <w:pPr>
        <w:pStyle w:val="BlankClose"/>
        <w:rPr>
          <w:rStyle w:val="CharSectno"/>
        </w:rPr>
      </w:pPr>
    </w:p>
    <w:p>
      <w:pPr>
        <w:pStyle w:val="Heading5"/>
      </w:pPr>
      <w:bookmarkStart w:id="24" w:name="_Toc155187729"/>
      <w:r>
        <w:rPr>
          <w:rStyle w:val="CharSectno"/>
        </w:rPr>
        <w:t>16</w:t>
      </w:r>
      <w:r>
        <w:t>.</w:t>
      </w:r>
      <w:r>
        <w:tab/>
        <w:t>Regulation 675TA amended</w:t>
      </w:r>
      <w:bookmarkEnd w:id="24"/>
    </w:p>
    <w:p>
      <w:pPr>
        <w:pStyle w:val="Subsection"/>
      </w:pPr>
      <w:r>
        <w:tab/>
        <w:t>(1)</w:t>
      </w:r>
      <w:r>
        <w:tab/>
        <w:t xml:space="preserve">In regulation 675TA(1) delete the definition of </w:t>
      </w:r>
      <w:r>
        <w:rPr>
          <w:b/>
          <w:i/>
        </w:rPr>
        <w:t>map coordinates</w:t>
      </w:r>
      <w:r>
        <w:t>.</w:t>
      </w:r>
    </w:p>
    <w:p>
      <w:pPr>
        <w:pStyle w:val="Subsection"/>
      </w:pPr>
      <w:r>
        <w:tab/>
        <w:t>(2)</w:t>
      </w:r>
      <w:r>
        <w:tab/>
        <w:t>In regulation 675TA(1)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Geocentric Datum of Australia 2020</w:t>
      </w:r>
      <w:r>
        <w:t xml:space="preserve"> means the Reference Frame as defined in the </w:t>
      </w:r>
      <w:r>
        <w:rPr>
          <w:i/>
        </w:rPr>
        <w:t>National Measurement (Recognized</w:t>
      </w:r>
      <w:r>
        <w:rPr>
          <w:i/>
        </w:rPr>
        <w:noBreakHyphen/>
        <w:t>Value Standard of Measurement of Position) Determination 2017</w:t>
      </w:r>
      <w:r>
        <w:t xml:space="preserve"> (Commonwealth) Schedule 1;</w:t>
      </w:r>
    </w:p>
    <w:p>
      <w:pPr>
        <w:pStyle w:val="zDefstart"/>
      </w:pPr>
      <w:r>
        <w:tab/>
      </w:r>
      <w:r>
        <w:rPr>
          <w:rStyle w:val="CharDefText"/>
        </w:rPr>
        <w:t>map coordinates</w:t>
      </w:r>
      <w:r>
        <w:t xml:space="preserve"> means the Map Grid of Australia 2020 rectangular coordinates derived from a Universal Transverse Mercator projection of latitudes and longitudes based on the Geocentric Datum of Australia 2020.</w:t>
      </w:r>
    </w:p>
    <w:p>
      <w:pPr>
        <w:pStyle w:val="BlankClose"/>
      </w:pPr>
    </w:p>
    <w:p>
      <w:pPr>
        <w:pStyle w:val="Heading5"/>
      </w:pPr>
      <w:bookmarkStart w:id="25" w:name="_Toc155187730"/>
      <w:r>
        <w:rPr>
          <w:rStyle w:val="CharSectno"/>
        </w:rPr>
        <w:t>17</w:t>
      </w:r>
      <w:r>
        <w:t>.</w:t>
      </w:r>
      <w:r>
        <w:tab/>
        <w:t>Regulation 675ZZJ amended</w:t>
      </w:r>
      <w:bookmarkEnd w:id="25"/>
    </w:p>
    <w:p>
      <w:pPr>
        <w:pStyle w:val="Subsection"/>
        <w:keepNext/>
      </w:pPr>
      <w:r>
        <w:tab/>
      </w:r>
      <w:r>
        <w:tab/>
        <w:t xml:space="preserve">In regulation 675ZZJ(1)(a)(ii) delete “the national register as defined in the </w:t>
      </w:r>
      <w:r>
        <w:rPr>
          <w:i/>
        </w:rPr>
        <w:t>National Vocational Education and Training Regulator Act 2011</w:t>
      </w:r>
      <w:r>
        <w:t xml:space="preserve"> (Commonwealth) section 3;”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 xml:space="preserve">the National Register established under the </w:t>
      </w:r>
      <w:r>
        <w:rPr>
          <w:i/>
        </w:rPr>
        <w:t>National Vocational Education and Training Regulator Act 2011</w:t>
      </w:r>
      <w:r>
        <w:t xml:space="preserve"> (Commonwealth);</w:t>
      </w:r>
    </w:p>
    <w:p>
      <w:pPr>
        <w:pStyle w:val="BlankClose"/>
      </w:pPr>
    </w:p>
    <w:p>
      <w:pPr>
        <w:pStyle w:val="Heading5"/>
      </w:pPr>
      <w:bookmarkStart w:id="26" w:name="_Toc155187731"/>
      <w:r>
        <w:rPr>
          <w:rStyle w:val="CharSectno"/>
        </w:rPr>
        <w:lastRenderedPageBreak/>
        <w:t>18</w:t>
      </w:r>
      <w:r>
        <w:t>.</w:t>
      </w:r>
      <w:r>
        <w:tab/>
        <w:t>Part 11.4 heading amended</w:t>
      </w:r>
      <w:bookmarkEnd w:id="26"/>
    </w:p>
    <w:p>
      <w:pPr>
        <w:pStyle w:val="Subsection"/>
      </w:pPr>
      <w:r>
        <w:tab/>
      </w:r>
      <w:r>
        <w:tab/>
        <w:t>In the heading to Part 11.4 after “</w:t>
      </w:r>
      <w:r>
        <w:rPr>
          <w:b/>
          <w:sz w:val="26"/>
          <w:szCs w:val="26"/>
        </w:rPr>
        <w:t>provisions</w:t>
      </w:r>
      <w:r>
        <w:t>” insert:</w:t>
      </w:r>
    </w:p>
    <w:p>
      <w:pPr>
        <w:pStyle w:val="BlankOpen"/>
      </w:pPr>
    </w:p>
    <w:p>
      <w:pPr>
        <w:pStyle w:val="Subsection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for </w:t>
      </w:r>
      <w:r>
        <w:rPr>
          <w:b/>
          <w:i/>
          <w:sz w:val="26"/>
          <w:szCs w:val="26"/>
        </w:rPr>
        <w:t>Work Health and Safety (Mines) Regulations 2022</w:t>
      </w:r>
    </w:p>
    <w:p>
      <w:pPr>
        <w:pStyle w:val="BlankClose"/>
      </w:pPr>
    </w:p>
    <w:p>
      <w:pPr>
        <w:pStyle w:val="Heading5"/>
      </w:pPr>
      <w:bookmarkStart w:id="27" w:name="_Toc155187732"/>
      <w:r>
        <w:rPr>
          <w:rStyle w:val="CharSectno"/>
        </w:rPr>
        <w:t>19</w:t>
      </w:r>
      <w:r>
        <w:t>.</w:t>
      </w:r>
      <w:r>
        <w:tab/>
        <w:t>Part 11.5 inserted</w:t>
      </w:r>
      <w:bookmarkEnd w:id="27"/>
    </w:p>
    <w:p>
      <w:pPr>
        <w:pStyle w:val="Subsection"/>
      </w:pPr>
      <w:r>
        <w:tab/>
      </w:r>
      <w:r>
        <w:tab/>
        <w:t>After regulation 749 insert:</w:t>
      </w:r>
    </w:p>
    <w:p>
      <w:pPr>
        <w:pStyle w:val="BlankOpen"/>
      </w:pPr>
    </w:p>
    <w:p>
      <w:pPr>
        <w:pStyle w:val="zHeading3"/>
      </w:pPr>
      <w:bookmarkStart w:id="28" w:name="_Toc155187733"/>
      <w:r>
        <w:t xml:space="preserve">Part 11.5 — Transitional and savings provisions for </w:t>
      </w:r>
      <w:r>
        <w:rPr>
          <w:i/>
        </w:rPr>
        <w:t>Work Health and Safety Regulations Amendment Regulations (No. 2) 2023</w:t>
      </w:r>
      <w:bookmarkEnd w:id="28"/>
    </w:p>
    <w:p>
      <w:pPr>
        <w:pStyle w:val="zHeading5"/>
      </w:pPr>
      <w:bookmarkStart w:id="29" w:name="_Toc155187734"/>
      <w:r>
        <w:t>750.</w:t>
      </w:r>
      <w:r>
        <w:tab/>
        <w:t>Delayed application of Schedule 3 items 14A and 15A</w:t>
      </w:r>
      <w:bookmarkEnd w:id="29"/>
    </w:p>
    <w:p>
      <w:pPr>
        <w:pStyle w:val="zSubsection"/>
      </w:pPr>
      <w:r>
        <w:tab/>
      </w:r>
      <w:r>
        <w:tab/>
        <w:t xml:space="preserve">During the period of 2 years beginning on the day on which the </w:t>
      </w:r>
      <w:r>
        <w:rPr>
          <w:i/>
        </w:rPr>
        <w:t xml:space="preserve">Work Health and Safety Regulations Amendment Regulations (No. 2) 2023 </w:t>
      </w:r>
      <w:r>
        <w:t>regulation 19 comes into operation, Schedule 3 items 14A and 15A do not apply.</w:t>
      </w:r>
    </w:p>
    <w:p>
      <w:pPr>
        <w:pStyle w:val="BlankClose"/>
      </w:pPr>
    </w:p>
    <w:p>
      <w:pPr>
        <w:pStyle w:val="Heading5"/>
      </w:pPr>
      <w:bookmarkStart w:id="30" w:name="_Toc155187735"/>
      <w:r>
        <w:rPr>
          <w:rStyle w:val="CharSectno"/>
        </w:rPr>
        <w:t>20</w:t>
      </w:r>
      <w:r>
        <w:t>.</w:t>
      </w:r>
      <w:r>
        <w:tab/>
        <w:t>Schedule 3 amended</w:t>
      </w:r>
      <w:bookmarkEnd w:id="30"/>
    </w:p>
    <w:p>
      <w:pPr>
        <w:pStyle w:val="Subsection"/>
        <w:keepNext/>
      </w:pPr>
      <w:r>
        <w:tab/>
        <w:t>(1)</w:t>
      </w:r>
      <w:r>
        <w:tab/>
        <w:t>In Schedule 3 in Table 3.1 after item 14 insert:</w:t>
      </w:r>
    </w:p>
    <w:p>
      <w:pPr>
        <w:pStyle w:val="BlankOpe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38"/>
        <w:gridCol w:w="2353"/>
        <w:gridCol w:w="3713"/>
      </w:tblGrid>
      <w:tr>
        <w:tc>
          <w:tcPr>
            <w:tcW w:w="738" w:type="dxa"/>
            <w:noWrap/>
          </w:tcPr>
          <w:p>
            <w:pPr>
              <w:pStyle w:val="zyTableNAm"/>
            </w:pPr>
            <w:r>
              <w:t>14A.</w:t>
            </w:r>
          </w:p>
        </w:tc>
        <w:tc>
          <w:tcPr>
            <w:tcW w:w="2353" w:type="dxa"/>
            <w:noWrap/>
          </w:tcPr>
          <w:p>
            <w:pPr>
              <w:pStyle w:val="zyTableNAm"/>
            </w:pPr>
            <w:r>
              <w:t>Non</w:t>
            </w:r>
            <w:r>
              <w:noBreakHyphen/>
              <w:t>slewing mobile crane</w:t>
            </w:r>
          </w:p>
        </w:tc>
        <w:tc>
          <w:tcPr>
            <w:tcW w:w="3713" w:type="dxa"/>
            <w:noWrap/>
          </w:tcPr>
          <w:p>
            <w:pPr>
              <w:pStyle w:val="zyTableNAm"/>
            </w:pPr>
            <w:r>
              <w:t>Use of non</w:t>
            </w:r>
            <w:r>
              <w:noBreakHyphen/>
              <w:t>slewing earthmoving machinery with a safe working load greater than 3 tonnes as a crane</w:t>
            </w:r>
          </w:p>
        </w:tc>
      </w:tr>
    </w:tbl>
    <w:p>
      <w:pPr>
        <w:pStyle w:val="BlankClose"/>
      </w:pPr>
    </w:p>
    <w:p>
      <w:pPr>
        <w:pStyle w:val="Subsection"/>
        <w:keepNext/>
      </w:pPr>
      <w:r>
        <w:lastRenderedPageBreak/>
        <w:tab/>
        <w:t>(2)</w:t>
      </w:r>
      <w:r>
        <w:tab/>
        <w:t>In Schedule 3 in Table 3.1 after item 15 insert:</w:t>
      </w:r>
    </w:p>
    <w:p>
      <w:pPr>
        <w:pStyle w:val="BlankOpe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38"/>
        <w:gridCol w:w="2353"/>
        <w:gridCol w:w="3713"/>
      </w:tblGrid>
      <w:tr>
        <w:trPr>
          <w:cantSplit/>
        </w:trPr>
        <w:tc>
          <w:tcPr>
            <w:tcW w:w="738" w:type="dxa"/>
            <w:noWrap/>
          </w:tcPr>
          <w:p>
            <w:pPr>
              <w:pStyle w:val="zyTableNAm"/>
            </w:pPr>
            <w:r>
              <w:t>15A.</w:t>
            </w:r>
          </w:p>
        </w:tc>
        <w:tc>
          <w:tcPr>
            <w:tcW w:w="2353" w:type="dxa"/>
            <w:noWrap/>
          </w:tcPr>
          <w:p>
            <w:pPr>
              <w:pStyle w:val="zyTableNAm"/>
            </w:pPr>
            <w:r>
              <w:t>Slewing mobile crane — with a capacity up to 20 tonnes</w:t>
            </w:r>
          </w:p>
        </w:tc>
        <w:tc>
          <w:tcPr>
            <w:tcW w:w="3713" w:type="dxa"/>
            <w:noWrap/>
          </w:tcPr>
          <w:p>
            <w:pPr>
              <w:pStyle w:val="zyTableNAm"/>
            </w:pPr>
            <w:r>
              <w:t>Use of slewing earthmoving machinery with a safe working load greater than 3 tonnes as a crane</w:t>
            </w:r>
          </w:p>
        </w:tc>
      </w:tr>
    </w:tbl>
    <w:p>
      <w:pPr>
        <w:pStyle w:val="BlankClose"/>
      </w:pPr>
    </w:p>
    <w:p>
      <w:pPr>
        <w:pStyle w:val="Subsection"/>
      </w:pPr>
      <w:r>
        <w:tab/>
        <w:t>(3)</w:t>
      </w:r>
      <w:r>
        <w:tab/>
        <w:t>Delete Schedule 3 clause 2.</w:t>
      </w:r>
    </w:p>
    <w:p>
      <w:pPr>
        <w:pStyle w:val="Heading5"/>
      </w:pPr>
      <w:bookmarkStart w:id="31" w:name="_Toc155187736"/>
      <w:r>
        <w:rPr>
          <w:rStyle w:val="CharSectno"/>
        </w:rPr>
        <w:t>21</w:t>
      </w:r>
      <w:r>
        <w:t>.</w:t>
      </w:r>
      <w:r>
        <w:tab/>
        <w:t>Schedule 27 clause 6 amended</w:t>
      </w:r>
      <w:bookmarkEnd w:id="31"/>
    </w:p>
    <w:p>
      <w:pPr>
        <w:pStyle w:val="Subsection"/>
      </w:pPr>
      <w:r>
        <w:tab/>
        <w:t>(1)</w:t>
      </w:r>
      <w:r>
        <w:tab/>
        <w:t>Delete Schedule 27 clause 6(1).</w:t>
      </w:r>
    </w:p>
    <w:p>
      <w:pPr>
        <w:pStyle w:val="Subsection"/>
      </w:pPr>
      <w:r>
        <w:tab/>
        <w:t>(2)</w:t>
      </w:r>
      <w:r>
        <w:tab/>
        <w:t>Delete Schedule 27 clause 6(2)(d)(i) and insert:</w:t>
      </w:r>
    </w:p>
    <w:p>
      <w:pPr>
        <w:pStyle w:val="BlankOpen"/>
      </w:pPr>
    </w:p>
    <w:p>
      <w:pPr>
        <w:pStyle w:val="zyIndenti"/>
      </w:pPr>
      <w:r>
        <w:tab/>
        <w:t>(i)</w:t>
      </w:r>
      <w:r>
        <w:tab/>
        <w:t>carrying out mine transport and services in relation to quarry operations for at least 3 months; and</w:t>
      </w:r>
    </w:p>
    <w:p>
      <w:pPr>
        <w:pStyle w:val="zyIndenti"/>
        <w:keepNext/>
      </w:pPr>
      <w:r>
        <w:tab/>
        <w:t>(ia)</w:t>
      </w:r>
      <w:r>
        <w:tab/>
        <w:t>if the person will work at a mine where drilling and use of explosives is carried out at the mine — carrying out drilling and use of explosives in relation to quarry operations for at least 3 months; and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EAB80F4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2C614D4D" w14:textId="74DBFA2D" w:rsidR="008C08F1" w:rsidRDefault="008C08F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BDF4F1A" w14:textId="77777777" w:rsidR="008C08F1" w:rsidRDefault="008C08F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0EA60E7" w14:textId="380397C0" w:rsidR="008C08F1" w:rsidRDefault="008C08F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A944A32" w14:textId="77777777" w:rsidR="008C08F1" w:rsidRDefault="008C08F1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2" w:name="Coversheet"/>
    <w:bookmarkEnd w:id="3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 Health and Safety Regulations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 Health and Safety Regulations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 Health and Safety Regulations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 Health and Safety Regulations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8"/>
  </w:num>
  <w:num w:numId="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434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62012155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620121553_GUID" w:val="b9a4ab4f-7edf-4af6-a9ac-4ff91a473b27"/>
    <w:docVar w:name="WAFER_2023070308484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703084842_GUID" w:val="665031e0-0cae-4453-af63-edb3dfca6276"/>
    <w:docVar w:name="WAFER_2023080712032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07120327_GUID" w:val="e4ba21f8-5f62-4234-9046-8d4bd56b39b3"/>
    <w:docVar w:name="WAFER_2024010313434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4347_GUID" w:val="5d324534-4221-4854-bb1c-f7a143e329d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4EE92D36-2B70-4AEA-925E-97780B3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2711-A4DE-4118-85FB-64C7598C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1343</Words>
  <Characters>6909</Characters>
  <Application>Microsoft Office Word</Application>
  <DocSecurity>0</DocSecurity>
  <Lines>300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Regulations Amendment Regulations (No. 2) 2023 - 00-00-01</dc:title>
  <dc:subject/>
  <dc:creator/>
  <cp:keywords/>
  <dc:description/>
  <cp:lastModifiedBy>Master Repository Process</cp:lastModifiedBy>
  <cp:revision>4</cp:revision>
  <cp:lastPrinted>2023-06-21T03:03:00Z</cp:lastPrinted>
  <dcterms:created xsi:type="dcterms:W3CDTF">2024-01-03T07:21:00Z</dcterms:created>
  <dcterms:modified xsi:type="dcterms:W3CDTF">2024-01-03T07:21:00Z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54063</vt:lpwstr>
  </property>
  <property fmtid="{D5CDD505-2E9C-101B-9397-08002B2CF9AE}" pid="3" name="DocumentType">
    <vt:lpwstr>Reg</vt:lpwstr>
  </property>
  <property fmtid="{D5CDD505-2E9C-101B-9397-08002B2CF9AE}" pid="4" name="AsAtDate">
    <vt:lpwstr>09 Aug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2023/134</vt:lpwstr>
  </property>
  <property fmtid="{D5CDD505-2E9C-101B-9397-08002B2CF9AE}" pid="8" name="PublishDate">
    <vt:lpwstr>9 Aug 2023</vt:lpwstr>
  </property>
  <property fmtid="{D5CDD505-2E9C-101B-9397-08002B2CF9AE}" pid="9" name="CommencementDate">
    <vt:lpwstr>20230809</vt:lpwstr>
  </property>
  <property fmtid="{D5CDD505-2E9C-101B-9397-08002B2CF9AE}" pid="10" name="CommencementAsAt">
    <vt:filetime>2023-08-08T16:00:00Z</vt:filetime>
  </property>
  <property fmtid="{D5CDD505-2E9C-101B-9397-08002B2CF9AE}" pid="11" name="CommencementYear">
    <vt:lpwstr>2023</vt:lpwstr>
  </property>
</Properties>
</file>