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Workers’ Compensation and Injury Management Act 1981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Amendment Regulations (No. 3)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Amendment Regulations (No. 3)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_Toc155187797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_Toc155187798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_Toc155187799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66A amended</w:t>
      </w:r>
      <w:r>
        <w:tab/>
      </w:r>
      <w:r>
        <w:fldChar w:fldCharType="begin"/>
      </w:r>
      <w:r>
        <w:instrText xml:space="preserve"> PAGEREF _Toc155187800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Workers’ Compensation and Injury Management Act 1981</w:t>
      </w:r>
    </w:p>
    <w:p>
      <w:pPr>
        <w:pStyle w:val="NameofActReg"/>
      </w:pPr>
      <w:r>
        <w:t>Workers’ Compensation and Injury Management Amendment Regulations (No. 3)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79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Workers’ Compensation and Injury Management Amendment Regulations (No. 3) 2023</w:t>
      </w:r>
      <w:r>
        <w:t>.</w:t>
      </w:r>
    </w:p>
    <w:p>
      <w:pPr>
        <w:pStyle w:val="Heading5"/>
        <w:rPr>
          <w:spacing w:val="-2"/>
        </w:rPr>
      </w:pPr>
      <w:bookmarkStart w:id="5" w:name="_Toc1551877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79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Workers’ Compensation and Injury Management Regulations 1982</w:t>
      </w:r>
      <w:r>
        <w:t>.</w:t>
      </w:r>
    </w:p>
    <w:p>
      <w:pPr>
        <w:pStyle w:val="Heading5"/>
      </w:pPr>
      <w:bookmarkStart w:id="7" w:name="_Toc155187800"/>
      <w:r>
        <w:rPr>
          <w:rStyle w:val="CharSectno"/>
        </w:rPr>
        <w:lastRenderedPageBreak/>
        <w:t>4</w:t>
      </w:r>
      <w:r>
        <w:t>.</w:t>
      </w:r>
      <w:r>
        <w:tab/>
        <w:t>Regulation 66A amended</w:t>
      </w:r>
      <w:bookmarkEnd w:id="7"/>
    </w:p>
    <w:p>
      <w:pPr>
        <w:pStyle w:val="Subsection"/>
        <w:keepNext/>
      </w:pPr>
      <w:r>
        <w:tab/>
      </w:r>
      <w:r>
        <w:tab/>
        <w:t>In regulation 66A delete the Table and insert:</w:t>
      </w:r>
    </w:p>
    <w:p>
      <w:pPr>
        <w:pStyle w:val="BlankOpen"/>
      </w:pPr>
    </w:p>
    <w:p>
      <w:pPr>
        <w:pStyle w:val="z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>
        <w:trPr>
          <w:cantSplit/>
          <w:tblHeader/>
        </w:trPr>
        <w:tc>
          <w:tcPr>
            <w:tcW w:w="3033" w:type="dxa"/>
            <w:noWrap/>
          </w:tcPr>
          <w:p>
            <w:pPr>
              <w:pStyle w:val="z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zTableNAm"/>
              <w:jc w:val="center"/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3034" w:type="dxa"/>
            <w:noWrap/>
          </w:tcPr>
          <w:p>
            <w:pPr>
              <w:pStyle w:val="z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zTableNAm"/>
              <w:jc w:val="center"/>
              <w:rPr>
                <w:b/>
              </w:rPr>
            </w:pPr>
            <w:r>
              <w:rPr>
                <w:b/>
              </w:rPr>
              <w:t>Qualifying period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Malignant mesothelioma</w:t>
            </w:r>
          </w:p>
        </w:tc>
        <w:tc>
          <w:tcPr>
            <w:tcW w:w="3034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15 years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Primary site cervical cancer</w:t>
            </w:r>
          </w:p>
        </w:tc>
        <w:tc>
          <w:tcPr>
            <w:tcW w:w="3034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10 years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Primary site lung cancer</w:t>
            </w:r>
          </w:p>
        </w:tc>
        <w:tc>
          <w:tcPr>
            <w:tcW w:w="3034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15 years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Primary site ovarian cancer</w:t>
            </w:r>
          </w:p>
        </w:tc>
        <w:tc>
          <w:tcPr>
            <w:tcW w:w="3034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10 years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Primary site pancreatic cancer</w:t>
            </w:r>
          </w:p>
        </w:tc>
        <w:tc>
          <w:tcPr>
            <w:tcW w:w="3034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10 years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Primary site penile cancer</w:t>
            </w:r>
          </w:p>
        </w:tc>
        <w:tc>
          <w:tcPr>
            <w:tcW w:w="3034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15 years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Primary site skin cancer</w:t>
            </w:r>
          </w:p>
        </w:tc>
        <w:tc>
          <w:tcPr>
            <w:tcW w:w="3034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15 years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Primary site thyroid cancer</w:t>
            </w:r>
          </w:p>
        </w:tc>
        <w:tc>
          <w:tcPr>
            <w:tcW w:w="3034" w:type="dxa"/>
            <w:noWrap/>
          </w:tcPr>
          <w:p>
            <w:pPr>
              <w:pStyle w:val="zTableNAm"/>
              <w:rPr>
                <w:szCs w:val="24"/>
              </w:rPr>
            </w:pPr>
            <w:r>
              <w:rPr>
                <w:szCs w:val="24"/>
              </w:rPr>
              <w:t>10 years</w:t>
            </w:r>
          </w:p>
        </w:tc>
      </w:tr>
    </w:tbl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 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DC32F55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95C58B9" w14:textId="1AE9FF9C" w:rsidR="004C6E04" w:rsidRDefault="004C6E0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6C453D3" w14:textId="77777777" w:rsidR="004C6E04" w:rsidRDefault="004C6E0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4D09C59" w14:textId="295BEDB8" w:rsidR="004C6E04" w:rsidRDefault="004C6E0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20ABBE0" w14:textId="77777777" w:rsidR="004C6E04" w:rsidRDefault="004C6E04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441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72113142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21131425_GUID" w:val="2647c985-e3f5-4482-92f4-5b9a820e8743"/>
    <w:docVar w:name="WAFER_202307261600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26160046_GUID" w:val="c60a41ae-bf05-4e5f-abd5-4561f70fc822"/>
    <w:docVar w:name="WAFER_202308051518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51803_GUID" w:val="7ac02d56-eb6a-44a3-9549-5006b399d1cf"/>
    <w:docVar w:name="WAFER_2024010313441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4411_GUID" w:val="63fca307-cf48-4372-a52c-925782a0d1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DACF730D-4266-488E-A46C-1AA8FF41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D6E5-81C3-4D46-BA37-824E983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1703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Amendment Regulations (No. 3)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2024-01-03T07:23:00Z</dcterms:created>
  <dcterms:modified xsi:type="dcterms:W3CDTF">2024-01-03T07:23:00Z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54429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2023/123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