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_Toc154743782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_Toc154743783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_Toc154743784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_Toc154743785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5.</w:t>
      </w:r>
      <w:r>
        <w:tab/>
        <w:t>Agreement and variation ratified and implementation authorised</w:t>
      </w:r>
      <w:r>
        <w:tab/>
      </w:r>
      <w:r>
        <w:fldChar w:fldCharType="begin"/>
      </w:r>
      <w:r>
        <w:instrText xml:space="preserve"> PAGEREF _Toc154743787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Use of reserve under the </w:t>
      </w:r>
      <w:r>
        <w:rPr>
          <w:i/>
        </w:rPr>
        <w:t>Land Administration Act 1997</w:t>
      </w:r>
    </w:p>
    <w:p>
      <w:pPr>
        <w:pStyle w:val="TOC8"/>
        <w:rPr>
          <w:rFonts w:asciiTheme="minorHAnsi" w:eastAsiaTheme="minorEastAsia" w:hAnsiTheme="minorHAnsi" w:cstheme="minorBidi"/>
          <w:szCs w:val="22"/>
        </w:rPr>
      </w:pPr>
      <w:r>
        <w:t>6.</w:t>
      </w:r>
      <w:r>
        <w:tab/>
        <w:t>Leasing parts of reserve</w:t>
      </w:r>
      <w:r>
        <w:tab/>
      </w:r>
      <w:r>
        <w:fldChar w:fldCharType="begin"/>
      </w:r>
      <w:r>
        <w:instrText xml:space="preserve"> PAGEREF _Toc154743789 \h </w:instrText>
      </w:r>
      <w:r>
        <w:fldChar w:fldCharType="separate"/>
      </w:r>
      <w:r>
        <w:t>5</w:t>
      </w:r>
      <w:r>
        <w:fldChar w:fldCharType="end"/>
      </w:r>
    </w:p>
    <w:p>
      <w:pPr>
        <w:pStyle w:val="TOC8"/>
        <w:rPr>
          <w:rFonts w:asciiTheme="minorHAnsi" w:eastAsiaTheme="minorEastAsia" w:hAnsiTheme="minorHAnsi" w:cstheme="minorBidi"/>
          <w:szCs w:val="22"/>
        </w:rPr>
      </w:pPr>
      <w:r>
        <w:t>7.</w:t>
      </w:r>
      <w:r>
        <w:tab/>
        <w:t>Licences affecting reserve</w:t>
      </w:r>
      <w:r>
        <w:tab/>
      </w:r>
      <w:r>
        <w:fldChar w:fldCharType="begin"/>
      </w:r>
      <w:r>
        <w:instrText xml:space="preserve"> PAGEREF _Toc154743790 \h </w:instrText>
      </w:r>
      <w:r>
        <w:fldChar w:fldCharType="separate"/>
      </w:r>
      <w:r>
        <w:t>7</w:t>
      </w:r>
      <w:r>
        <w:fldChar w:fldCharType="end"/>
      </w:r>
    </w:p>
    <w:p>
      <w:pPr>
        <w:pStyle w:val="TOC8"/>
        <w:rPr>
          <w:rFonts w:asciiTheme="minorHAnsi" w:eastAsiaTheme="minorEastAsia" w:hAnsiTheme="minorHAnsi" w:cstheme="minorBidi"/>
          <w:szCs w:val="22"/>
        </w:rPr>
      </w:pPr>
      <w:r>
        <w:t>8.</w:t>
      </w:r>
      <w:r>
        <w:tab/>
        <w:t>Easements affecting reserve</w:t>
      </w:r>
      <w:r>
        <w:tab/>
      </w:r>
      <w:r>
        <w:fldChar w:fldCharType="begin"/>
      </w:r>
      <w:r>
        <w:instrText xml:space="preserve"> PAGEREF _Toc154743791 \h </w:instrText>
      </w:r>
      <w:r>
        <w:fldChar w:fldCharType="separate"/>
      </w:r>
      <w:r>
        <w:t>8</w:t>
      </w:r>
      <w:r>
        <w:fldChar w:fldCharType="end"/>
      </w:r>
    </w:p>
    <w:p>
      <w:pPr>
        <w:pStyle w:val="TOC8"/>
        <w:rPr>
          <w:rFonts w:asciiTheme="minorHAnsi" w:eastAsiaTheme="minorEastAsia" w:hAnsiTheme="minorHAnsi" w:cstheme="minorBidi"/>
          <w:szCs w:val="22"/>
        </w:rPr>
      </w:pPr>
      <w:r>
        <w:t>9.</w:t>
      </w:r>
      <w:r>
        <w:tab/>
        <w:t>No more than 332 ha in total of uncleared land to be subject of leases, licences or easements</w:t>
      </w:r>
      <w:r>
        <w:tab/>
      </w:r>
      <w:r>
        <w:fldChar w:fldCharType="begin"/>
      </w:r>
      <w:r>
        <w:instrText xml:space="preserve"> PAGEREF _Toc154743792 \h </w:instrText>
      </w:r>
      <w:r>
        <w:fldChar w:fldCharType="separate"/>
      </w:r>
      <w:r>
        <w:t>10</w:t>
      </w:r>
      <w:r>
        <w:fldChar w:fldCharType="end"/>
      </w:r>
    </w:p>
    <w:p>
      <w:pPr>
        <w:pStyle w:val="TOC8"/>
        <w:rPr>
          <w:rFonts w:asciiTheme="minorHAnsi" w:eastAsiaTheme="minorEastAsia" w:hAnsiTheme="minorHAnsi" w:cstheme="minorBidi"/>
          <w:szCs w:val="22"/>
        </w:rPr>
      </w:pPr>
      <w:r>
        <w:t>10.</w:t>
      </w:r>
      <w:r>
        <w:tab/>
        <w:t>Status and purposes of reserve not affected</w:t>
      </w:r>
      <w:r>
        <w:tab/>
      </w:r>
      <w:r>
        <w:fldChar w:fldCharType="begin"/>
      </w:r>
      <w:r>
        <w:instrText xml:space="preserve"> PAGEREF _Toc154743793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Conveyance and underground disposal of carbon dioxide</w:t>
      </w:r>
    </w:p>
    <w:p>
      <w:pPr>
        <w:pStyle w:val="TOC8"/>
        <w:rPr>
          <w:rFonts w:asciiTheme="minorHAnsi" w:eastAsiaTheme="minorEastAsia" w:hAnsiTheme="minorHAnsi" w:cstheme="minorBidi"/>
          <w:szCs w:val="22"/>
        </w:rPr>
      </w:pPr>
      <w:r>
        <w:t>11.</w:t>
      </w:r>
      <w:r>
        <w:tab/>
      </w:r>
      <w:r>
        <w:rPr>
          <w:i/>
        </w:rPr>
        <w:t>Petroleum Pipelines Act 1969</w:t>
      </w:r>
      <w:r>
        <w:t xml:space="preserve"> applies to pipelines on Barrow Island for conveyance of carbon dioxide</w:t>
      </w:r>
      <w:r>
        <w:tab/>
      </w:r>
      <w:r>
        <w:fldChar w:fldCharType="begin"/>
      </w:r>
      <w:r>
        <w:instrText xml:space="preserve"> PAGEREF _Toc154743795 \h </w:instrText>
      </w:r>
      <w:r>
        <w:fldChar w:fldCharType="separate"/>
      </w:r>
      <w:r>
        <w:t>11</w:t>
      </w:r>
      <w:r>
        <w:fldChar w:fldCharType="end"/>
      </w:r>
    </w:p>
    <w:p>
      <w:pPr>
        <w:pStyle w:val="TOC8"/>
        <w:rPr>
          <w:rFonts w:asciiTheme="minorHAnsi" w:eastAsiaTheme="minorEastAsia" w:hAnsiTheme="minorHAnsi" w:cstheme="minorBidi"/>
          <w:szCs w:val="22"/>
        </w:rPr>
      </w:pPr>
      <w:r>
        <w:t>13.</w:t>
      </w:r>
      <w:r>
        <w:tab/>
        <w:t>Disposal of carbon dioxide underground</w:t>
      </w:r>
      <w:r>
        <w:tab/>
      </w:r>
      <w:r>
        <w:fldChar w:fldCharType="begin"/>
      </w:r>
      <w:r>
        <w:instrText xml:space="preserve"> PAGEREF _Toc154743796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Indemnification by State for long</w:t>
      </w:r>
      <w:r>
        <w:noBreakHyphen/>
        <w:t>term liability resulting from underground disposal of carbon dioxide</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_Toc154743798 \h </w:instrText>
      </w:r>
      <w:r>
        <w:fldChar w:fldCharType="separate"/>
      </w:r>
      <w:r>
        <w:t>14</w:t>
      </w:r>
      <w:r>
        <w:fldChar w:fldCharType="end"/>
      </w:r>
    </w:p>
    <w:p>
      <w:pPr>
        <w:pStyle w:val="TOC8"/>
        <w:rPr>
          <w:rFonts w:asciiTheme="minorHAnsi" w:eastAsiaTheme="minorEastAsia" w:hAnsiTheme="minorHAnsi" w:cstheme="minorBidi"/>
          <w:szCs w:val="22"/>
        </w:rPr>
      </w:pPr>
      <w:r>
        <w:t>14B.</w:t>
      </w:r>
      <w:r>
        <w:tab/>
        <w:t>Notice that Commonwealth representative is satisfied of certain matters</w:t>
      </w:r>
      <w:r>
        <w:tab/>
      </w:r>
      <w:r>
        <w:fldChar w:fldCharType="begin"/>
      </w:r>
      <w:r>
        <w:instrText xml:space="preserve"> PAGEREF _Toc154743799 \h </w:instrText>
      </w:r>
      <w:r>
        <w:fldChar w:fldCharType="separate"/>
      </w:r>
      <w:r>
        <w:t>17</w:t>
      </w:r>
      <w:r>
        <w:fldChar w:fldCharType="end"/>
      </w:r>
    </w:p>
    <w:p>
      <w:pPr>
        <w:pStyle w:val="TOC8"/>
        <w:rPr>
          <w:rFonts w:asciiTheme="minorHAnsi" w:eastAsiaTheme="minorEastAsia" w:hAnsiTheme="minorHAnsi" w:cstheme="minorBidi"/>
          <w:szCs w:val="22"/>
        </w:rPr>
      </w:pPr>
      <w:r>
        <w:t>14C.</w:t>
      </w:r>
      <w:r>
        <w:tab/>
        <w:t>Declaration of liability assumption date</w:t>
      </w:r>
      <w:r>
        <w:tab/>
      </w:r>
      <w:r>
        <w:fldChar w:fldCharType="begin"/>
      </w:r>
      <w:r>
        <w:instrText xml:space="preserve"> PAGEREF _Toc154743800 \h </w:instrText>
      </w:r>
      <w:r>
        <w:fldChar w:fldCharType="separate"/>
      </w:r>
      <w:r>
        <w:t>18</w:t>
      </w:r>
      <w:r>
        <w:fldChar w:fldCharType="end"/>
      </w:r>
    </w:p>
    <w:p>
      <w:pPr>
        <w:pStyle w:val="TOC8"/>
        <w:rPr>
          <w:rFonts w:asciiTheme="minorHAnsi" w:eastAsiaTheme="minorEastAsia" w:hAnsiTheme="minorHAnsi" w:cstheme="minorBidi"/>
          <w:szCs w:val="22"/>
        </w:rPr>
      </w:pPr>
      <w:r>
        <w:t>14D.</w:t>
      </w:r>
      <w:r>
        <w:tab/>
        <w:t>State to indemnify</w:t>
      </w:r>
      <w:r>
        <w:tab/>
      </w:r>
      <w:r>
        <w:fldChar w:fldCharType="begin"/>
      </w:r>
      <w:r>
        <w:instrText xml:space="preserve"> PAGEREF _Toc154743801 \h </w:instrText>
      </w:r>
      <w:r>
        <w:fldChar w:fldCharType="separate"/>
      </w:r>
      <w:r>
        <w:t>18</w:t>
      </w:r>
      <w:r>
        <w:fldChar w:fldCharType="end"/>
      </w:r>
    </w:p>
    <w:p>
      <w:pPr>
        <w:pStyle w:val="TOC8"/>
        <w:rPr>
          <w:rFonts w:asciiTheme="minorHAnsi" w:eastAsiaTheme="minorEastAsia" w:hAnsiTheme="minorHAnsi" w:cstheme="minorBidi"/>
          <w:szCs w:val="22"/>
        </w:rPr>
      </w:pPr>
      <w:r>
        <w:t>14E.</w:t>
      </w:r>
      <w:r>
        <w:tab/>
        <w:t>Payment under indemnity and appropriation</w:t>
      </w:r>
      <w:r>
        <w:tab/>
      </w:r>
      <w:r>
        <w:fldChar w:fldCharType="begin"/>
      </w:r>
      <w:r>
        <w:instrText xml:space="preserve"> PAGEREF _Toc154743802 \h </w:instrText>
      </w:r>
      <w:r>
        <w:fldChar w:fldCharType="separate"/>
      </w:r>
      <w:r>
        <w:t>19</w:t>
      </w:r>
      <w:r>
        <w:fldChar w:fldCharType="end"/>
      </w:r>
    </w:p>
    <w:p>
      <w:pPr>
        <w:pStyle w:val="TOC8"/>
        <w:rPr>
          <w:rFonts w:asciiTheme="minorHAnsi" w:eastAsiaTheme="minorEastAsia" w:hAnsiTheme="minorHAnsi" w:cstheme="minorBidi"/>
          <w:szCs w:val="22"/>
        </w:rPr>
      </w:pPr>
      <w:r>
        <w:t>14F.</w:t>
      </w:r>
      <w:r>
        <w:tab/>
        <w:t>Disclosure of information to Commonwealth representative</w:t>
      </w:r>
      <w:r>
        <w:tab/>
      </w:r>
      <w:r>
        <w:fldChar w:fldCharType="begin"/>
      </w:r>
      <w:r>
        <w:instrText xml:space="preserve"> PAGEREF _Toc154743803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14.</w:t>
      </w:r>
      <w:r>
        <w:tab/>
        <w:t>Requirement to obtain authorisations under other laws not affected</w:t>
      </w:r>
      <w:r>
        <w:tab/>
      </w:r>
      <w:r>
        <w:fldChar w:fldCharType="begin"/>
      </w:r>
      <w:r>
        <w:instrText xml:space="preserve"> PAGEREF _Toc154743805 \h </w:instrText>
      </w:r>
      <w:r>
        <w:fldChar w:fldCharType="separate"/>
      </w:r>
      <w:r>
        <w:t>20</w:t>
      </w:r>
      <w:r>
        <w:fldChar w:fldCharType="end"/>
      </w:r>
    </w:p>
    <w:p>
      <w:pPr>
        <w:pStyle w:val="TOC8"/>
        <w:rPr>
          <w:rFonts w:asciiTheme="minorHAnsi" w:eastAsiaTheme="minorEastAsia" w:hAnsiTheme="minorHAnsi" w:cstheme="minorBidi"/>
          <w:szCs w:val="22"/>
        </w:rPr>
      </w:pPr>
      <w:r>
        <w:t>15.</w:t>
      </w:r>
      <w:r>
        <w:tab/>
        <w:t>Limitations on gas processing projects on Barrow Island</w:t>
      </w:r>
      <w:r>
        <w:tab/>
      </w:r>
      <w:r>
        <w:fldChar w:fldCharType="begin"/>
      </w:r>
      <w:r>
        <w:instrText xml:space="preserve"> PAGEREF _Toc154743806 \h </w:instrText>
      </w:r>
      <w:r>
        <w:fldChar w:fldCharType="separate"/>
      </w:r>
      <w:r>
        <w:t>20</w:t>
      </w:r>
      <w:r>
        <w:fldChar w:fldCharType="end"/>
      </w:r>
    </w:p>
    <w:p>
      <w:pPr>
        <w:pStyle w:val="TOC8"/>
        <w:rPr>
          <w:rFonts w:asciiTheme="minorHAnsi" w:eastAsiaTheme="minorEastAsia" w:hAnsiTheme="minorHAnsi" w:cstheme="minorBidi"/>
          <w:szCs w:val="22"/>
        </w:rPr>
      </w:pPr>
      <w:r>
        <w:t>16.</w:t>
      </w:r>
      <w:r>
        <w:tab/>
        <w:t>Land used for gas processing project purpose is rateable land</w:t>
      </w:r>
      <w:r>
        <w:tab/>
      </w:r>
      <w:r>
        <w:fldChar w:fldCharType="begin"/>
      </w:r>
      <w:r>
        <w:instrText xml:space="preserve"> PAGEREF _Toc154743807 \h </w:instrText>
      </w:r>
      <w:r>
        <w:fldChar w:fldCharType="separate"/>
      </w:r>
      <w:r>
        <w:t>21</w:t>
      </w:r>
      <w:r>
        <w:fldChar w:fldCharType="end"/>
      </w:r>
    </w:p>
    <w:p>
      <w:pPr>
        <w:pStyle w:val="TOC8"/>
        <w:rPr>
          <w:rFonts w:asciiTheme="minorHAnsi" w:eastAsiaTheme="minorEastAsia" w:hAnsiTheme="minorHAnsi" w:cstheme="minorBidi"/>
          <w:szCs w:val="22"/>
        </w:rPr>
      </w:pPr>
      <w:r>
        <w:t>17A.</w:t>
      </w:r>
      <w:r>
        <w:tab/>
        <w:t>Protection from liability for wrongdoing</w:t>
      </w:r>
      <w:r>
        <w:tab/>
      </w:r>
      <w:r>
        <w:fldChar w:fldCharType="begin"/>
      </w:r>
      <w:r>
        <w:instrText xml:space="preserve"> PAGEREF _Toc154743808 \h </w:instrText>
      </w:r>
      <w:r>
        <w:fldChar w:fldCharType="separate"/>
      </w:r>
      <w:r>
        <w:t>21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_Toc154743809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 on cessation of Agreement</w:t>
      </w:r>
      <w:r>
        <w:tab/>
      </w:r>
      <w:r>
        <w:fldChar w:fldCharType="begin"/>
      </w:r>
      <w:r>
        <w:instrText xml:space="preserve"> PAGEREF _Toc154743810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Gorgon Gas Processing and Infrastructure Project Agreement</w:t>
      </w:r>
    </w:p>
    <w:p>
      <w:pPr>
        <w:pStyle w:val="TOC2"/>
        <w:tabs>
          <w:tab w:val="right" w:leader="dot" w:pos="7077"/>
        </w:tabs>
        <w:rPr>
          <w:rFonts w:asciiTheme="minorHAnsi" w:eastAsiaTheme="minorEastAsia" w:hAnsiTheme="minorHAnsi" w:cstheme="minorBidi"/>
          <w:b w:val="0"/>
          <w:sz w:val="22"/>
          <w:szCs w:val="22"/>
        </w:rPr>
      </w:pPr>
      <w:r>
        <w:t>Schedule 2 — 2013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_Toc154743814 \h </w:instrText>
      </w:r>
      <w:r>
        <w:fldChar w:fldCharType="separate"/>
      </w:r>
      <w:r>
        <w:t>75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_Toc154743815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No. 24 of 2013 s. 4.]</w:t>
      </w:r>
    </w:p>
    <w:p>
      <w:pPr>
        <w:pStyle w:val="Heading2"/>
      </w:pPr>
      <w:bookmarkStart w:id="4" w:name="_Toc154743781"/>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rPr>
          <w:snapToGrid w:val="0"/>
        </w:rPr>
      </w:pPr>
      <w:bookmarkStart w:id="5" w:name="_Toc154743782"/>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6" w:name="_Toc154743783"/>
      <w:r>
        <w:rPr>
          <w:rStyle w:val="CharSectno"/>
        </w:rPr>
        <w:t>2</w:t>
      </w:r>
      <w:r>
        <w:rPr>
          <w:snapToGrid w:val="0"/>
        </w:rPr>
        <w:t>.</w:t>
      </w:r>
      <w:r>
        <w:rPr>
          <w:snapToGrid w:val="0"/>
        </w:rPr>
        <w:tab/>
        <w:t>Commencement</w:t>
      </w:r>
      <w:bookmarkEnd w:id="6"/>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No. 13 of 2005 s. 48(2).]</w:t>
      </w:r>
    </w:p>
    <w:p>
      <w:pPr>
        <w:pStyle w:val="Heading5"/>
        <w:rPr>
          <w:snapToGrid w:val="0"/>
        </w:rPr>
      </w:pPr>
      <w:bookmarkStart w:id="7" w:name="_Toc154743784"/>
      <w:r>
        <w:rPr>
          <w:rStyle w:val="CharSectno"/>
        </w:rPr>
        <w:t>3</w:t>
      </w:r>
      <w:r>
        <w:rPr>
          <w:snapToGrid w:val="0"/>
        </w:rPr>
        <w:t>.</w:t>
      </w:r>
      <w:r>
        <w:rPr>
          <w:snapToGrid w:val="0"/>
        </w:rPr>
        <w:tab/>
        <w:t>Terms used</w:t>
      </w:r>
      <w:bookmarkEnd w:id="7"/>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 for this definition: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lastRenderedPageBreak/>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 No. 24 of 2013 s. 5.]</w:t>
      </w:r>
    </w:p>
    <w:p>
      <w:pPr>
        <w:pStyle w:val="Heading5"/>
      </w:pPr>
      <w:bookmarkStart w:id="8" w:name="_Toc154743785"/>
      <w:r>
        <w:rPr>
          <w:rStyle w:val="CharSectno"/>
        </w:rPr>
        <w:t>4</w:t>
      </w:r>
      <w:r>
        <w:t>.</w:t>
      </w:r>
      <w:r>
        <w:tab/>
        <w:t>Notes not part of Act</w:t>
      </w:r>
      <w:bookmarkEnd w:id="8"/>
    </w:p>
    <w:p>
      <w:pPr>
        <w:pStyle w:val="Subsection"/>
      </w:pPr>
      <w:r>
        <w:tab/>
      </w:r>
      <w:r>
        <w:tab/>
        <w:t>Notes in this Act are provided to assist understanding and do not form part of the Act.</w:t>
      </w:r>
    </w:p>
    <w:p>
      <w:pPr>
        <w:pStyle w:val="Heading2"/>
      </w:pPr>
      <w:bookmarkStart w:id="9" w:name="_Toc154743786"/>
      <w:r>
        <w:rPr>
          <w:rStyle w:val="CharPartNo"/>
        </w:rPr>
        <w:lastRenderedPageBreak/>
        <w:t>Part 2</w:t>
      </w:r>
      <w:r>
        <w:rPr>
          <w:rStyle w:val="CharDivNo"/>
        </w:rPr>
        <w:t> </w:t>
      </w:r>
      <w:r>
        <w:t>—</w:t>
      </w:r>
      <w:r>
        <w:rPr>
          <w:rStyle w:val="CharDivText"/>
        </w:rPr>
        <w:t> </w:t>
      </w:r>
      <w:r>
        <w:rPr>
          <w:rStyle w:val="CharPartText"/>
        </w:rPr>
        <w:t>Ratification of Agreement</w:t>
      </w:r>
      <w:bookmarkEnd w:id="9"/>
    </w:p>
    <w:p>
      <w:pPr>
        <w:pStyle w:val="Heading5"/>
      </w:pPr>
      <w:bookmarkStart w:id="10" w:name="_Toc154743787"/>
      <w:r>
        <w:rPr>
          <w:rStyle w:val="CharSectno"/>
        </w:rPr>
        <w:t>5</w:t>
      </w:r>
      <w:r>
        <w:t>.</w:t>
      </w:r>
      <w:r>
        <w:tab/>
        <w:t>Agreement and variation ratified and implementation authorised</w:t>
      </w:r>
      <w:bookmarkEnd w:id="10"/>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No. 24 of 2013 s. 6.]</w:t>
      </w:r>
    </w:p>
    <w:p>
      <w:pPr>
        <w:pStyle w:val="Heading2"/>
      </w:pPr>
      <w:bookmarkStart w:id="11" w:name="_Toc154743788"/>
      <w:r>
        <w:rPr>
          <w:rStyle w:val="CharPartNo"/>
        </w:rPr>
        <w:lastRenderedPageBreak/>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11"/>
    </w:p>
    <w:p>
      <w:pPr>
        <w:pStyle w:val="Heading5"/>
      </w:pPr>
      <w:bookmarkStart w:id="12" w:name="_Toc154743789"/>
      <w:r>
        <w:rPr>
          <w:rStyle w:val="CharSectno"/>
        </w:rPr>
        <w:t>6</w:t>
      </w:r>
      <w:r>
        <w:t>.</w:t>
      </w:r>
      <w:r>
        <w:tab/>
        <w:t>Leasing parts of reserve</w:t>
      </w:r>
      <w:bookmarkEnd w:id="12"/>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lastRenderedPageBreak/>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 for this subsection: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and 14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Footnotesection"/>
      </w:pPr>
      <w:r>
        <w:tab/>
        <w:t>[Section 6 amended: No. 4 of 2023 s. 103.]</w:t>
      </w:r>
    </w:p>
    <w:p>
      <w:pPr>
        <w:pStyle w:val="Heading5"/>
        <w:pageBreakBefore/>
        <w:spacing w:before="0"/>
      </w:pPr>
      <w:bookmarkStart w:id="13" w:name="_Toc154743790"/>
      <w:r>
        <w:rPr>
          <w:rStyle w:val="CharSectno"/>
        </w:rPr>
        <w:lastRenderedPageBreak/>
        <w:t>7</w:t>
      </w:r>
      <w:r>
        <w:t>.</w:t>
      </w:r>
      <w:r>
        <w:tab/>
        <w:t>Licences affecting reserve</w:t>
      </w:r>
      <w:bookmarkEnd w:id="13"/>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lastRenderedPageBreak/>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No. 35 of 2007 s. 90.]</w:t>
      </w:r>
    </w:p>
    <w:p>
      <w:pPr>
        <w:pStyle w:val="Heading5"/>
      </w:pPr>
      <w:bookmarkStart w:id="14" w:name="_Toc154743791"/>
      <w:r>
        <w:rPr>
          <w:rStyle w:val="CharSectno"/>
        </w:rPr>
        <w:t>8</w:t>
      </w:r>
      <w:r>
        <w:t>.</w:t>
      </w:r>
      <w:r>
        <w:tab/>
        <w:t>Easements affecting reserve</w:t>
      </w:r>
      <w:bookmarkEnd w:id="14"/>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lastRenderedPageBreak/>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Footnotesection"/>
      </w:pPr>
      <w:r>
        <w:tab/>
        <w:t>[Section 8 amended: No. 4 of 2023 s. 104.]</w:t>
      </w:r>
    </w:p>
    <w:p>
      <w:pPr>
        <w:pStyle w:val="Heading5"/>
      </w:pPr>
      <w:bookmarkStart w:id="15" w:name="_Toc154743792"/>
      <w:r>
        <w:rPr>
          <w:rStyle w:val="CharSectno"/>
        </w:rPr>
        <w:lastRenderedPageBreak/>
        <w:t>9</w:t>
      </w:r>
      <w:r>
        <w:t>.</w:t>
      </w:r>
      <w:r>
        <w:tab/>
        <w:t>No more than 332 ha in total of uncleared land to be subject of leases, licences or easements</w:t>
      </w:r>
      <w:bookmarkEnd w:id="15"/>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No. 24 of 2013 s. 7.]</w:t>
      </w:r>
    </w:p>
    <w:p>
      <w:pPr>
        <w:pStyle w:val="Heading5"/>
      </w:pPr>
      <w:bookmarkStart w:id="16" w:name="_Toc154743793"/>
      <w:r>
        <w:rPr>
          <w:rStyle w:val="CharSectno"/>
        </w:rPr>
        <w:t>10</w:t>
      </w:r>
      <w:r>
        <w:t>.</w:t>
      </w:r>
      <w:r>
        <w:tab/>
        <w:t>Status and purposes of reserve not affected</w:t>
      </w:r>
      <w:bookmarkEnd w:id="16"/>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17" w:name="_Toc154743794"/>
      <w:r>
        <w:rPr>
          <w:rStyle w:val="CharPartNo"/>
        </w:rPr>
        <w:lastRenderedPageBreak/>
        <w:t>Part 4</w:t>
      </w:r>
      <w:r>
        <w:rPr>
          <w:rStyle w:val="CharDivNo"/>
        </w:rPr>
        <w:t> </w:t>
      </w:r>
      <w:r>
        <w:t>—</w:t>
      </w:r>
      <w:r>
        <w:rPr>
          <w:rStyle w:val="CharDivText"/>
        </w:rPr>
        <w:t> </w:t>
      </w:r>
      <w:r>
        <w:rPr>
          <w:rStyle w:val="CharPartText"/>
        </w:rPr>
        <w:t>Conveyance and underground disposal of carbon dioxide</w:t>
      </w:r>
      <w:bookmarkEnd w:id="17"/>
    </w:p>
    <w:p>
      <w:pPr>
        <w:pStyle w:val="Heading5"/>
        <w:spacing w:before="240"/>
      </w:pPr>
      <w:bookmarkStart w:id="18" w:name="_Toc154743795"/>
      <w:r>
        <w:rPr>
          <w:rStyle w:val="CharSectno"/>
        </w:rPr>
        <w:t>11</w:t>
      </w:r>
      <w:r>
        <w:t>.</w:t>
      </w:r>
      <w:r>
        <w:tab/>
      </w:r>
      <w:r>
        <w:rPr>
          <w:i/>
        </w:rPr>
        <w:t>Petroleum Pipelines Act 1969</w:t>
      </w:r>
      <w:r>
        <w:t xml:space="preserve"> applies to pipelines on Barrow Island for conveyance of carbon dioxide</w:t>
      </w:r>
      <w:bookmarkEnd w:id="18"/>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 No. 13 of 2005 s. 48(3)</w:t>
      </w:r>
      <w:r>
        <w:rPr>
          <w:vertAlign w:val="superscript"/>
        </w:rPr>
        <w:t> 1</w:t>
      </w:r>
      <w:r>
        <w:t>.]</w:t>
      </w:r>
    </w:p>
    <w:p>
      <w:pPr>
        <w:pStyle w:val="Heading5"/>
        <w:spacing w:before="240"/>
      </w:pPr>
      <w:bookmarkStart w:id="19" w:name="_Toc154743796"/>
      <w:r>
        <w:rPr>
          <w:rStyle w:val="CharSectno"/>
        </w:rPr>
        <w:t>13</w:t>
      </w:r>
      <w:r>
        <w:t>.</w:t>
      </w:r>
      <w:r>
        <w:tab/>
        <w:t>Disposal of carbon dioxide underground</w:t>
      </w:r>
      <w:bookmarkEnd w:id="19"/>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 and</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 and</w:t>
      </w:r>
    </w:p>
    <w:p>
      <w:pPr>
        <w:pStyle w:val="Indenti"/>
        <w:keepLines/>
      </w:pPr>
      <w:r>
        <w:lastRenderedPageBreak/>
        <w:tab/>
        <w:t>(ii)</w:t>
      </w:r>
      <w:r>
        <w:tab/>
        <w:t>the rate of the proposed disposal of the carbon dioxide, the volume and composition of the carbon dioxide proposed to be disposed of and the expected duration of the proposed disposal; and</w:t>
      </w:r>
    </w:p>
    <w:p>
      <w:pPr>
        <w:pStyle w:val="Indenti"/>
      </w:pPr>
      <w:r>
        <w:tab/>
        <w:t>(iii)</w:t>
      </w:r>
      <w:r>
        <w:tab/>
        <w:t>the methods proposed to be used for the injection and disposal of the carbon dioxide; and</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the LA Act Minister; and</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lastRenderedPageBreak/>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the payment of money to the State; or</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20" w:name="_Toc154743797"/>
      <w:r>
        <w:rPr>
          <w:rStyle w:val="CharPartNo"/>
        </w:rPr>
        <w:lastRenderedPageBreak/>
        <w:t>Part 5A</w:t>
      </w:r>
      <w:r>
        <w:t> — </w:t>
      </w:r>
      <w:r>
        <w:rPr>
          <w:rStyle w:val="CharPartText"/>
        </w:rPr>
        <w:t>Indemnification by State for long</w:t>
      </w:r>
      <w:r>
        <w:rPr>
          <w:rStyle w:val="CharPartText"/>
        </w:rPr>
        <w:noBreakHyphen/>
        <w:t>term liability resulting from underground disposal of carbon dioxide</w:t>
      </w:r>
      <w:bookmarkEnd w:id="20"/>
    </w:p>
    <w:p>
      <w:pPr>
        <w:pStyle w:val="Footnoteheading"/>
      </w:pPr>
      <w:r>
        <w:tab/>
        <w:t>[Heading inserted: No. 13 of 2015 s. 4.]</w:t>
      </w:r>
    </w:p>
    <w:p>
      <w:pPr>
        <w:pStyle w:val="Heading5"/>
      </w:pPr>
      <w:bookmarkStart w:id="21" w:name="_Toc154743798"/>
      <w:r>
        <w:rPr>
          <w:rStyle w:val="CharSectno"/>
        </w:rPr>
        <w:t>14A</w:t>
      </w:r>
      <w:r>
        <w:t>.</w:t>
      </w:r>
      <w:r>
        <w:tab/>
        <w:t>Terms used</w:t>
      </w:r>
      <w:bookmarkEnd w:id="21"/>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lastRenderedPageBreak/>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lastRenderedPageBreak/>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lastRenderedPageBreak/>
        <w:tab/>
      </w:r>
      <w:r>
        <w:rPr>
          <w:rStyle w:val="CharDefText"/>
        </w:rPr>
        <w:t>Title Areas</w:t>
      </w:r>
      <w:r>
        <w:t xml:space="preserve"> has the meaning given in clause 1 of the Agreement.</w:t>
      </w:r>
    </w:p>
    <w:p>
      <w:pPr>
        <w:pStyle w:val="Footnotesection"/>
      </w:pPr>
      <w:r>
        <w:tab/>
        <w:t>[Section 14A inserted: No. 13 of 2015 s. 4.]</w:t>
      </w:r>
    </w:p>
    <w:p>
      <w:pPr>
        <w:pStyle w:val="Heading5"/>
      </w:pPr>
      <w:bookmarkStart w:id="22" w:name="_Toc154743799"/>
      <w:r>
        <w:rPr>
          <w:rStyle w:val="CharSectno"/>
        </w:rPr>
        <w:t>14B</w:t>
      </w:r>
      <w:r>
        <w:t>.</w:t>
      </w:r>
      <w:r>
        <w:tab/>
        <w:t>Notice that Commonwealth representative is satisfied of certain matters</w:t>
      </w:r>
      <w:bookmarkEnd w:id="22"/>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lastRenderedPageBreak/>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No. 13 of 2015 s. 4.]</w:t>
      </w:r>
    </w:p>
    <w:p>
      <w:pPr>
        <w:pStyle w:val="Heading5"/>
      </w:pPr>
      <w:bookmarkStart w:id="23" w:name="_Toc154743800"/>
      <w:r>
        <w:rPr>
          <w:rStyle w:val="CharSectno"/>
        </w:rPr>
        <w:t>14C</w:t>
      </w:r>
      <w:r>
        <w:t>.</w:t>
      </w:r>
      <w:r>
        <w:tab/>
        <w:t>Declaration of liability assumption date</w:t>
      </w:r>
      <w:bookmarkEnd w:id="23"/>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r>
        <w:tab/>
        <w:t>[Section 14C inserted: No. 13 of 2015 s. 4.]</w:t>
      </w:r>
    </w:p>
    <w:p>
      <w:pPr>
        <w:pStyle w:val="Heading5"/>
      </w:pPr>
      <w:bookmarkStart w:id="24" w:name="_Toc154743801"/>
      <w:r>
        <w:rPr>
          <w:rStyle w:val="CharSectno"/>
        </w:rPr>
        <w:t>14D</w:t>
      </w:r>
      <w:r>
        <w:t>.</w:t>
      </w:r>
      <w:r>
        <w:tab/>
        <w:t>State to indemnify</w:t>
      </w:r>
      <w:bookmarkEnd w:id="24"/>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r>
        <w:tab/>
        <w:t>[Section 14D inserted: No. 13 of 2015 s. 4.]</w:t>
      </w:r>
    </w:p>
    <w:p>
      <w:pPr>
        <w:pStyle w:val="Heading5"/>
      </w:pPr>
      <w:bookmarkStart w:id="25" w:name="_Toc154743802"/>
      <w:r>
        <w:rPr>
          <w:rStyle w:val="CharSectno"/>
        </w:rPr>
        <w:lastRenderedPageBreak/>
        <w:t>14E</w:t>
      </w:r>
      <w:r>
        <w:t>.</w:t>
      </w:r>
      <w:r>
        <w:tab/>
        <w:t>Payment under indemnity and appropriation</w:t>
      </w:r>
      <w:bookmarkEnd w:id="25"/>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r>
        <w:tab/>
        <w:t>[Section 14E inserted: No. 13 of 2015 s. 4.]</w:t>
      </w:r>
    </w:p>
    <w:p>
      <w:pPr>
        <w:pStyle w:val="Heading5"/>
      </w:pPr>
      <w:bookmarkStart w:id="26" w:name="_Toc154743803"/>
      <w:r>
        <w:rPr>
          <w:rStyle w:val="CharSectno"/>
        </w:rPr>
        <w:t>14F</w:t>
      </w:r>
      <w:r>
        <w:t>.</w:t>
      </w:r>
      <w:r>
        <w:tab/>
        <w:t>Disclosure of information to Commonwealth representative</w:t>
      </w:r>
      <w:bookmarkEnd w:id="26"/>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No. 13 of 2015 s. 4.]</w:t>
      </w:r>
    </w:p>
    <w:p>
      <w:pPr>
        <w:pStyle w:val="Heading2"/>
      </w:pPr>
      <w:bookmarkStart w:id="27" w:name="_Toc154743804"/>
      <w:r>
        <w:rPr>
          <w:rStyle w:val="CharPartNo"/>
        </w:rPr>
        <w:lastRenderedPageBreak/>
        <w:t>Part 5</w:t>
      </w:r>
      <w:r>
        <w:rPr>
          <w:rStyle w:val="CharDivNo"/>
        </w:rPr>
        <w:t> </w:t>
      </w:r>
      <w:r>
        <w:t>—</w:t>
      </w:r>
      <w:r>
        <w:rPr>
          <w:rStyle w:val="CharDivText"/>
        </w:rPr>
        <w:t> </w:t>
      </w:r>
      <w:r>
        <w:rPr>
          <w:rStyle w:val="CharPartText"/>
        </w:rPr>
        <w:t>Miscellaneous</w:t>
      </w:r>
      <w:bookmarkEnd w:id="27"/>
    </w:p>
    <w:p>
      <w:pPr>
        <w:pStyle w:val="Heading5"/>
      </w:pPr>
      <w:bookmarkStart w:id="28" w:name="_Toc154743805"/>
      <w:r>
        <w:rPr>
          <w:rStyle w:val="CharSectno"/>
        </w:rPr>
        <w:t>14</w:t>
      </w:r>
      <w:r>
        <w:t>.</w:t>
      </w:r>
      <w:r>
        <w:tab/>
        <w:t>Requirement to obtain authorisations under other laws not affected</w:t>
      </w:r>
      <w:bookmarkEnd w:id="28"/>
    </w:p>
    <w:p>
      <w:pPr>
        <w:pStyle w:val="Subsection"/>
      </w:pPr>
      <w:r>
        <w:tab/>
        <w:t>(1)</w:t>
      </w:r>
      <w:r>
        <w:tab/>
        <w:t xml:space="preserve">The grant of — </w:t>
      </w:r>
    </w:p>
    <w:p>
      <w:pPr>
        <w:pStyle w:val="Indenta"/>
      </w:pPr>
      <w:r>
        <w:tab/>
        <w:t>(a)</w:t>
      </w:r>
      <w:r>
        <w:tab/>
        <w:t>a lease referred to in section 6(1); or</w:t>
      </w:r>
    </w:p>
    <w:p>
      <w:pPr>
        <w:pStyle w:val="Indenta"/>
      </w:pPr>
      <w:r>
        <w:tab/>
        <w:t>(b)</w:t>
      </w:r>
      <w:r>
        <w:tab/>
        <w:t>a licence referred to in section 7(1); or</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29" w:name="_Toc154743806"/>
      <w:r>
        <w:rPr>
          <w:rStyle w:val="CharSectno"/>
        </w:rPr>
        <w:t>15</w:t>
      </w:r>
      <w:r>
        <w:t>.</w:t>
      </w:r>
      <w:r>
        <w:tab/>
        <w:t>Limitations on gas processing projects on Barrow Island</w:t>
      </w:r>
      <w:bookmarkEnd w:id="29"/>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30" w:name="_Toc154743807"/>
      <w:r>
        <w:rPr>
          <w:rStyle w:val="CharSectno"/>
        </w:rPr>
        <w:lastRenderedPageBreak/>
        <w:t>16</w:t>
      </w:r>
      <w:r>
        <w:t>.</w:t>
      </w:r>
      <w:r>
        <w:tab/>
        <w:t>Land used for gas processing project purpose is rateable land</w:t>
      </w:r>
      <w:bookmarkEnd w:id="30"/>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31" w:name="_Toc154743808"/>
      <w:r>
        <w:rPr>
          <w:rStyle w:val="CharSectno"/>
        </w:rPr>
        <w:t>17A</w:t>
      </w:r>
      <w:r>
        <w:t>.</w:t>
      </w:r>
      <w:r>
        <w:tab/>
        <w:t>Protection from liability for wrongdoing</w:t>
      </w:r>
      <w:bookmarkEnd w:id="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No. 13 of 2015 s. 5.]</w:t>
      </w:r>
    </w:p>
    <w:p>
      <w:pPr>
        <w:pStyle w:val="Heading5"/>
      </w:pPr>
      <w:bookmarkStart w:id="32" w:name="_Toc154743809"/>
      <w:r>
        <w:rPr>
          <w:rStyle w:val="CharSectno"/>
        </w:rPr>
        <w:t>17</w:t>
      </w:r>
      <w:r>
        <w:t>.</w:t>
      </w:r>
      <w:r>
        <w:tab/>
        <w:t>Regulations</w:t>
      </w:r>
      <w:bookmarkEnd w:id="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 w:name="_Toc154743810"/>
      <w:r>
        <w:rPr>
          <w:rStyle w:val="CharSectno"/>
        </w:rPr>
        <w:t>18</w:t>
      </w:r>
      <w:r>
        <w:t>.</w:t>
      </w:r>
      <w:r>
        <w:tab/>
        <w:t>Review of Act on cessation of Agreement</w:t>
      </w:r>
      <w:bookmarkEnd w:id="33"/>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w:t>
      </w:r>
      <w:r>
        <w:lastRenderedPageBreak/>
        <w:t xml:space="preserve">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4" w:name="_Toc154743811"/>
      <w:r>
        <w:rPr>
          <w:rStyle w:val="CharSchNo"/>
        </w:rPr>
        <w:lastRenderedPageBreak/>
        <w:t>Schedule 1</w:t>
      </w:r>
      <w:r>
        <w:t xml:space="preserve"> — </w:t>
      </w:r>
      <w:r>
        <w:rPr>
          <w:rStyle w:val="CharSchText"/>
        </w:rPr>
        <w:t>Gorgon Gas Processing and Infrastructure Project Agreement</w:t>
      </w:r>
      <w:bookmarkEnd w:id="34"/>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lastRenderedPageBreak/>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lastRenderedPageBreak/>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xml:space="preserve">” means the </w:t>
      </w:r>
      <w:r>
        <w:rPr>
          <w:i/>
        </w:rPr>
        <w:t>Conservation and Land Management Act 1984</w:t>
      </w:r>
      <w:r>
        <w:t>;</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lastRenderedPageBreak/>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xml:space="preserve">” means the </w:t>
      </w:r>
      <w:r>
        <w:rPr>
          <w:i/>
        </w:rPr>
        <w:t>Environmental Protection Act 1986</w:t>
      </w:r>
      <w:r>
        <w:t>;</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t>“</w:t>
      </w:r>
      <w:r>
        <w:rPr>
          <w:b/>
        </w:rPr>
        <w:t>LA Act</w:t>
      </w:r>
      <w:r>
        <w:t xml:space="preserve">” means the </w:t>
      </w:r>
      <w:r>
        <w:rPr>
          <w:i/>
        </w:rPr>
        <w:t>Land Administration Act 1997</w:t>
      </w:r>
      <w:r>
        <w:t>, as amended by the Ratifying Act;</w:t>
      </w:r>
    </w:p>
    <w:p>
      <w:pPr>
        <w:pStyle w:val="yMiscellaneousBody"/>
        <w:tabs>
          <w:tab w:val="left" w:pos="709"/>
        </w:tabs>
        <w:ind w:left="709" w:hanging="709"/>
      </w:pPr>
      <w:r>
        <w:tab/>
        <w:t>“</w:t>
      </w:r>
      <w:r>
        <w:rPr>
          <w:b/>
        </w:rPr>
        <w:t>laws relating to native title</w:t>
      </w:r>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t>“</w:t>
      </w:r>
      <w:r>
        <w:rPr>
          <w:b/>
        </w:rPr>
        <w:t>local government</w:t>
      </w:r>
      <w:r>
        <w:t xml:space="preserve">” means a local government established under the </w:t>
      </w:r>
      <w:r>
        <w:rPr>
          <w:i/>
        </w:rPr>
        <w:t>Local Government Act 1995</w:t>
      </w:r>
      <w:r>
        <w:t>;</w:t>
      </w:r>
    </w:p>
    <w:p>
      <w:pPr>
        <w:pStyle w:val="yMiscellaneousBody"/>
        <w:tabs>
          <w:tab w:val="left" w:pos="709"/>
        </w:tabs>
        <w:ind w:left="709" w:hanging="709"/>
      </w:pPr>
      <w:r>
        <w:lastRenderedPageBreak/>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w:t>
      </w:r>
      <w:r>
        <w:lastRenderedPageBreak/>
        <w:t xml:space="preserve">Joint Venturers under titles granted pursuant to the </w:t>
      </w:r>
      <w:r>
        <w:rPr>
          <w:i/>
        </w:rPr>
        <w:t>Petroleum (Submerged Lands) Act 1967</w:t>
      </w:r>
      <w:r>
        <w:t xml:space="preserve">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 xml:space="preserve">reference to a clause or schedule is a reference to a clause or schedule to this Agreement, and a reference to a subclause or paragraph is a reference to the subclause of the clause or paragraph of the clause or </w:t>
      </w:r>
      <w:r>
        <w:lastRenderedPageBreak/>
        <w:t>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lastRenderedPageBreak/>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w:t>
      </w:r>
      <w:r>
        <w:lastRenderedPageBreak/>
        <w:t xml:space="preserve">proposed as land to be granted in accordance with proposals under this Agreement shall be deemed to be within the expression “the owner of any land” for the purposes of section 18 of the </w:t>
      </w:r>
      <w:r>
        <w:rPr>
          <w:i/>
        </w:rPr>
        <w:t>Aboriginal Heritage Act 1972</w:t>
      </w:r>
      <w:r>
        <w:t>.</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 xml:space="preserve">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w:t>
      </w:r>
      <w:r>
        <w:lastRenderedPageBreak/>
        <w:t>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 xml:space="preserve">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w:t>
      </w:r>
      <w:r>
        <w:lastRenderedPageBreak/>
        <w:t>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lastRenderedPageBreak/>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lastRenderedPageBreak/>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ind w:firstLine="709"/>
      </w:pPr>
      <w:r>
        <w:rPr>
          <w:b/>
        </w:rPr>
        <w:lastRenderedPageBreak/>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lastRenderedPageBreak/>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lastRenderedPageBreak/>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w:t>
      </w:r>
      <w:r>
        <w:lastRenderedPageBreak/>
        <w:t xml:space="preserve">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lastRenderedPageBreak/>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lastRenderedPageBreak/>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lastRenderedPageBreak/>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keepNext/>
        <w:rPr>
          <w:b/>
        </w:rPr>
      </w:pPr>
      <w:r>
        <w:rPr>
          <w:b/>
        </w:rPr>
        <w:lastRenderedPageBreak/>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lastRenderedPageBreak/>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35" w:name="Temp"/>
      <w:bookmarkEnd w:id="35"/>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lastRenderedPageBreak/>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lastRenderedPageBreak/>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 xml:space="preserve">the BICC Participants, acting reasonably, are satisfied that the third party is capable of meeting all its commitments as a BICC </w:t>
      </w:r>
      <w:r>
        <w:lastRenderedPageBreak/>
        <w:t>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 xml:space="preserve">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w:t>
      </w:r>
      <w:r>
        <w:lastRenderedPageBreak/>
        <w:t>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 xml:space="preserve">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w:t>
      </w:r>
      <w:r>
        <w:lastRenderedPageBreak/>
        <w:t>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 xml:space="preserve">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w:t>
      </w:r>
      <w:r>
        <w:lastRenderedPageBreak/>
        <w:t>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 xml:space="preserve">granting or arranging on terms and conditions to be agreed between the State and the Joint Venturers the grant from time to time of leases, easements or licences in respect of land then used by the Joint Venturers for gas processing project purposes if so </w:t>
      </w:r>
      <w:r>
        <w:lastRenderedPageBreak/>
        <w:t>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lastRenderedPageBreak/>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 xml:space="preserve">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w:t>
      </w:r>
      <w:r>
        <w:lastRenderedPageBreak/>
        <w:t>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lastRenderedPageBreak/>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 xml:space="preserve">If the Joint Venturers make a request under subclause (7) at least 200 days before the deadline date which they are seeking </w:t>
      </w:r>
      <w:r>
        <w:lastRenderedPageBreak/>
        <w:t>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lastRenderedPageBreak/>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 xml:space="preserve">The State shall ensure after consultation with the relevant local government that the lands the subject of any leases, easements and licences granted to the Joint Venturers under this Agreement will be and remain zoned for use or otherwise </w:t>
      </w:r>
      <w:r>
        <w:lastRenderedPageBreak/>
        <w:t>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 xml:space="preserve">The parties to this Agreement may from time to time by agreement in writing add to, substitute for, cancel or vary all </w:t>
      </w:r>
      <w:r>
        <w:lastRenderedPageBreak/>
        <w:t>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 xml:space="preserve">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w:t>
      </w:r>
      <w:r>
        <w:lastRenderedPageBreak/>
        <w:t>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lastRenderedPageBreak/>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 xml:space="preserve">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w:t>
      </w:r>
      <w:r>
        <w:lastRenderedPageBreak/>
        <w:t>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lastRenderedPageBreak/>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lastRenderedPageBreak/>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rPr>
          <w:b/>
        </w:rPr>
      </w:pPr>
      <w:r>
        <w:rPr>
          <w:b/>
        </w:rPr>
        <w:lastRenderedPageBreak/>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keepNext/>
      </w:pPr>
      <w:r>
        <w:rPr>
          <w:b/>
        </w:rPr>
        <w:lastRenderedPageBreak/>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keepNext/>
        <w:keepLines/>
        <w:spacing w:before="480"/>
      </w:pPr>
      <w:r>
        <w:t>IN WITNESS WHEREOF this Agreement has been executed by or on behalf of the parties hereto the day and year first hereinbefore mentioned.</w:t>
      </w:r>
    </w:p>
    <w:p>
      <w:pPr>
        <w:pStyle w:val="yMiscellaneousBody"/>
        <w:keepNext/>
        <w:keepLines/>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keepNext/>
              <w:keepLines/>
              <w:pageBreakBefore/>
              <w:spacing w:before="0"/>
            </w:pPr>
            <w:r>
              <w:lastRenderedPageBreak/>
              <w:t xml:space="preserve">SIGNED by </w:t>
            </w:r>
            <w:r>
              <w:rPr>
                <w:b/>
              </w:rPr>
              <w:t>THE PREMIER THE HONOURABLE GEOFFREY IAN GALLOP MLA</w:t>
            </w:r>
            <w:r>
              <w:br/>
              <w:t>in the presence of:</w:t>
            </w:r>
          </w:p>
        </w:tc>
        <w:tc>
          <w:tcPr>
            <w:tcW w:w="1985" w:type="dxa"/>
            <w:gridSpan w:val="2"/>
          </w:tcPr>
          <w:p>
            <w:pPr>
              <w:pStyle w:val="yTable"/>
              <w:keepNext/>
              <w:keepLines/>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ubsection"/>
      </w:pPr>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lastRenderedPageBreak/>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36" w:name="_Toc154743812"/>
      <w:r>
        <w:rPr>
          <w:rStyle w:val="CharSchNo"/>
        </w:rPr>
        <w:lastRenderedPageBreak/>
        <w:t>Schedule 2</w:t>
      </w:r>
      <w:r>
        <w:t> — </w:t>
      </w:r>
      <w:r>
        <w:rPr>
          <w:rStyle w:val="CharSchText"/>
        </w:rPr>
        <w:t>2013 variation agreement</w:t>
      </w:r>
      <w:bookmarkEnd w:id="36"/>
    </w:p>
    <w:p>
      <w:pPr>
        <w:pStyle w:val="yShoulderClause"/>
      </w:pPr>
      <w:r>
        <w:t>[s. 3]</w:t>
      </w:r>
    </w:p>
    <w:p>
      <w:pPr>
        <w:pStyle w:val="yFootnoteheading"/>
      </w:pPr>
      <w:r>
        <w:tab/>
        <w:t>[Heading inserted: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lastRenderedPageBreak/>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 xml:space="preserve">ABN 94 140 107 464 of Level 22, St Martins Tower, </w:t>
      </w:r>
      <w:r>
        <w:lastRenderedPageBreak/>
        <w:t>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lastRenderedPageBreak/>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lastRenderedPageBreak/>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keepNext/>
        <w:spacing w:before="0"/>
        <w:rPr>
          <w:b/>
        </w:rPr>
      </w:pPr>
      <w:r>
        <w:rPr>
          <w:b/>
        </w:rPr>
        <w:lastRenderedPageBreak/>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keepNext/>
        <w:spacing w:before="0"/>
      </w:pPr>
      <w:r>
        <w:rPr>
          <w:b/>
        </w:rPr>
        <w:lastRenderedPageBreak/>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No. 24 of 2013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38" w:name="_Toc154743813"/>
      <w:r>
        <w:lastRenderedPageBreak/>
        <w:t>Notes</w:t>
      </w:r>
      <w:bookmarkEnd w:id="38"/>
    </w:p>
    <w:p>
      <w:pPr>
        <w:pStyle w:val="nStatement"/>
      </w:pPr>
      <w:r>
        <w:t xml:space="preserve">This is a compilation of the </w:t>
      </w:r>
      <w:r>
        <w:rPr>
          <w:i/>
          <w:noProof/>
        </w:rPr>
        <w:t>Barrow Island Act 2003</w:t>
      </w:r>
      <w:r>
        <w:t xml:space="preserve"> and includes amendments made by other written laws. For provisions that have come into operation, and for information about any reprints, see the compilation table. </w:t>
      </w:r>
    </w:p>
    <w:p>
      <w:pPr>
        <w:pStyle w:val="nHeading3"/>
      </w:pPr>
      <w:bookmarkStart w:id="39" w:name="_Toc154743814"/>
      <w:r>
        <w:t>Compilation table</w:t>
      </w:r>
      <w:bookmarkEnd w:id="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noProof/>
                <w:snapToGrid w:val="0"/>
              </w:rPr>
              <w:t>Barrow Island Act 2003</w:t>
            </w:r>
            <w:r>
              <w:rPr>
                <w:noProof/>
                <w:snapToGrid w:val="0"/>
                <w:vertAlign w:val="superscript"/>
              </w:rPr>
              <w:t> 1</w:t>
            </w:r>
          </w:p>
        </w:tc>
        <w:tc>
          <w:tcPr>
            <w:tcW w:w="1134" w:type="dxa"/>
          </w:tcPr>
          <w:p>
            <w:pPr>
              <w:pStyle w:val="nTable"/>
              <w:spacing w:after="40"/>
            </w:pPr>
            <w:r>
              <w:t>61 of 2003</w:t>
            </w:r>
          </w:p>
        </w:tc>
        <w:tc>
          <w:tcPr>
            <w:tcW w:w="1134" w:type="dxa"/>
          </w:tcPr>
          <w:p>
            <w:pPr>
              <w:pStyle w:val="nTable"/>
              <w:spacing w:after="40"/>
            </w:pPr>
            <w:r>
              <w:t>20 Nov 2003</w:t>
            </w:r>
          </w:p>
        </w:tc>
        <w:tc>
          <w:tcPr>
            <w:tcW w:w="2552" w:type="dxa"/>
          </w:tcPr>
          <w:p>
            <w:pPr>
              <w:pStyle w:val="nTable"/>
              <w:spacing w:after="40"/>
            </w:pPr>
            <w:r>
              <w:t>Act other than s. 12: 20 Nov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rPr>
                <w:i/>
                <w:iCs/>
              </w:rPr>
            </w:pPr>
            <w:r>
              <w:t xml:space="preserve">28 Mar 2007 (see s.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2" w:type="dxa"/>
          </w:tcPr>
          <w:p>
            <w:pPr>
              <w:pStyle w:val="nTable"/>
              <w:spacing w:after="40"/>
              <w:rPr>
                <w:i/>
              </w:rPr>
            </w:pPr>
            <w:r>
              <w:t>s. 1 and 2: 18 Dec 2013 (see s. 2(a));</w:t>
            </w:r>
            <w:r>
              <w:br/>
              <w:t>Act other than s. 1 and 2: 19 Dec 2013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2" w:type="dxa"/>
          </w:tcPr>
          <w:p>
            <w:pPr>
              <w:pStyle w:val="nTable"/>
              <w:spacing w:after="40"/>
            </w:pPr>
            <w:r>
              <w:t>s. 5: 20 Nov 2003 (see s. 2(b));</w:t>
            </w:r>
            <w:r>
              <w:br/>
              <w:t>s. 1 and 2: 8 May 2015 (see s. 2(a));</w:t>
            </w:r>
            <w:r>
              <w:br/>
              <w:t>Act other than s. 1, 2 and 5: 9 May 2015 (see s. 2(c))</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Barrow Island Act 2003</w:t>
            </w:r>
            <w:r>
              <w:rPr>
                <w:b/>
              </w:rPr>
              <w:t xml:space="preserve"> as at 15 Jul 2016</w:t>
            </w:r>
            <w:r>
              <w:t xml:space="preserve"> (includes amendments listed above)</w:t>
            </w:r>
          </w:p>
        </w:tc>
      </w:tr>
      <w:tr>
        <w:tc>
          <w:tcPr>
            <w:tcW w:w="2268" w:type="dxa"/>
            <w:tcBorders>
              <w:top w:val="nil"/>
            </w:tcBorders>
          </w:tcPr>
          <w:p>
            <w:pPr>
              <w:pStyle w:val="nTable"/>
              <w:spacing w:after="40"/>
            </w:pPr>
            <w:r>
              <w:rPr>
                <w:i/>
              </w:rPr>
              <w:t>Land and Public Works Legislation Amendment Act 2023</w:t>
            </w:r>
            <w:r>
              <w:t xml:space="preserve"> Pt. 4 Div. 1</w:t>
            </w:r>
          </w:p>
        </w:tc>
        <w:tc>
          <w:tcPr>
            <w:tcW w:w="1134" w:type="dxa"/>
            <w:tcBorders>
              <w:top w:val="nil"/>
            </w:tcBorders>
          </w:tcPr>
          <w:p>
            <w:pPr>
              <w:pStyle w:val="nTable"/>
              <w:spacing w:after="40"/>
            </w:pPr>
            <w:r>
              <w:t>4 of 2023</w:t>
            </w:r>
          </w:p>
        </w:tc>
        <w:tc>
          <w:tcPr>
            <w:tcW w:w="1134" w:type="dxa"/>
            <w:tcBorders>
              <w:top w:val="nil"/>
            </w:tcBorders>
          </w:tcPr>
          <w:p>
            <w:pPr>
              <w:pStyle w:val="nTable"/>
              <w:spacing w:after="40"/>
            </w:pPr>
            <w:r>
              <w:t>24 Mar 2023</w:t>
            </w:r>
          </w:p>
        </w:tc>
        <w:tc>
          <w:tcPr>
            <w:tcW w:w="2552" w:type="dxa"/>
            <w:tcBorders>
              <w:top w:val="nil"/>
            </w:tcBorders>
          </w:tcPr>
          <w:p>
            <w:pPr>
              <w:pStyle w:val="nTable"/>
              <w:spacing w:after="40"/>
            </w:pPr>
            <w:r>
              <w:t>10 Aug 2023 (see s. 2(b) and SL 2023/132 cl. 2)</w:t>
            </w:r>
          </w:p>
        </w:tc>
      </w:tr>
    </w:tbl>
    <w:p>
      <w:pPr>
        <w:pStyle w:val="nHeading3"/>
      </w:pPr>
      <w:bookmarkStart w:id="40" w:name="_Toc154743815"/>
      <w:r>
        <w:t>Other notes</w:t>
      </w:r>
      <w:bookmarkEnd w:id="40"/>
    </w:p>
    <w:p>
      <w:pPr>
        <w:pStyle w:val="nNote"/>
      </w:pPr>
      <w:r>
        <w:rPr>
          <w:vertAlign w:val="superscript"/>
        </w:rPr>
        <w:t>1</w:t>
      </w:r>
      <w:r>
        <w:tab/>
        <w:t xml:space="preserve">Section 12 of this Act had not come into operation when it was deleted by the </w:t>
      </w:r>
      <w:r>
        <w:rPr>
          <w:i/>
          <w:iCs/>
        </w:rPr>
        <w:t>Petroleum Legislation Amendment and Repeal Act 2005</w:t>
      </w:r>
      <w:r>
        <w:t xml:space="preserve"> s. 48(3).</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42" w:name="_Toc154743816"/>
      <w:r>
        <w:rPr>
          <w:sz w:val="28"/>
        </w:rPr>
        <w:lastRenderedPageBreak/>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2013 variation agreement</w:t>
      </w:r>
      <w:r>
        <w:tab/>
        <w:t>3</w:t>
      </w:r>
    </w:p>
    <w:p>
      <w:pPr>
        <w:pStyle w:val="DefinedTerms"/>
      </w:pPr>
      <w:r>
        <w:t>Barrow Island lease</w:t>
      </w:r>
      <w:r>
        <w:tab/>
        <w:t>3</w:t>
      </w:r>
    </w:p>
    <w:p>
      <w:pPr>
        <w:pStyle w:val="DefinedTerms"/>
      </w:pPr>
      <w:r>
        <w:t>Barrow Island lessee</w:t>
      </w:r>
      <w:r>
        <w:tab/>
        <w:t>3</w:t>
      </w:r>
    </w:p>
    <w:p>
      <w:pPr>
        <w:pStyle w:val="DefinedTerms"/>
      </w:pPr>
      <w:r>
        <w:t>BI Act Minister</w:t>
      </w:r>
      <w:r>
        <w:tab/>
        <w:t>3</w:t>
      </w:r>
    </w:p>
    <w:p>
      <w:pPr>
        <w:pStyle w:val="DefinedTerms"/>
      </w:pPr>
      <w:r>
        <w:t>CALM Act Minister</w:t>
      </w:r>
      <w:r>
        <w:tab/>
        <w:t>3</w:t>
      </w:r>
    </w:p>
    <w:p>
      <w:pPr>
        <w:pStyle w:val="DefinedTerms"/>
      </w:pPr>
      <w:r>
        <w:t>carbon dioxide</w:t>
      </w:r>
      <w:r>
        <w:tab/>
        <w:t>3</w:t>
      </w:r>
    </w:p>
    <w:p>
      <w:pPr>
        <w:pStyle w:val="DefinedTerms"/>
      </w:pPr>
      <w:r>
        <w:t>CO2</w:t>
      </w:r>
      <w:r>
        <w:tab/>
        <w:t>14A</w:t>
      </w:r>
    </w:p>
    <w:p>
      <w:pPr>
        <w:pStyle w:val="DefinedTerms"/>
      </w:pPr>
      <w:r>
        <w:t>CO2 disposal management plan</w:t>
      </w:r>
      <w:r>
        <w:tab/>
        <w:t>14A</w:t>
      </w:r>
    </w:p>
    <w:p>
      <w:pPr>
        <w:pStyle w:val="DefinedTerms"/>
      </w:pPr>
      <w:r>
        <w:t>CO2 injection cessation date</w:t>
      </w:r>
      <w:r>
        <w:tab/>
        <w:t>14A</w:t>
      </w:r>
    </w:p>
    <w:p>
      <w:pPr>
        <w:pStyle w:val="DefinedTerms"/>
      </w:pPr>
      <w:r>
        <w:t>CO2 injection operations</w:t>
      </w:r>
      <w:r>
        <w:tab/>
        <w:t>14A</w:t>
      </w:r>
    </w:p>
    <w:p>
      <w:pPr>
        <w:pStyle w:val="DefinedTerms"/>
      </w:pPr>
      <w:r>
        <w:t>CO2 injection site closure notice</w:t>
      </w:r>
      <w:r>
        <w:tab/>
        <w:t>14A</w:t>
      </w:r>
    </w:p>
    <w:p>
      <w:pPr>
        <w:pStyle w:val="DefinedTerms"/>
      </w:pPr>
      <w:r>
        <w:t>collateral deed</w:t>
      </w:r>
      <w:r>
        <w:tab/>
        <w:t>14A</w:t>
      </w:r>
    </w:p>
    <w:p>
      <w:pPr>
        <w:pStyle w:val="DefinedTerms"/>
      </w:pPr>
      <w:r>
        <w:t>common law liability</w:t>
      </w:r>
      <w:r>
        <w:tab/>
        <w:t>14A</w:t>
      </w:r>
    </w:p>
    <w:p>
      <w:pPr>
        <w:pStyle w:val="DefinedTerms"/>
      </w:pPr>
      <w:r>
        <w:t>Commonwealth representative</w:t>
      </w:r>
      <w:r>
        <w:tab/>
        <w:t>14A</w:t>
      </w:r>
    </w:p>
    <w:p>
      <w:pPr>
        <w:pStyle w:val="DefinedTerms"/>
      </w:pPr>
      <w:r>
        <w:t>formation</w:t>
      </w:r>
      <w:r>
        <w:tab/>
        <w:t>14A</w:t>
      </w:r>
    </w:p>
    <w:p>
      <w:pPr>
        <w:pStyle w:val="DefinedTerms"/>
      </w:pPr>
      <w:r>
        <w:t>gas</w:t>
      </w:r>
      <w:r>
        <w:tab/>
        <w:t>3</w:t>
      </w:r>
    </w:p>
    <w:p>
      <w:pPr>
        <w:pStyle w:val="DefinedTerms"/>
      </w:pPr>
      <w:r>
        <w:t>gas processing project purpose</w:t>
      </w:r>
      <w:r>
        <w:tab/>
        <w:t>3</w:t>
      </w:r>
    </w:p>
    <w:p>
      <w:pPr>
        <w:pStyle w:val="DefinedTerms"/>
      </w:pPr>
      <w:r>
        <w:t>Gorgon CO2</w:t>
      </w:r>
      <w:r>
        <w:tab/>
        <w:t>14A</w:t>
      </w:r>
    </w:p>
    <w:p>
      <w:pPr>
        <w:pStyle w:val="DefinedTerms"/>
      </w:pPr>
      <w:r>
        <w:t>Greater Gorgon Area</w:t>
      </w:r>
      <w:r>
        <w:tab/>
        <w:t>14A</w:t>
      </w:r>
    </w:p>
    <w:p>
      <w:pPr>
        <w:pStyle w:val="DefinedTerms"/>
      </w:pPr>
      <w:r>
        <w:t>holding company</w:t>
      </w:r>
      <w:r>
        <w:tab/>
        <w:t>14A</w:t>
      </w:r>
    </w:p>
    <w:p>
      <w:pPr>
        <w:pStyle w:val="DefinedTerms"/>
      </w:pPr>
      <w:r>
        <w:t>independent third party</w:t>
      </w:r>
      <w:r>
        <w:tab/>
        <w:t>14A</w:t>
      </w:r>
    </w:p>
    <w:p>
      <w:pPr>
        <w:pStyle w:val="DefinedTerms"/>
      </w:pPr>
      <w:r>
        <w:t>Joint Venturers</w:t>
      </w:r>
      <w:r>
        <w:tab/>
        <w:t>14A</w:t>
      </w:r>
    </w:p>
    <w:p>
      <w:pPr>
        <w:pStyle w:val="DefinedTerms"/>
      </w:pPr>
      <w:r>
        <w:t>LA Act</w:t>
      </w:r>
      <w:r>
        <w:tab/>
        <w:t>3</w:t>
      </w:r>
    </w:p>
    <w:p>
      <w:pPr>
        <w:pStyle w:val="DefinedTerms"/>
      </w:pPr>
      <w:r>
        <w:t>LA Act Minister</w:t>
      </w:r>
      <w:r>
        <w:tab/>
        <w:t>3</w:t>
      </w:r>
    </w:p>
    <w:p>
      <w:pPr>
        <w:pStyle w:val="DefinedTerms"/>
      </w:pPr>
      <w:r>
        <w:t>leakage</w:t>
      </w:r>
      <w:r>
        <w:tab/>
        <w:t>14A</w:t>
      </w:r>
    </w:p>
    <w:p>
      <w:pPr>
        <w:pStyle w:val="DefinedTerms"/>
      </w:pPr>
      <w:r>
        <w:t>liability assumption date</w:t>
      </w:r>
      <w:r>
        <w:tab/>
        <w:t>14A</w:t>
      </w:r>
    </w:p>
    <w:p>
      <w:pPr>
        <w:pStyle w:val="DefinedTerms"/>
      </w:pPr>
      <w:r>
        <w:t>Project</w:t>
      </w:r>
      <w:r>
        <w:tab/>
        <w:t>14A</w:t>
      </w:r>
    </w:p>
    <w:p>
      <w:pPr>
        <w:pStyle w:val="DefinedTerms"/>
      </w:pPr>
      <w:r>
        <w:t>related entity</w:t>
      </w:r>
      <w:r>
        <w:tab/>
        <w:t>14A</w:t>
      </w:r>
    </w:p>
    <w:p>
      <w:pPr>
        <w:pStyle w:val="DefinedTerms"/>
      </w:pPr>
      <w:r>
        <w:t>section 13 approval</w:t>
      </w:r>
      <w:r>
        <w:tab/>
        <w:t>14A</w:t>
      </w:r>
    </w:p>
    <w:p>
      <w:pPr>
        <w:pStyle w:val="DefinedTerms"/>
      </w:pPr>
      <w:r>
        <w:t>subsidiary</w:t>
      </w:r>
      <w:r>
        <w:tab/>
        <w:t>14A</w:t>
      </w:r>
    </w:p>
    <w:p>
      <w:pPr>
        <w:pStyle w:val="DefinedTerms"/>
      </w:pPr>
      <w:r>
        <w:t>the Agreement</w:t>
      </w:r>
      <w:r>
        <w:tab/>
        <w:t>3</w:t>
      </w:r>
    </w:p>
    <w:p>
      <w:pPr>
        <w:pStyle w:val="DefinedTerms"/>
      </w:pPr>
      <w:r>
        <w:t>the reserve</w:t>
      </w:r>
      <w:r>
        <w:tab/>
        <w:t>3</w:t>
      </w:r>
    </w:p>
    <w:p>
      <w:pPr>
        <w:pStyle w:val="DefinedTerms"/>
      </w:pPr>
      <w:r>
        <w:t>Title Areas</w:t>
      </w:r>
      <w:r>
        <w:tab/>
        <w:t>14A</w:t>
      </w:r>
    </w:p>
    <w:p>
      <w:pPr>
        <w:pStyle w:val="DefinedTerms"/>
      </w:pPr>
      <w:r>
        <w:t>uncleared land</w:t>
      </w:r>
      <w:r>
        <w:tab/>
        <w:t>9(2)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6463A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68024F4" w14:textId="5591FF59" w:rsidR="00A001CC" w:rsidRDefault="00A001C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D168E5D" w14:textId="77777777" w:rsidR="00A001CC" w:rsidRDefault="00A001C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5606AF1" w14:textId="4E3D8B77" w:rsidR="00A001CC" w:rsidRDefault="00A001C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EF35B44" w14:textId="77777777" w:rsidR="00A001CC" w:rsidRDefault="00A001C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A9C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AA1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26CF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2B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C2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3538"/>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 w:name="WAFER_20230324114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4418_GUID" w:val="c697793f-8802-4971-ae56-a803ce17750d"/>
    <w:docVar w:name="WAFER_20230809115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216_GUID" w:val="d9f8589b-c17d-496d-97eb-d4ffbaf9d4f0"/>
    <w:docVar w:name="WAFER_20231221163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538_GUID" w:val="70ca88b5-0a05-4b51-81b3-55103385d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E806B64-B35B-4B13-AFA3-BB487DA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3CD5-008B-489A-BFF7-64F88340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19806</Words>
  <Characters>98634</Characters>
  <Application>Microsoft Office Word</Application>
  <DocSecurity>0</DocSecurity>
  <Lines>2595</Lines>
  <Paragraphs>1003</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117437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2003 - 01-c0-02</dc:title>
  <dc:subject/>
  <dc:creator/>
  <cp:keywords/>
  <dc:description/>
  <cp:lastModifiedBy>Master Repository Process</cp:lastModifiedBy>
  <cp:revision>4</cp:revision>
  <cp:lastPrinted>2016-07-18T02:44:00Z</cp:lastPrinted>
  <dcterms:created xsi:type="dcterms:W3CDTF">2023-12-29T04:02:00Z</dcterms:created>
  <dcterms:modified xsi:type="dcterms:W3CDTF">2023-12-29T04:02:00Z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ReprintedAsAt">
    <vt:filetime>2016-07-14T16:00:00Z</vt:filetime>
  </property>
  <property fmtid="{D5CDD505-2E9C-101B-9397-08002B2CF9AE}" pid="6" name="ReprintNo">
    <vt:lpwstr>1</vt:lpwstr>
  </property>
  <property fmtid="{D5CDD505-2E9C-101B-9397-08002B2CF9AE}" pid="7" name="AsAtDate">
    <vt:lpwstr>10 Aug 2023</vt:lpwstr>
  </property>
  <property fmtid="{D5CDD505-2E9C-101B-9397-08002B2CF9AE}" pid="8" name="Suffix">
    <vt:lpwstr>01-c0-02</vt:lpwstr>
  </property>
  <property fmtid="{D5CDD505-2E9C-101B-9397-08002B2CF9AE}" pid="9" name="Official">
    <vt:lpwstr/>
  </property>
  <property fmtid="{D5CDD505-2E9C-101B-9397-08002B2CF9AE}" pid="10" name="CommencementDate">
    <vt:lpwstr>20230810</vt:lpwstr>
  </property>
  <property fmtid="{D5CDD505-2E9C-101B-9397-08002B2CF9AE}" pid="11" name="CommencementYear">
    <vt:lpwstr>2023</vt:lpwstr>
  </property>
</Properties>
</file>