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_Toc154744539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_Toc154744540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_Toc154744541 \h </w:instrText>
      </w:r>
      <w:r>
        <w:fldChar w:fldCharType="separate"/>
      </w:r>
      <w:r>
        <w:t>1</w:t>
      </w:r>
      <w:r>
        <w:fldChar w:fldCharType="end"/>
      </w:r>
    </w:p>
    <w:p>
      <w:pPr>
        <w:pStyle w:val="TOC8"/>
        <w:rPr>
          <w:rFonts w:asciiTheme="minorHAnsi" w:eastAsiaTheme="minorEastAsia" w:hAnsiTheme="minorHAnsi" w:cstheme="minorBidi"/>
          <w:szCs w:val="22"/>
        </w:rPr>
      </w:pPr>
      <w:r>
        <w:t>3A.</w:t>
      </w:r>
      <w:r>
        <w:tab/>
        <w:t>Building Code</w:t>
      </w:r>
      <w:r>
        <w:tab/>
      </w:r>
      <w:r>
        <w:fldChar w:fldCharType="begin"/>
      </w:r>
      <w:r>
        <w:instrText xml:space="preserve"> PAGEREF _Toc154744542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_Toc154744544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_Toc154744545 \h </w:instrText>
      </w:r>
      <w:r>
        <w:fldChar w:fldCharType="separate"/>
      </w:r>
      <w:r>
        <w:t>7</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_Toc154744546 \h </w:instrText>
      </w:r>
      <w:r>
        <w:fldChar w:fldCharType="separate"/>
      </w:r>
      <w:r>
        <w:t>8</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_Toc154744547 \h </w:instrText>
      </w:r>
      <w:r>
        <w:fldChar w:fldCharType="separate"/>
      </w:r>
      <w:r>
        <w:t>9</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_Toc154744548 \h </w:instrText>
      </w:r>
      <w:r>
        <w:fldChar w:fldCharType="separate"/>
      </w:r>
      <w:r>
        <w:t>9</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_Toc154744549 \h </w:instrText>
      </w:r>
      <w:r>
        <w:fldChar w:fldCharType="separate"/>
      </w:r>
      <w:r>
        <w:t>9</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_Toc154744550 \h </w:instrText>
      </w:r>
      <w:r>
        <w:fldChar w:fldCharType="separate"/>
      </w:r>
      <w:r>
        <w:t>11</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_Toc154744551 \h </w:instrText>
      </w:r>
      <w:r>
        <w:fldChar w:fldCharType="separate"/>
      </w:r>
      <w:r>
        <w:t>12</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_Toc154744552 \h </w:instrText>
      </w:r>
      <w:r>
        <w:fldChar w:fldCharType="separate"/>
      </w:r>
      <w:r>
        <w:t>12</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_Toc154744553 \h </w:instrText>
      </w:r>
      <w:r>
        <w:fldChar w:fldCharType="separate"/>
      </w:r>
      <w:r>
        <w:t>13</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_Toc154744554 \h </w:instrText>
      </w:r>
      <w:r>
        <w:fldChar w:fldCharType="separate"/>
      </w:r>
      <w:r>
        <w:t>13</w:t>
      </w:r>
      <w:r>
        <w:fldChar w:fldCharType="end"/>
      </w:r>
    </w:p>
    <w:p>
      <w:pPr>
        <w:pStyle w:val="TOC8"/>
        <w:rPr>
          <w:rFonts w:asciiTheme="minorHAnsi" w:eastAsiaTheme="minorEastAsia" w:hAnsiTheme="minorHAnsi" w:cstheme="minorBidi"/>
          <w:szCs w:val="22"/>
        </w:rPr>
      </w:pPr>
      <w:r>
        <w:t>14A.</w:t>
      </w:r>
      <w:r>
        <w:tab/>
        <w:t>Confidentiality exceptions (s. 146)</w:t>
      </w:r>
      <w:r>
        <w:tab/>
      </w:r>
      <w:r>
        <w:fldChar w:fldCharType="begin"/>
      </w:r>
      <w:r>
        <w:instrText xml:space="preserve"> PAGEREF _Toc154744555 \h </w:instrText>
      </w:r>
      <w:r>
        <w:fldChar w:fldCharType="separate"/>
      </w:r>
      <w:r>
        <w:t>14</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_Toc154744556 \h </w:instrText>
      </w:r>
      <w:r>
        <w:fldChar w:fldCharType="separate"/>
      </w:r>
      <w:r>
        <w:t>14</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_Toc154744557 \h </w:instrText>
      </w:r>
      <w:r>
        <w:fldChar w:fldCharType="separate"/>
      </w:r>
      <w:r>
        <w:t>15</w:t>
      </w:r>
      <w:r>
        <w:fldChar w:fldCharType="end"/>
      </w:r>
    </w:p>
    <w:p>
      <w:pPr>
        <w:pStyle w:val="TOC8"/>
        <w:rPr>
          <w:rFonts w:asciiTheme="minorHAnsi" w:eastAsiaTheme="minorEastAsia" w:hAnsiTheme="minorHAnsi" w:cstheme="minorBidi"/>
          <w:szCs w:val="22"/>
        </w:rPr>
      </w:pPr>
      <w:r>
        <w:t>15C.</w:t>
      </w:r>
      <w:r>
        <w:tab/>
        <w:t>Modifications to Building Code (s. 150)</w:t>
      </w:r>
      <w:r>
        <w:tab/>
      </w:r>
      <w:r>
        <w:fldChar w:fldCharType="begin"/>
      </w:r>
      <w:r>
        <w:instrText xml:space="preserve"> PAGEREF _Toc154744558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_Toc154744560 \h </w:instrText>
      </w:r>
      <w:r>
        <w:fldChar w:fldCharType="separate"/>
      </w:r>
      <w:r>
        <w:t>17</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_Toc154744561 \h </w:instrText>
      </w:r>
      <w:r>
        <w:fldChar w:fldCharType="separate"/>
      </w:r>
      <w:r>
        <w:t>17</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_Toc154744562 \h </w:instrText>
      </w:r>
      <w:r>
        <w:fldChar w:fldCharType="separate"/>
      </w:r>
      <w:r>
        <w:t>19</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_Toc154744563 \h </w:instrText>
      </w:r>
      <w:r>
        <w:fldChar w:fldCharType="separate"/>
      </w:r>
      <w:r>
        <w:t>19</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_Toc154744564 \h </w:instrText>
      </w:r>
      <w:r>
        <w:fldChar w:fldCharType="separate"/>
      </w:r>
      <w:r>
        <w:t>21</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_Toc154744565 \h </w:instrText>
      </w:r>
      <w:r>
        <w:fldChar w:fldCharType="separate"/>
      </w:r>
      <w:r>
        <w:t>23</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_Toc154744566 \h </w:instrText>
      </w:r>
      <w:r>
        <w:fldChar w:fldCharType="separate"/>
      </w:r>
      <w:r>
        <w:t>23</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_Toc154744567 \h </w:instrText>
      </w:r>
      <w:r>
        <w:fldChar w:fldCharType="separate"/>
      </w:r>
      <w:r>
        <w:t>24</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_Toc154744568 \h </w:instrText>
      </w:r>
      <w:r>
        <w:fldChar w:fldCharType="separate"/>
      </w:r>
      <w:r>
        <w:t>26</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_Toc154744569 \h </w:instrText>
      </w:r>
      <w:r>
        <w:fldChar w:fldCharType="separate"/>
      </w:r>
      <w:r>
        <w:t>26</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_Toc154744570 \h </w:instrText>
      </w:r>
      <w:r>
        <w:fldChar w:fldCharType="separate"/>
      </w:r>
      <w:r>
        <w:t>27</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_Toc154744571 \h </w:instrText>
      </w:r>
      <w:r>
        <w:fldChar w:fldCharType="separate"/>
      </w:r>
      <w:r>
        <w:t>27</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_Toc154744572 \h </w:instrText>
      </w:r>
      <w:r>
        <w:fldChar w:fldCharType="separate"/>
      </w:r>
      <w:r>
        <w:t>29</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_Toc154744573 \h </w:instrText>
      </w:r>
      <w:r>
        <w:fldChar w:fldCharType="separate"/>
      </w:r>
      <w:r>
        <w:t>29</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_Toc154744574 \h </w:instrText>
      </w:r>
      <w:r>
        <w:fldChar w:fldCharType="separate"/>
      </w:r>
      <w:r>
        <w:t>29</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_Toc154744575 \h </w:instrText>
      </w:r>
      <w:r>
        <w:fldChar w:fldCharType="separate"/>
      </w:r>
      <w:r>
        <w:t>30</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_Toc154744576 \h </w:instrText>
      </w:r>
      <w:r>
        <w:fldChar w:fldCharType="separate"/>
      </w:r>
      <w:r>
        <w:t>31</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_Toc154744577 \h </w:instrText>
      </w:r>
      <w:r>
        <w:fldChar w:fldCharType="separate"/>
      </w:r>
      <w:r>
        <w:t>31</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_Toc154744578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_Toc154744582 \h </w:instrText>
      </w:r>
      <w:r>
        <w:fldChar w:fldCharType="separate"/>
      </w:r>
      <w:r>
        <w:t>33</w:t>
      </w:r>
      <w:r>
        <w:fldChar w:fldCharType="end"/>
      </w:r>
    </w:p>
    <w:p>
      <w:pPr>
        <w:pStyle w:val="TOC8"/>
        <w:rPr>
          <w:rFonts w:asciiTheme="minorHAnsi" w:eastAsiaTheme="minorEastAsia" w:hAnsiTheme="minorHAnsi" w:cstheme="minorBidi"/>
          <w:szCs w:val="22"/>
        </w:rPr>
      </w:pPr>
      <w:r>
        <w:lastRenderedPageBreak/>
        <w:t>31BA.</w:t>
      </w:r>
      <w:r>
        <w:tab/>
        <w:t>Applicable building standards for buildings and incidental structures in bush fire prone areas (s. 3, 19(3), 37(1) and (2), 57(3), 49(b), 51(2) and (3))</w:t>
      </w:r>
      <w:r>
        <w:tab/>
      </w:r>
      <w:r>
        <w:fldChar w:fldCharType="begin"/>
      </w:r>
      <w:r>
        <w:instrText xml:space="preserve"> PAGEREF _Toc154744583 \h </w:instrText>
      </w:r>
      <w:r>
        <w:fldChar w:fldCharType="separate"/>
      </w:r>
      <w:r>
        <w:t>34</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_Toc154744584 \h </w:instrText>
      </w:r>
      <w:r>
        <w:fldChar w:fldCharType="separate"/>
      </w:r>
      <w:r>
        <w:t>41</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_Toc154744585 \h </w:instrText>
      </w:r>
      <w:r>
        <w:fldChar w:fldCharType="separate"/>
      </w:r>
      <w:r>
        <w:t>43</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_Toc154744586 \h </w:instrText>
      </w:r>
      <w:r>
        <w:fldChar w:fldCharType="separate"/>
      </w:r>
      <w:r>
        <w:t>49</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(s. 3, 57(3) and 49(a))</w:t>
      </w:r>
      <w:r>
        <w:tab/>
      </w:r>
      <w:r>
        <w:fldChar w:fldCharType="begin"/>
      </w:r>
      <w:r>
        <w:instrText xml:space="preserve"> PAGEREF _Toc154744587 \h </w:instrText>
      </w:r>
      <w:r>
        <w:fldChar w:fldCharType="separate"/>
      </w:r>
      <w:r>
        <w:t>49</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_Toc154744588 \h </w:instrText>
      </w:r>
      <w:r>
        <w:fldChar w:fldCharType="separate"/>
      </w:r>
      <w:r>
        <w:t>50</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_Toc154744589 \h </w:instrText>
      </w:r>
      <w:r>
        <w:fldChar w:fldCharType="separate"/>
      </w:r>
      <w:r>
        <w:t>51</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_Toc154744590 \h </w:instrText>
      </w:r>
      <w:r>
        <w:fldChar w:fldCharType="separate"/>
      </w:r>
      <w:r>
        <w:t>52</w:t>
      </w:r>
      <w:r>
        <w:fldChar w:fldCharType="end"/>
      </w:r>
    </w:p>
    <w:p>
      <w:pPr>
        <w:pStyle w:val="TOC8"/>
        <w:rPr>
          <w:rFonts w:asciiTheme="minorHAnsi" w:eastAsiaTheme="minorEastAsia" w:hAnsiTheme="minorHAnsi" w:cstheme="minorBidi"/>
          <w:szCs w:val="22"/>
        </w:rPr>
      </w:pPr>
      <w:r>
        <w:t>31HB.</w:t>
      </w:r>
      <w:r>
        <w:tab/>
        <w:t xml:space="preserve">Transitional provisions for </w:t>
      </w:r>
      <w:r>
        <w:rPr>
          <w:i/>
        </w:rPr>
        <w:t>Building Amendment Regulations (No. 3) 2015</w:t>
      </w:r>
      <w:r>
        <w:tab/>
      </w:r>
      <w:r>
        <w:fldChar w:fldCharType="begin"/>
      </w:r>
      <w:r>
        <w:instrText xml:space="preserve"> PAGEREF _Toc154744591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_Toc154744593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_Toc154744595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_Toc154744597 \h </w:instrText>
      </w:r>
      <w:r>
        <w:fldChar w:fldCharType="separate"/>
      </w:r>
      <w:r>
        <w:t>57</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_Toc154744598 \h </w:instrText>
      </w:r>
      <w:r>
        <w:fldChar w:fldCharType="separate"/>
      </w:r>
      <w:r>
        <w:t>58</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_Toc154744599 \h </w:instrText>
      </w:r>
      <w:r>
        <w:fldChar w:fldCharType="separate"/>
      </w:r>
      <w:r>
        <w:t>59</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_Toc154744600 \h </w:instrText>
      </w:r>
      <w:r>
        <w:fldChar w:fldCharType="separate"/>
      </w:r>
      <w:r>
        <w:t>60</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_Toc154744601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_Toc154744603 \h </w:instrText>
      </w:r>
      <w:r>
        <w:fldChar w:fldCharType="separate"/>
      </w:r>
      <w:r>
        <w:t>62</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_Toc154744604 \h </w:instrText>
      </w:r>
      <w:r>
        <w:fldChar w:fldCharType="separate"/>
      </w:r>
      <w:r>
        <w:t>62</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_Toc154744605 \h </w:instrText>
      </w:r>
      <w:r>
        <w:fldChar w:fldCharType="separate"/>
      </w:r>
      <w:r>
        <w:t>63</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_Toc154744606 \h </w:instrText>
      </w:r>
      <w:r>
        <w:fldChar w:fldCharType="separate"/>
      </w:r>
      <w:r>
        <w:t>65</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_Toc154744607 \h </w:instrText>
      </w:r>
      <w:r>
        <w:fldChar w:fldCharType="separate"/>
      </w:r>
      <w:r>
        <w:t>65</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_Toc154744608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_Toc154744610 \h </w:instrText>
      </w:r>
      <w:r>
        <w:fldChar w:fldCharType="separate"/>
      </w:r>
      <w:r>
        <w:t>68</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_Toc154744611 \h </w:instrText>
      </w:r>
      <w:r>
        <w:fldChar w:fldCharType="separate"/>
      </w:r>
      <w:r>
        <w:t>69</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_Toc154744612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_Toc154744614 \h </w:instrText>
      </w:r>
      <w:r>
        <w:fldChar w:fldCharType="separate"/>
      </w:r>
      <w:r>
        <w:t>71</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_Toc154744615 \h </w:instrText>
      </w:r>
      <w:r>
        <w:fldChar w:fldCharType="separate"/>
      </w:r>
      <w:r>
        <w:t>71</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_Toc154744616 \h </w:instrText>
      </w:r>
      <w:r>
        <w:fldChar w:fldCharType="separate"/>
      </w:r>
      <w:r>
        <w:t>71</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_Toc154744617 \h </w:instrText>
      </w:r>
      <w:r>
        <w:fldChar w:fldCharType="separate"/>
      </w:r>
      <w:r>
        <w:t>72</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_Toc154744618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_Toc154744621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_Toc154744623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_Toc154744625 \h </w:instrText>
      </w:r>
      <w:r>
        <w:fldChar w:fldCharType="separate"/>
      </w:r>
      <w:r>
        <w:t>78</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_Toc154744626 \h </w:instrText>
      </w:r>
      <w:r>
        <w:fldChar w:fldCharType="separate"/>
      </w:r>
      <w:r>
        <w:t>78</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_Toc154744627 \h </w:instrText>
      </w:r>
      <w:r>
        <w:fldChar w:fldCharType="separate"/>
      </w:r>
      <w:r>
        <w:t>78</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_Toc154744628 \h </w:instrText>
      </w:r>
      <w:r>
        <w:fldChar w:fldCharType="separate"/>
      </w:r>
      <w:r>
        <w:t>80</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_Toc154744629 \h </w:instrText>
      </w:r>
      <w:r>
        <w:fldChar w:fldCharType="separate"/>
      </w:r>
      <w:r>
        <w:t>81</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_Toc154744630 \h </w:instrText>
      </w:r>
      <w:r>
        <w:fldChar w:fldCharType="separate"/>
      </w:r>
      <w:r>
        <w:t>82</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_Toc154744631 \h </w:instrText>
      </w:r>
      <w:r>
        <w:fldChar w:fldCharType="separate"/>
      </w:r>
      <w:r>
        <w:t>83</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_Toc154744632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_Toc154744634 \h </w:instrText>
      </w:r>
      <w:r>
        <w:fldChar w:fldCharType="separate"/>
      </w:r>
      <w:r>
        <w:t>84</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_Toc154744635 \h </w:instrText>
      </w:r>
      <w:r>
        <w:fldChar w:fldCharType="separate"/>
      </w:r>
      <w:r>
        <w:t>85</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_Toc154744636 \h </w:instrText>
      </w:r>
      <w:r>
        <w:fldChar w:fldCharType="separate"/>
      </w:r>
      <w:r>
        <w:t>86</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_Toc154744637 \h </w:instrText>
      </w:r>
      <w:r>
        <w:fldChar w:fldCharType="separate"/>
      </w:r>
      <w:r>
        <w:t>88</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_Toc154744638 \h </w:instrText>
      </w:r>
      <w:r>
        <w:fldChar w:fldCharType="separate"/>
      </w:r>
      <w:r>
        <w:t>88</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_Toc154744639 \h </w:instrText>
      </w:r>
      <w:r>
        <w:fldChar w:fldCharType="separate"/>
      </w:r>
      <w:r>
        <w:t>88</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_Toc154744640 \h </w:instrText>
      </w:r>
      <w:r>
        <w:fldChar w:fldCharType="separate"/>
      </w:r>
      <w:r>
        <w:t>90</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_Toc154744641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_Toc154744643 \h </w:instrText>
      </w:r>
      <w:r>
        <w:fldChar w:fldCharType="separate"/>
      </w:r>
      <w:r>
        <w:t>93</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_Toc154744644 \h </w:instrText>
      </w:r>
      <w:r>
        <w:fldChar w:fldCharType="separate"/>
      </w:r>
      <w:r>
        <w:t>93</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_Toc154744645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_Toc154744647 \h </w:instrText>
      </w:r>
      <w:r>
        <w:fldChar w:fldCharType="separate"/>
      </w:r>
      <w:r>
        <w:t>95</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_Toc154744648 \h </w:instrText>
      </w:r>
      <w:r>
        <w:fldChar w:fldCharType="separate"/>
      </w:r>
      <w:r>
        <w:t>95</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_Toc154744649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_Toc154744655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_Toc154744657 \h </w:instrText>
      </w:r>
      <w:r>
        <w:fldChar w:fldCharType="separate"/>
      </w:r>
      <w:r>
        <w:t>101</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_Toc154744658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_Toc154744665 \h </w:instrText>
      </w:r>
      <w:r>
        <w:fldChar w:fldCharType="separate"/>
      </w:r>
      <w:r>
        <w:t>125</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_Toc154744666 \h </w:instrText>
      </w:r>
      <w:r>
        <w:fldChar w:fldCharType="separate"/>
      </w:r>
      <w:r>
        <w:t>129</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_Toc154744667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3" w:name="_Toc154744538"/>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4744539"/>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5" w:name="_Toc154744540"/>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6" w:name="_Toc154744541"/>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1;</w:t>
      </w:r>
    </w:p>
    <w:p>
      <w:pPr>
        <w:pStyle w:val="Defstart"/>
      </w:pPr>
      <w:r>
        <w:lastRenderedPageBreak/>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has the meaning given in regulation 3A;</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the Building Code Volume Two Part H7 performance requirement H7P1; and </w:t>
      </w:r>
    </w:p>
    <w:p>
      <w:pPr>
        <w:pStyle w:val="Defpara"/>
      </w:pPr>
      <w:r>
        <w:tab/>
        <w:t>(b)</w:t>
      </w:r>
      <w:r>
        <w:tab/>
        <w:t xml:space="preserve">in relation to a swimming pool associated with a Class 2 to Class 9 building — the Building Code Volume One Part G1 performance requirement G1P2(1); </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 xml:space="preserve">in relation to a Class 2 or Class 3 building or a Class 10a building or deck associated with a Class 2 or Class 3 building — the Building Code Volume One Part G5 performance requirement G5P1; and </w:t>
      </w:r>
    </w:p>
    <w:p>
      <w:pPr>
        <w:pStyle w:val="Defpara"/>
      </w:pPr>
      <w:r>
        <w:tab/>
        <w:t>(b)</w:t>
      </w:r>
      <w:r>
        <w:tab/>
        <w:t xml:space="preserve">in relation to a Class 1 building or a Class 10a building or deck associated with a Class 1 building — the Building Code Volume Two Part H7 performance requirement H7P5; </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C1V3</w:t>
      </w:r>
      <w:r>
        <w:t xml:space="preserve"> means the Building Code Volume One Part C1 verification method C1V3;</w:t>
      </w:r>
    </w:p>
    <w:p>
      <w:pPr>
        <w:pStyle w:val="Defstart"/>
      </w:pPr>
      <w:r>
        <w:lastRenderedPageBreak/>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Part C1 performance requirement C1P2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1;</w:t>
      </w:r>
    </w:p>
    <w:p>
      <w:pPr>
        <w:pStyle w:val="Defstart"/>
      </w:pPr>
      <w:r>
        <w:tab/>
      </w:r>
      <w:r>
        <w:rPr>
          <w:rStyle w:val="CharDefText"/>
        </w:rPr>
        <w:t>performance solution</w:t>
      </w:r>
      <w:r>
        <w:t xml:space="preserve"> has the meaning given in the Building Code Volume One Schedule 1;</w:t>
      </w:r>
    </w:p>
    <w:p>
      <w:pPr>
        <w:pStyle w:val="Defstart"/>
        <w:keepNex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keepNext/>
      </w:pPr>
      <w:r>
        <w:tab/>
      </w:r>
      <w:r>
        <w:rPr>
          <w:rStyle w:val="CharDefText"/>
        </w:rPr>
        <w:t>private swimming pool</w:t>
      </w:r>
      <w:r>
        <w:t xml:space="preserve"> means a swimming pool — </w:t>
      </w:r>
    </w:p>
    <w:p>
      <w:pPr>
        <w:pStyle w:val="Indenta"/>
        <w:keepNext/>
      </w:pPr>
      <w:r>
        <w:tab/>
        <w:t>(a)</w:t>
      </w:r>
      <w:r>
        <w:tab/>
        <w:t xml:space="preserve">that is associated with — </w:t>
      </w:r>
    </w:p>
    <w:p>
      <w:pPr>
        <w:pStyle w:val="Indenti"/>
      </w:pPr>
      <w:r>
        <w:tab/>
        <w:t>(i)</w:t>
      </w:r>
      <w:r>
        <w:tab/>
        <w:t>a Class 1a building; or</w:t>
      </w:r>
    </w:p>
    <w:p>
      <w:pPr>
        <w:pStyle w:val="Indenti"/>
      </w:pPr>
      <w:r>
        <w:lastRenderedPageBreak/>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1;</w:t>
      </w:r>
    </w:p>
    <w:p>
      <w:pPr>
        <w:pStyle w:val="Defstart"/>
      </w:pPr>
      <w:r>
        <w:tab/>
      </w:r>
      <w:r>
        <w:rPr>
          <w:rStyle w:val="CharDefText"/>
        </w:rPr>
        <w:t>Swan Valley Planning Scheme</w:t>
      </w:r>
      <w:r>
        <w:t xml:space="preserve"> means the Swan Valley Planning Scheme in force under the </w:t>
      </w:r>
      <w:r>
        <w:rPr>
          <w:i/>
        </w:rPr>
        <w:t>Swan Valley Planning Act 2020</w:t>
      </w:r>
      <w:r>
        <w:t>;</w:t>
      </w:r>
    </w:p>
    <w:p>
      <w:pPr>
        <w:pStyle w:val="Defstart"/>
      </w:pPr>
      <w:r>
        <w:tab/>
      </w:r>
      <w:r>
        <w:rPr>
          <w:rStyle w:val="CharDefText"/>
        </w:rPr>
        <w:t>swimming pool</w:t>
      </w:r>
      <w:r>
        <w:t xml:space="preserve"> has the meaning given in the Building Code Volume One Schedule 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 SL 2021/42 r. 4; SL 2022/162 r. 4.]</w:t>
      </w:r>
    </w:p>
    <w:p>
      <w:pPr>
        <w:pStyle w:val="Heading5"/>
      </w:pPr>
      <w:bookmarkStart w:id="7" w:name="_Toc154744542"/>
      <w:r>
        <w:rPr>
          <w:rStyle w:val="CharSectno"/>
        </w:rPr>
        <w:t>3A</w:t>
      </w:r>
      <w:r>
        <w:t>.</w:t>
      </w:r>
      <w:r>
        <w:tab/>
        <w:t>Building Code</w:t>
      </w:r>
      <w:bookmarkEnd w:id="7"/>
    </w:p>
    <w:p>
      <w:pPr>
        <w:pStyle w:val="Subsection"/>
      </w:pPr>
      <w:r>
        <w:tab/>
        <w:t>(1)</w:t>
      </w:r>
      <w:r>
        <w:tab/>
      </w:r>
      <w:r>
        <w:rPr>
          <w:rStyle w:val="CharDefText"/>
        </w:rPr>
        <w:t>Building Code</w:t>
      </w:r>
      <w:r>
        <w:t xml:space="preserve"> means the Building Code of Australia which is Volumes One and Two of the National Construction Code, published by, or on behalf of, the Australian Building Codes Board.</w:t>
      </w:r>
    </w:p>
    <w:p>
      <w:pPr>
        <w:pStyle w:val="Subsection"/>
      </w:pPr>
      <w:r>
        <w:lastRenderedPageBreak/>
        <w:tab/>
        <w:t>(2)</w:t>
      </w:r>
      <w:r>
        <w:tab/>
        <w:t xml:space="preserve">Unless the contrary intention appears, a reference in these regulations to the Building Code is a reference to the Building Code as amended from time to time. </w:t>
      </w:r>
    </w:p>
    <w:p>
      <w:pPr>
        <w:pStyle w:val="Footnotesection"/>
      </w:pPr>
      <w:r>
        <w:tab/>
        <w:t>[Regulation 3A inserted: SL 2022/162 r. 5.]</w:t>
      </w:r>
    </w:p>
    <w:p>
      <w:pPr>
        <w:pStyle w:val="Heading2"/>
      </w:pPr>
      <w:bookmarkStart w:id="8" w:name="_Toc154744543"/>
      <w:r>
        <w:rPr>
          <w:rStyle w:val="CharPartNo"/>
        </w:rPr>
        <w:lastRenderedPageBreak/>
        <w:t>Part 2</w:t>
      </w:r>
      <w:r>
        <w:rPr>
          <w:rStyle w:val="CharDivNo"/>
        </w:rPr>
        <w:t> </w:t>
      </w:r>
      <w:r>
        <w:t>—</w:t>
      </w:r>
      <w:r>
        <w:rPr>
          <w:rStyle w:val="CharDivText"/>
        </w:rPr>
        <w:t> </w:t>
      </w:r>
      <w:r>
        <w:rPr>
          <w:rStyle w:val="CharPartText"/>
        </w:rPr>
        <w:t>General matters</w:t>
      </w:r>
      <w:bookmarkEnd w:id="8"/>
    </w:p>
    <w:p>
      <w:pPr>
        <w:pStyle w:val="Heading5"/>
      </w:pPr>
      <w:bookmarkStart w:id="9" w:name="_Toc154744544"/>
      <w:r>
        <w:rPr>
          <w:rStyle w:val="CharSectno"/>
        </w:rPr>
        <w:t>4</w:t>
      </w:r>
      <w:r>
        <w:t>.</w:t>
      </w:r>
      <w:r>
        <w:tab/>
        <w:t>Approval of manner or form of things (s. 3)</w:t>
      </w:r>
      <w:bookmarkEnd w:id="9"/>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lastRenderedPageBreak/>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0" w:name="_Toc154744545"/>
      <w:r>
        <w:rPr>
          <w:rStyle w:val="CharSectno"/>
        </w:rPr>
        <w:t>5A</w:t>
      </w:r>
      <w:r>
        <w:t>.</w:t>
      </w:r>
      <w:r>
        <w:tab/>
        <w:t>Authorised persons (s. 3)</w:t>
      </w:r>
      <w:bookmarkEnd w:id="10"/>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11" w:name="_Toc154744546"/>
      <w:r>
        <w:rPr>
          <w:rStyle w:val="CharSectno"/>
        </w:rPr>
        <w:lastRenderedPageBreak/>
        <w:t>5</w:t>
      </w:r>
      <w:r>
        <w:t>.</w:t>
      </w:r>
      <w:r>
        <w:tab/>
        <w:t>Building surveyors (s. 3)</w:t>
      </w:r>
      <w:bookmarkEnd w:id="11"/>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keepNext/>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spacing w:before="240"/>
      </w:pPr>
      <w:bookmarkStart w:id="12" w:name="_Toc154744547"/>
      <w:r>
        <w:rPr>
          <w:rStyle w:val="CharSectno"/>
        </w:rPr>
        <w:t>6A</w:t>
      </w:r>
      <w:r>
        <w:t>.</w:t>
      </w:r>
      <w:r>
        <w:tab/>
        <w:t>Building work (s. 3)</w:t>
      </w:r>
      <w:bookmarkEnd w:id="12"/>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13" w:name="_Toc154744548"/>
      <w:r>
        <w:rPr>
          <w:rStyle w:val="CharSectno"/>
        </w:rPr>
        <w:t>6</w:t>
      </w:r>
      <w:r>
        <w:t>.</w:t>
      </w:r>
      <w:r>
        <w:tab/>
        <w:t>Classification of buildings and incidental structures (s. 3)</w:t>
      </w:r>
      <w:bookmarkEnd w:id="13"/>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14" w:name="_Toc154744549"/>
      <w:r>
        <w:rPr>
          <w:rStyle w:val="CharSectno"/>
        </w:rPr>
        <w:t>10</w:t>
      </w:r>
      <w:r>
        <w:t>.</w:t>
      </w:r>
      <w:r>
        <w:tab/>
        <w:t>Owners of land (s. 5(1))</w:t>
      </w:r>
      <w:bookmarkEnd w:id="14"/>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lastRenderedPageBreak/>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keepNext/>
      </w:pPr>
      <w:r>
        <w:lastRenderedPageBreak/>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15" w:name="_Toc154744550"/>
      <w:r>
        <w:rPr>
          <w:rStyle w:val="CharSectno"/>
        </w:rPr>
        <w:t>11A</w:t>
      </w:r>
      <w:r>
        <w:t>.</w:t>
      </w:r>
      <w:r>
        <w:tab/>
        <w:t>Restriction on circumstances where person treated as owner (s. 5(2))</w:t>
      </w:r>
      <w:bookmarkEnd w:id="15"/>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 xml:space="preserve">For the purposes of section 16(b), in the circumstances where a person who holds an interest referred to in regulation 10(1)(b) </w:t>
      </w:r>
      <w:r>
        <w:lastRenderedPageBreak/>
        <w:t>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16" w:name="_Toc154744551"/>
      <w:r>
        <w:rPr>
          <w:rStyle w:val="CharSectno"/>
        </w:rPr>
        <w:t>11</w:t>
      </w:r>
      <w:r>
        <w:t>.</w:t>
      </w:r>
      <w:r>
        <w:tab/>
        <w:t>Fees</w:t>
      </w:r>
      <w:bookmarkEnd w:id="16"/>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17" w:name="_Toc154744552"/>
      <w:r>
        <w:rPr>
          <w:rStyle w:val="CharSectno"/>
        </w:rPr>
        <w:t>12</w:t>
      </w:r>
      <w:r>
        <w:t>.</w:t>
      </w:r>
      <w:r>
        <w:tab/>
        <w:t>Building records to be kept (s. 130)</w:t>
      </w:r>
      <w:bookmarkEnd w:id="17"/>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8" w:name="_Toc154744553"/>
      <w:r>
        <w:rPr>
          <w:rStyle w:val="CharSectno"/>
        </w:rPr>
        <w:lastRenderedPageBreak/>
        <w:t>13</w:t>
      </w:r>
      <w:r>
        <w:t>.</w:t>
      </w:r>
      <w:r>
        <w:tab/>
        <w:t>Inspection, copies of building records (s. 131)</w:t>
      </w:r>
      <w:bookmarkEnd w:id="18"/>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19" w:name="_Toc154744554"/>
      <w:r>
        <w:rPr>
          <w:rStyle w:val="CharSectno"/>
        </w:rPr>
        <w:t>14</w:t>
      </w:r>
      <w:r>
        <w:t>.</w:t>
      </w:r>
      <w:r>
        <w:tab/>
        <w:t>Provision of information to Building Commissioner (s. 132)</w:t>
      </w:r>
      <w:bookmarkEnd w:id="19"/>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0" w:name="_Toc154744555"/>
      <w:r>
        <w:rPr>
          <w:rStyle w:val="CharSectno"/>
        </w:rPr>
        <w:lastRenderedPageBreak/>
        <w:t>14A</w:t>
      </w:r>
      <w:r>
        <w:t>.</w:t>
      </w:r>
      <w:r>
        <w:tab/>
        <w:t>Confidentiality exceptions (s. 146)</w:t>
      </w:r>
      <w:bookmarkEnd w:id="20"/>
    </w:p>
    <w:p>
      <w:pPr>
        <w:pStyle w:val="Subsection"/>
      </w:pPr>
      <w:r>
        <w:tab/>
        <w:t>(1)</w:t>
      </w:r>
      <w:r>
        <w:tab/>
        <w:t xml:space="preserve">In this regulation — </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Defstart"/>
      </w:pPr>
      <w:r>
        <w:tab/>
      </w:r>
      <w:r>
        <w:rPr>
          <w:rStyle w:val="CharDefText"/>
        </w:rPr>
        <w:t>WorkSafe Commissioner</w:t>
      </w:r>
      <w:r>
        <w:t xml:space="preserve"> means the person appointed under the </w:t>
      </w:r>
      <w:r>
        <w:rPr>
          <w:i/>
        </w:rPr>
        <w:t>Work Health and Safety Act 2020</w:t>
      </w:r>
      <w:r>
        <w:t xml:space="preserve"> Schedule 1 Division 1.</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Work Health and Safety (General) Regulations 2022</w:t>
      </w:r>
      <w:r>
        <w:t xml:space="preserve"> regulation 315A may be disclosed to the regulator.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 amended: SL 2022/26 r. 4.]</w:t>
      </w:r>
    </w:p>
    <w:p>
      <w:pPr>
        <w:pStyle w:val="Heading5"/>
      </w:pPr>
      <w:bookmarkStart w:id="21" w:name="_Toc154744556"/>
      <w:r>
        <w:rPr>
          <w:rStyle w:val="CharSectno"/>
        </w:rPr>
        <w:t>15A</w:t>
      </w:r>
      <w:r>
        <w:t>.</w:t>
      </w:r>
      <w:r>
        <w:tab/>
        <w:t>Provision of information to FES Commissioner (s. 149)</w:t>
      </w:r>
      <w:bookmarkEnd w:id="21"/>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lastRenderedPageBreak/>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22" w:name="_Toc154744557"/>
      <w:r>
        <w:rPr>
          <w:rStyle w:val="CharSectno"/>
        </w:rPr>
        <w:t>15B</w:t>
      </w:r>
      <w:r>
        <w:t>.</w:t>
      </w:r>
      <w:r>
        <w:tab/>
        <w:t>Modifications to AS 1926.1</w:t>
      </w:r>
      <w:r>
        <w:noBreakHyphen/>
        <w:t>2012 (s. 150)</w:t>
      </w:r>
      <w:bookmarkEnd w:id="22"/>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23" w:name="_Toc154744558"/>
      <w:r>
        <w:rPr>
          <w:rStyle w:val="CharSectno"/>
        </w:rPr>
        <w:t>15C</w:t>
      </w:r>
      <w:r>
        <w:t>.</w:t>
      </w:r>
      <w:r>
        <w:tab/>
        <w:t>Modifications to Building Code (s. 150)</w:t>
      </w:r>
      <w:bookmarkEnd w:id="23"/>
    </w:p>
    <w:p>
      <w:pPr>
        <w:pStyle w:val="Subsection"/>
      </w:pPr>
      <w:r>
        <w:tab/>
        <w:t>(1)</w:t>
      </w:r>
      <w:r>
        <w:tab/>
        <w:t xml:space="preserve">This regulation modifies the text of the Building Code. </w:t>
      </w:r>
    </w:p>
    <w:p>
      <w:pPr>
        <w:pStyle w:val="Subsection"/>
      </w:pPr>
      <w:r>
        <w:tab/>
        <w:t>(2)</w:t>
      </w:r>
      <w:r>
        <w:tab/>
        <w:t xml:space="preserve">The Building Code Volume One Part J0.2 (2019 edition) is modified to delete paragraph (a) and insert: </w:t>
      </w:r>
    </w:p>
    <w:p>
      <w:pPr>
        <w:pStyle w:val="BlankOpen"/>
      </w:pPr>
    </w:p>
    <w:p>
      <w:pPr>
        <w:pStyle w:val="Indenta"/>
      </w:pPr>
      <w:r>
        <w:tab/>
        <w:t>(a)</w:t>
      </w:r>
      <w:r>
        <w:tab/>
        <w:t>for reducing the heating or cooling loads —</w:t>
      </w:r>
    </w:p>
    <w:p>
      <w:pPr>
        <w:pStyle w:val="Indenti"/>
      </w:pPr>
      <w:r>
        <w:lastRenderedPageBreak/>
        <w:tab/>
        <w:t>(i)</w:t>
      </w:r>
      <w:r>
        <w:tab/>
        <w:t>collectively achieve an average energy rating of not less than 6 stars; and</w:t>
      </w:r>
    </w:p>
    <w:p>
      <w:pPr>
        <w:pStyle w:val="Indenti"/>
      </w:pPr>
      <w:r>
        <w:tab/>
        <w:t>(ii)</w:t>
      </w:r>
      <w:r>
        <w:tab/>
        <w:t>individually achieve an energy rating of not less than 5 stars,</w:t>
      </w:r>
    </w:p>
    <w:p>
      <w:pPr>
        <w:pStyle w:val="Indenta"/>
        <w:keepNext/>
      </w:pPr>
      <w:r>
        <w:tab/>
      </w:r>
      <w:r>
        <w:tab/>
        <w:t xml:space="preserve">using </w:t>
      </w:r>
      <w:r>
        <w:rPr>
          <w:i/>
        </w:rPr>
        <w:t>house energy rating software</w:t>
      </w:r>
      <w:r>
        <w:t>; and</w:t>
      </w:r>
    </w:p>
    <w:p>
      <w:pPr>
        <w:pStyle w:val="BlankClose"/>
      </w:pPr>
    </w:p>
    <w:p>
      <w:pPr>
        <w:pStyle w:val="Subsection"/>
      </w:pPr>
      <w:r>
        <w:tab/>
        <w:t>(3)</w:t>
      </w:r>
      <w:r>
        <w:tab/>
        <w:t>The Building Code Volume Two Part 3.12.0.1 (2019 edition) is modified as follows —</w:t>
      </w:r>
    </w:p>
    <w:p>
      <w:pPr>
        <w:pStyle w:val="Indenta"/>
      </w:pPr>
      <w:r>
        <w:tab/>
        <w:t>(a)</w:t>
      </w:r>
      <w:r>
        <w:tab/>
        <w:t xml:space="preserve">in paragraph (a) delete “A building must achieve an energy rating, including the separate heating and cooling 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Subsection"/>
      </w:pPr>
      <w:r>
        <w:tab/>
        <w:t>(4)</w:t>
      </w:r>
      <w:r>
        <w:tab/>
        <w:t>The Building Code (2022 edition) Volume One Part J3 is modified to delete clause J3D3(2) and insert:</w:t>
      </w:r>
    </w:p>
    <w:p>
      <w:pPr>
        <w:pStyle w:val="BlankOpen"/>
      </w:pPr>
    </w:p>
    <w:p>
      <w:pPr>
        <w:pStyle w:val="Indenta"/>
      </w:pPr>
      <w:r>
        <w:tab/>
        <w:t>(2)</w:t>
      </w:r>
      <w:r>
        <w:tab/>
        <w:t xml:space="preserve">Energy ratings referred to in (1)(a)(i) and (ii) must be achieved using </w:t>
      </w:r>
      <w:r>
        <w:rPr>
          <w:i/>
          <w:iCs/>
        </w:rPr>
        <w:t>house energy rating software</w:t>
      </w:r>
      <w:r>
        <w:t>.</w:t>
      </w:r>
    </w:p>
    <w:p>
      <w:pPr>
        <w:pStyle w:val="BlankClose"/>
      </w:pPr>
    </w:p>
    <w:p>
      <w:pPr>
        <w:pStyle w:val="Subsection"/>
      </w:pPr>
      <w:r>
        <w:tab/>
        <w:t>(5)</w:t>
      </w:r>
      <w:r>
        <w:tab/>
        <w:t>The Building Code (2022 edition) Volume Two Specification 42 clause S42C2(1) is modified to delete “, including the separate heating and cooling load limits,”.</w:t>
      </w:r>
    </w:p>
    <w:p>
      <w:pPr>
        <w:pStyle w:val="Footnotesection"/>
      </w:pPr>
      <w:r>
        <w:tab/>
        <w:t>[Regulation 15C inserted: SL 2020/28 r. 4; amended: SL 2022/162 r. 6; SL 2023/146 r. 4(1).]</w:t>
      </w:r>
    </w:p>
    <w:p>
      <w:pPr>
        <w:pStyle w:val="Heading2"/>
      </w:pPr>
      <w:bookmarkStart w:id="24" w:name="_Toc154744559"/>
      <w:r>
        <w:rPr>
          <w:rStyle w:val="CharPartNo"/>
        </w:rPr>
        <w:lastRenderedPageBreak/>
        <w:t>Part 3</w:t>
      </w:r>
      <w:r>
        <w:rPr>
          <w:rStyle w:val="CharDivNo"/>
        </w:rPr>
        <w:t> </w:t>
      </w:r>
      <w:r>
        <w:t>—</w:t>
      </w:r>
      <w:r>
        <w:rPr>
          <w:rStyle w:val="CharDivText"/>
        </w:rPr>
        <w:t> </w:t>
      </w:r>
      <w:r>
        <w:rPr>
          <w:rStyle w:val="CharPartText"/>
        </w:rPr>
        <w:t>Building and demolition permits</w:t>
      </w:r>
      <w:bookmarkEnd w:id="24"/>
    </w:p>
    <w:p>
      <w:pPr>
        <w:pStyle w:val="Heading5"/>
        <w:spacing w:before="240"/>
      </w:pPr>
      <w:bookmarkStart w:id="25" w:name="_Toc154744560"/>
      <w:r>
        <w:rPr>
          <w:rStyle w:val="CharSectno"/>
        </w:rPr>
        <w:t>15</w:t>
      </w:r>
      <w:r>
        <w:t>.</w:t>
      </w:r>
      <w:r>
        <w:tab/>
        <w:t>Uncertified applications (s. 14(2))</w:t>
      </w:r>
      <w:bookmarkEnd w:id="25"/>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26" w:name="_Toc154744561"/>
      <w:r>
        <w:rPr>
          <w:rStyle w:val="CharSectno"/>
        </w:rPr>
        <w:t>16</w:t>
      </w:r>
      <w:r>
        <w:t>.</w:t>
      </w:r>
      <w:r>
        <w:tab/>
        <w:t>Application for building and demolition permits (s. 16)</w:t>
      </w:r>
      <w:bookmarkEnd w:id="26"/>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lastRenderedPageBreak/>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lastRenderedPageBreak/>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27" w:name="_Toc154744562"/>
      <w:r>
        <w:rPr>
          <w:rStyle w:val="CharSectno"/>
        </w:rPr>
        <w:t>17</w:t>
      </w:r>
      <w:r>
        <w:t>.</w:t>
      </w:r>
      <w:r>
        <w:tab/>
        <w:t>Further information (s. 18(3) and (4))</w:t>
      </w:r>
      <w:bookmarkEnd w:id="27"/>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28" w:name="_Toc154744563"/>
      <w:r>
        <w:rPr>
          <w:rStyle w:val="CharSectno"/>
        </w:rPr>
        <w:t>18A</w:t>
      </w:r>
      <w:r>
        <w:t>.</w:t>
      </w:r>
      <w:r>
        <w:tab/>
        <w:t>Certificate of design compliance — contents (s. 19(5))</w:t>
      </w:r>
      <w:bookmarkEnd w:id="28"/>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lastRenderedPageBreak/>
        <w:tab/>
        <w:t>(b)</w:t>
      </w:r>
      <w:r>
        <w:tab/>
        <w:t>if a declaration under section 39 has been made in respect of the building that is the subject of the application, a statement to that effect;</w:t>
      </w:r>
    </w:p>
    <w:p>
      <w:pPr>
        <w:pStyle w:val="Indenta"/>
      </w:pPr>
      <w:r>
        <w:tab/>
        <w:t>(c)</w:t>
      </w:r>
      <w:r>
        <w:tab/>
        <w:t xml:space="preserve">if the certificate of design compliance is in respect of a Class 2 to Class 9 building or an incidental structure associated with such a building — </w:t>
      </w:r>
    </w:p>
    <w:p>
      <w:pPr>
        <w:pStyle w:val="Indenti"/>
      </w:pPr>
      <w:r>
        <w:tab/>
        <w:t>(i)</w:t>
      </w:r>
      <w:r>
        <w:tab/>
        <w:t>a statement about each performance solution to a building standard that applies to the building work; and</w:t>
      </w:r>
    </w:p>
    <w:p>
      <w:pPr>
        <w:pStyle w:val="Indenti"/>
      </w:pPr>
      <w:r>
        <w:tab/>
        <w:t>(ii)</w:t>
      </w:r>
      <w:r>
        <w:tab/>
        <w:t>details of the assessment methods set out in the Building Code Volume One Part A2 governing requirement A2G2 that were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keepNext/>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 xml:space="preserve">if the building or deck is, or is proposed to be, located in an area that is a bush fire prone area and, in accordance with regulation 31BA(1) or 31D, a bush fire performance requirement </w:t>
      </w:r>
      <w:r>
        <w:lastRenderedPageBreak/>
        <w:t>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keepNext/>
      </w:pPr>
      <w:r>
        <w:tab/>
        <w:t>(a)</w:t>
      </w:r>
      <w:r>
        <w:tab/>
        <w:t xml:space="preserve">in all cases — </w:t>
      </w:r>
    </w:p>
    <w:p>
      <w:pPr>
        <w:pStyle w:val="Indenti"/>
      </w:pPr>
      <w:r>
        <w:tab/>
        <w:t>(i)</w:t>
      </w:r>
      <w:r>
        <w:tab/>
        <w:t>the BAL for the building site; or</w:t>
      </w:r>
    </w:p>
    <w:p>
      <w:pPr>
        <w:pStyle w:val="Indenti"/>
        <w:keepNext/>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keepNext/>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keepNext/>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 SL 2021/42 r. 5; SL 2022/162 r. 7.]</w:t>
      </w:r>
    </w:p>
    <w:p>
      <w:pPr>
        <w:pStyle w:val="Heading5"/>
      </w:pPr>
      <w:bookmarkStart w:id="29" w:name="_Toc154744564"/>
      <w:r>
        <w:rPr>
          <w:rStyle w:val="CharSectno"/>
        </w:rPr>
        <w:t>18B</w:t>
      </w:r>
      <w:r>
        <w:t>.</w:t>
      </w:r>
      <w:r>
        <w:tab/>
        <w:t>Certificate of design compliance — preliminary action (s. 19(6))</w:t>
      </w:r>
      <w:bookmarkEnd w:id="29"/>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keepNext/>
      </w:pPr>
      <w:r>
        <w:lastRenderedPageBreak/>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keepNext/>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keepNext/>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keepNext/>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keepNext/>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30" w:name="_Toc154744565"/>
      <w:r>
        <w:rPr>
          <w:rStyle w:val="CharSectno"/>
        </w:rPr>
        <w:lastRenderedPageBreak/>
        <w:t>18C</w:t>
      </w:r>
      <w:r>
        <w:t>.</w:t>
      </w:r>
      <w:r>
        <w:tab/>
        <w:t>Certificate of design compliance — things to accompany (s. 149)</w:t>
      </w:r>
      <w:bookmarkEnd w:id="30"/>
    </w:p>
    <w:p>
      <w:pPr>
        <w:pStyle w:val="Subsection"/>
      </w:pPr>
      <w:r>
        <w:tab/>
        <w:t>(1)</w:t>
      </w:r>
      <w:r>
        <w:tab/>
        <w:t>It is sufficient compliance with regulation 18A(d)(i) to attach to the certificate of design compliance a copy of the advice given by the FES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31" w:name="_Toc154744566"/>
      <w:r>
        <w:rPr>
          <w:rStyle w:val="CharSectno"/>
        </w:rPr>
        <w:t>18</w:t>
      </w:r>
      <w:r>
        <w:t>.</w:t>
      </w:r>
      <w:r>
        <w:tab/>
        <w:t>Grant of building permit (s. 20)</w:t>
      </w:r>
      <w:bookmarkEnd w:id="31"/>
    </w:p>
    <w:p>
      <w:pPr>
        <w:pStyle w:val="Subsection"/>
        <w:spacing w:before="120"/>
      </w:pPr>
      <w:r>
        <w:tab/>
        <w:t>(1)</w:t>
      </w:r>
      <w:r>
        <w:tab/>
        <w:t>For the purposes of section 20(1)(b), building work that is not builder work is specified.</w:t>
      </w:r>
    </w:p>
    <w:p>
      <w:pPr>
        <w:pStyle w:val="Subsection"/>
        <w:keepNext/>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Indenta"/>
      </w:pPr>
      <w:r>
        <w:tab/>
        <w:t>(d)</w:t>
      </w:r>
      <w:r>
        <w:tab/>
        <w:t>if the building work involves the development of land that is subject to the Swan Valley Planning Scheme, any approval required under Part 9 of that Scheme.</w:t>
      </w:r>
    </w:p>
    <w:p>
      <w:pPr>
        <w:pStyle w:val="Subsection"/>
        <w:keepNext/>
        <w:spacing w:before="120"/>
      </w:pPr>
      <w:r>
        <w:lastRenderedPageBreak/>
        <w:tab/>
        <w:t>(3)</w:t>
      </w:r>
      <w:r>
        <w:tab/>
        <w:t xml:space="preserve">For the purposes of section 20(1)(r), the following notifications are prescribed — </w:t>
      </w:r>
    </w:p>
    <w:p>
      <w:pPr>
        <w:pStyle w:val="Indenta"/>
        <w:keepNext/>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keepNext/>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 SL 2022/162 r. 8.]</w:t>
      </w:r>
    </w:p>
    <w:p>
      <w:pPr>
        <w:pStyle w:val="Heading5"/>
      </w:pPr>
      <w:bookmarkStart w:id="32" w:name="_Toc154744567"/>
      <w:r>
        <w:rPr>
          <w:rStyle w:val="CharSectno"/>
        </w:rPr>
        <w:t>19</w:t>
      </w:r>
      <w:r>
        <w:t>.</w:t>
      </w:r>
      <w:r>
        <w:tab/>
        <w:t>Grant of demolition permit (s. 21)</w:t>
      </w:r>
      <w:bookmarkEnd w:id="32"/>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keepNext/>
      </w:pPr>
      <w:r>
        <w:lastRenderedPageBreak/>
        <w:tab/>
        <w:t>(2)</w:t>
      </w:r>
      <w:r>
        <w:tab/>
        <w:t>For the purposes of section 21(1)(n) the following notifications are prescribed —</w:t>
      </w:r>
    </w:p>
    <w:p>
      <w:pPr>
        <w:pStyle w:val="Indenta"/>
        <w:keepNext/>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Work Health and Safety (General) Regulations 2022</w:t>
      </w:r>
      <w:r>
        <w:t xml:space="preserve"> regulation 142F;</w:t>
      </w:r>
    </w:p>
    <w:p>
      <w:pPr>
        <w:pStyle w:val="Indenta"/>
      </w:pPr>
      <w:r>
        <w:tab/>
        <w:t>(c)</w:t>
      </w:r>
      <w:r>
        <w:tab/>
        <w:t>notification of the intended demolition work to each person who provides electricity or gas services to the place that is the subject of the application.</w:t>
      </w:r>
    </w:p>
    <w:p>
      <w:pPr>
        <w:pStyle w:val="Subsection"/>
        <w:keepNext/>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 SL 2022/26 r. 5.]</w:t>
      </w:r>
    </w:p>
    <w:p>
      <w:pPr>
        <w:pStyle w:val="Heading5"/>
      </w:pPr>
      <w:bookmarkStart w:id="33" w:name="_Toc154744568"/>
      <w:r>
        <w:rPr>
          <w:rStyle w:val="CharSectno"/>
        </w:rPr>
        <w:lastRenderedPageBreak/>
        <w:t>20</w:t>
      </w:r>
      <w:r>
        <w:t>.</w:t>
      </w:r>
      <w:r>
        <w:tab/>
        <w:t>Time for deciding application for building or demolition permit (s. 23)</w:t>
      </w:r>
      <w:bookmarkEnd w:id="33"/>
    </w:p>
    <w:p>
      <w:pPr>
        <w:pStyle w:val="Subsection"/>
        <w:keepNext/>
      </w:pPr>
      <w:r>
        <w:tab/>
        <w:t>(1)</w:t>
      </w:r>
      <w:r>
        <w:tab/>
        <w:t xml:space="preserve">For the purposes of section 23(1)(a), the period for buildings of all classifications is — </w:t>
      </w:r>
    </w:p>
    <w:p>
      <w:pPr>
        <w:pStyle w:val="Indenta"/>
        <w:keepNext/>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keepNext/>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keepNext/>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34" w:name="_Toc154744569"/>
      <w:r>
        <w:rPr>
          <w:rStyle w:val="CharSectno"/>
        </w:rPr>
        <w:t>21</w:t>
      </w:r>
      <w:r>
        <w:t>.</w:t>
      </w:r>
      <w:r>
        <w:tab/>
        <w:t>Form and content of building permit (s. 25)</w:t>
      </w:r>
      <w:bookmarkEnd w:id="34"/>
    </w:p>
    <w:p>
      <w:pPr>
        <w:pStyle w:val="Subsection"/>
        <w:keepNext/>
      </w:pPr>
      <w:r>
        <w:tab/>
      </w:r>
      <w:r>
        <w:tab/>
        <w:t xml:space="preserve">For the purposes of section 25(3)(e), the following details about the builder are prescribed — </w:t>
      </w:r>
    </w:p>
    <w:p>
      <w:pPr>
        <w:pStyle w:val="Indenta"/>
      </w:pPr>
      <w:r>
        <w:tab/>
        <w:t>(a)</w:t>
      </w:r>
      <w:r>
        <w:tab/>
        <w:t>the name of the builder;</w:t>
      </w:r>
    </w:p>
    <w:p>
      <w:pPr>
        <w:pStyle w:val="Indenta"/>
        <w:keepNext/>
      </w:pPr>
      <w:r>
        <w:lastRenderedPageBreak/>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35" w:name="_Toc154744570"/>
      <w:r>
        <w:rPr>
          <w:rStyle w:val="CharSectno"/>
        </w:rPr>
        <w:t>22</w:t>
      </w:r>
      <w:r>
        <w:t>.</w:t>
      </w:r>
      <w:r>
        <w:tab/>
        <w:t>Form and content of demolition permit (s. 25)</w:t>
      </w:r>
      <w:bookmarkEnd w:id="35"/>
    </w:p>
    <w:p>
      <w:pPr>
        <w:pStyle w:val="Subsection"/>
        <w:keepNext/>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keepNext/>
      </w:pPr>
      <w:r>
        <w:tab/>
        <w:t>(b)</w:t>
      </w:r>
      <w:r>
        <w:tab/>
        <w:t xml:space="preserve">if a licence has been issued to the contractor under the </w:t>
      </w:r>
      <w:r>
        <w:rPr>
          <w:i/>
        </w:rPr>
        <w:t>Work Health and Safety (General) Regulations 2022</w:t>
      </w:r>
      <w:r>
        <w:t xml:space="preserve"> regulation 142R(3) — the number of that licence.</w:t>
      </w:r>
    </w:p>
    <w:p>
      <w:pPr>
        <w:pStyle w:val="Footnotesection"/>
        <w:spacing w:before="100"/>
      </w:pPr>
      <w:r>
        <w:tab/>
        <w:t>[Regulation 22 amended: SL 2022/26 r. 6.]</w:t>
      </w:r>
    </w:p>
    <w:p>
      <w:pPr>
        <w:pStyle w:val="Ednotesection"/>
        <w:spacing w:before="240"/>
      </w:pPr>
      <w:r>
        <w:t>[</w:t>
      </w:r>
      <w:r>
        <w:rPr>
          <w:b/>
        </w:rPr>
        <w:t>23A.</w:t>
      </w:r>
      <w:r>
        <w:tab/>
        <w:t>Deleted: Gazette 21 Jun 2013 p. 2446.]</w:t>
      </w:r>
    </w:p>
    <w:p>
      <w:pPr>
        <w:pStyle w:val="Heading5"/>
      </w:pPr>
      <w:bookmarkStart w:id="36" w:name="_Toc154744571"/>
      <w:r>
        <w:rPr>
          <w:rStyle w:val="CharSectno"/>
        </w:rPr>
        <w:t>23</w:t>
      </w:r>
      <w:r>
        <w:t>.</w:t>
      </w:r>
      <w:r>
        <w:tab/>
        <w:t>Application to extend time during which permit has effect (s. 32)</w:t>
      </w:r>
      <w:bookmarkEnd w:id="36"/>
    </w:p>
    <w:p>
      <w:pPr>
        <w:pStyle w:val="Subsection"/>
        <w:keepNext/>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keepNext/>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lastRenderedPageBreak/>
        <w:tab/>
        <w:t>(iii)</w:t>
      </w:r>
      <w:r>
        <w:tab/>
        <w:t>the period for which the extension is sought.</w:t>
      </w:r>
    </w:p>
    <w:p>
      <w:pPr>
        <w:pStyle w:val="Subsection"/>
        <w:keepNext/>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keepNext/>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keepNext/>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keepNext/>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keepNext/>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37" w:name="_Toc154744572"/>
      <w:r>
        <w:rPr>
          <w:rStyle w:val="CharSectno"/>
        </w:rPr>
        <w:lastRenderedPageBreak/>
        <w:t>24</w:t>
      </w:r>
      <w:r>
        <w:t>.</w:t>
      </w:r>
      <w:r>
        <w:tab/>
        <w:t>Extension of time during which permit has effect (s. 32(3))</w:t>
      </w:r>
      <w:bookmarkEnd w:id="37"/>
    </w:p>
    <w:p>
      <w:pPr>
        <w:pStyle w:val="Subsection"/>
        <w:keepNext/>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38" w:name="_Toc154744573"/>
      <w:r>
        <w:rPr>
          <w:rStyle w:val="CharSectno"/>
        </w:rPr>
        <w:t>25</w:t>
      </w:r>
      <w:r>
        <w:t>.</w:t>
      </w:r>
      <w:r>
        <w:tab/>
        <w:t>Review of decision to refuse to extend time during which permit has effect (s. 32(3))</w:t>
      </w:r>
      <w:bookmarkEnd w:id="38"/>
    </w:p>
    <w:p>
      <w:pPr>
        <w:pStyle w:val="Subsection"/>
        <w:keepNext/>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Lines w:val="0"/>
        <w:spacing w:before="180"/>
      </w:pPr>
      <w:bookmarkStart w:id="39" w:name="_Toc154744574"/>
      <w:r>
        <w:rPr>
          <w:rStyle w:val="CharSectno"/>
        </w:rPr>
        <w:t>26</w:t>
      </w:r>
      <w:r>
        <w:t>.</w:t>
      </w:r>
      <w:r>
        <w:tab/>
        <w:t>Approval of new responsible person (s. 35(c))</w:t>
      </w:r>
      <w:bookmarkEnd w:id="39"/>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keepNext/>
      </w:pPr>
      <w:r>
        <w:lastRenderedPageBreak/>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keepNext/>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keepNext/>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Pr>
      <w:bookmarkStart w:id="40" w:name="_Toc154744575"/>
      <w:r>
        <w:rPr>
          <w:rStyle w:val="CharSectno"/>
        </w:rPr>
        <w:t>27</w:t>
      </w:r>
      <w:r>
        <w:t>.</w:t>
      </w:r>
      <w:r>
        <w:tab/>
        <w:t>Required inspection and tests: Class 2 to Class 9 buildings (s. 36(2)(a))</w:t>
      </w:r>
      <w:bookmarkEnd w:id="40"/>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41" w:name="_Toc154744576"/>
      <w:r>
        <w:rPr>
          <w:rStyle w:val="CharSectno"/>
        </w:rPr>
        <w:lastRenderedPageBreak/>
        <w:t>28</w:t>
      </w:r>
      <w:r>
        <w:t>.</w:t>
      </w:r>
      <w:r>
        <w:tab/>
        <w:t>Required inspection: barrier to private swimming pool (s. 36(2)(a))</w:t>
      </w:r>
      <w:bookmarkEnd w:id="41"/>
    </w:p>
    <w:p>
      <w:pPr>
        <w:pStyle w:val="Subsection"/>
        <w:keepNext/>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42" w:name="_Toc154744577"/>
      <w:r>
        <w:rPr>
          <w:rStyle w:val="CharSectno"/>
        </w:rPr>
        <w:t>29</w:t>
      </w:r>
      <w:r>
        <w:t>.</w:t>
      </w:r>
      <w:r>
        <w:tab/>
        <w:t>Inspection certificates (s. 36(2)(h) and (j))</w:t>
      </w:r>
      <w:bookmarkEnd w:id="42"/>
    </w:p>
    <w:p>
      <w:pPr>
        <w:pStyle w:val="Subsection"/>
        <w:keepNext/>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3" w:name="_Toc154744578"/>
      <w:r>
        <w:rPr>
          <w:rStyle w:val="CharSectno"/>
        </w:rPr>
        <w:lastRenderedPageBreak/>
        <w:t>30</w:t>
      </w:r>
      <w:r>
        <w:t>.</w:t>
      </w:r>
      <w:r>
        <w:tab/>
        <w:t>Transitional provisions (s. 203)</w:t>
      </w:r>
      <w:bookmarkEnd w:id="43"/>
    </w:p>
    <w:p>
      <w:pPr>
        <w:pStyle w:val="Subsection"/>
        <w:keepNext/>
        <w:keepLines/>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44" w:name="_Toc154744579"/>
      <w:r>
        <w:rPr>
          <w:rStyle w:val="CharPartNo"/>
        </w:rPr>
        <w:lastRenderedPageBreak/>
        <w:t>Part 4</w:t>
      </w:r>
      <w:r>
        <w:t> — </w:t>
      </w:r>
      <w:r>
        <w:rPr>
          <w:rStyle w:val="CharPartText"/>
        </w:rPr>
        <w:t>Building standards</w:t>
      </w:r>
      <w:bookmarkEnd w:id="44"/>
    </w:p>
    <w:p>
      <w:pPr>
        <w:pStyle w:val="Heading3"/>
        <w:spacing w:before="220"/>
      </w:pPr>
      <w:bookmarkStart w:id="45" w:name="_Toc154744580"/>
      <w:r>
        <w:rPr>
          <w:rStyle w:val="CharDivNo"/>
        </w:rPr>
        <w:t>Division 1</w:t>
      </w:r>
      <w:r>
        <w:t> — </w:t>
      </w:r>
      <w:r>
        <w:rPr>
          <w:rStyle w:val="CharDivText"/>
        </w:rPr>
        <w:t>Applicable building standards</w:t>
      </w:r>
      <w:bookmarkEnd w:id="45"/>
    </w:p>
    <w:p>
      <w:pPr>
        <w:pStyle w:val="Footnoteheading"/>
        <w:spacing w:before="100"/>
      </w:pPr>
      <w:r>
        <w:tab/>
        <w:t>[Heading inserted: Gazette 18 Dec 2012 p. 6562.]</w:t>
      </w:r>
    </w:p>
    <w:p>
      <w:pPr>
        <w:pStyle w:val="Heading4"/>
        <w:spacing w:before="220"/>
      </w:pPr>
      <w:bookmarkStart w:id="46" w:name="_Toc154744581"/>
      <w:r>
        <w:t>Subdivision 1 — Building standards in relation to construction</w:t>
      </w:r>
      <w:bookmarkEnd w:id="46"/>
    </w:p>
    <w:p>
      <w:pPr>
        <w:pStyle w:val="Footnoteheading"/>
        <w:spacing w:before="100"/>
      </w:pPr>
      <w:r>
        <w:tab/>
        <w:t>[Heading inserted: Gazette 18 Dec 2012 p. 6562.]</w:t>
      </w:r>
    </w:p>
    <w:p>
      <w:pPr>
        <w:pStyle w:val="Heading5"/>
        <w:spacing w:before="200"/>
      </w:pPr>
      <w:bookmarkStart w:id="47" w:name="_Toc154744582"/>
      <w:r>
        <w:rPr>
          <w:rStyle w:val="CharSectno"/>
        </w:rPr>
        <w:t>31A</w:t>
      </w:r>
      <w:r>
        <w:t>.</w:t>
      </w:r>
      <w:r>
        <w:tab/>
        <w:t>Applicable building standards generally (s. 3, 19(3) and 37(1))</w:t>
      </w:r>
      <w:bookmarkEnd w:id="47"/>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keepNext/>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 xml:space="preserve">set out in the edition of the Building Code that was in effect 12 months before the time the application for the building permit is made. </w:t>
      </w:r>
    </w:p>
    <w:p>
      <w:pPr>
        <w:pStyle w:val="Ednotepara"/>
      </w:pPr>
      <w:r>
        <w:tab/>
        <w:t>[(c)</w:t>
      </w:r>
      <w:r>
        <w:tab/>
        <w:t>deleted]</w:t>
      </w:r>
    </w:p>
    <w:p>
      <w:pPr>
        <w:pStyle w:val="Ednotesubsection"/>
      </w:pPr>
      <w:r>
        <w:tab/>
        <w:t>[(2A)</w:t>
      </w:r>
      <w:r>
        <w:tab/>
        <w:t>deleted]</w:t>
      </w:r>
    </w:p>
    <w:p>
      <w:pPr>
        <w:pStyle w:val="Subsection"/>
      </w:pPr>
      <w:r>
        <w:tab/>
        <w:t>(3)</w:t>
      </w:r>
      <w:r>
        <w:tab/>
        <w:t>For the purposes of subregulation (2), the applicable building standards include the governing requirements set out in the Building Code.</w:t>
      </w:r>
    </w:p>
    <w:p>
      <w:pPr>
        <w:pStyle w:val="Subsection"/>
        <w:keepNext/>
      </w:pPr>
      <w:r>
        <w:lastRenderedPageBreak/>
        <w:tab/>
        <w:t>(4)</w:t>
      </w:r>
      <w:r>
        <w:tab/>
        <w:t>If the applicable building standards are set out in a superseded edition of the Building Code, a reference in these regulations to a Volume, Section, Part, Type, clause or Schedule of the Building Code is taken to be a reference to the corresponding Volume, Section, Part, Type, clause or Schedule of the superseded edition of the Building Code.</w:t>
      </w:r>
    </w:p>
    <w:p>
      <w:pPr>
        <w:pStyle w:val="Footnotesection"/>
        <w:spacing w:before="100"/>
      </w:pPr>
      <w:r>
        <w:tab/>
        <w:t>[Regulation 31A inserted: Gazette 18 Dec 2012 p. 6562-3; amended: Gazette 7 Dec 2015 p. 4898; 9 Mar 2018 p. 800; 5 Oct 2018 p. 4013; 26 Mar 2019 p. 946; SL 2020/46 r. 5; SL 2020/192 r. 4; SL 2022/162 r. 9.]</w:t>
      </w:r>
    </w:p>
    <w:p>
      <w:pPr>
        <w:pStyle w:val="Heading5"/>
      </w:pPr>
      <w:bookmarkStart w:id="48" w:name="_Toc154744583"/>
      <w:r>
        <w:rPr>
          <w:rStyle w:val="CharSectno"/>
        </w:rPr>
        <w:t>31BA</w:t>
      </w:r>
      <w:r>
        <w:t>.</w:t>
      </w:r>
      <w:r>
        <w:tab/>
        <w:t>Applicable building standards for buildings and incidental structures in bush fire prone areas (s. 3, 19(3), 37(1) and (2), 57(3), 49(b), 51(2) and (3))</w:t>
      </w:r>
      <w:bookmarkEnd w:id="48"/>
    </w:p>
    <w:p>
      <w:pPr>
        <w:pStyle w:val="Subsection"/>
        <w:keepNext/>
        <w:spacing w:before="100"/>
      </w:pPr>
      <w:r>
        <w:tab/>
        <w:t>(1A)</w:t>
      </w:r>
      <w:r>
        <w:tab/>
        <w:t xml:space="preserve">In this regulation — </w:t>
      </w:r>
    </w:p>
    <w:p>
      <w:pPr>
        <w:pStyle w:val="Defstart"/>
        <w:keepNext/>
      </w:pPr>
      <w:r>
        <w:tab/>
      </w:r>
      <w:r>
        <w:rPr>
          <w:rStyle w:val="CharDefText"/>
        </w:rPr>
        <w:t>bush fire standard</w:t>
      </w:r>
      <w:r>
        <w:t xml:space="preserve"> means — </w:t>
      </w:r>
    </w:p>
    <w:p>
      <w:pPr>
        <w:pStyle w:val="Defpara"/>
      </w:pPr>
      <w:r>
        <w:tab/>
        <w:t>(a)</w:t>
      </w:r>
      <w:r>
        <w:tab/>
        <w:t>a bush fire performance requirement; or</w:t>
      </w:r>
    </w:p>
    <w:p>
      <w:pPr>
        <w:pStyle w:val="Defpara"/>
        <w:keepNext/>
      </w:pPr>
      <w:r>
        <w:tab/>
        <w:t>(b)</w:t>
      </w:r>
      <w:r>
        <w:tab/>
        <w:t>to the extent not covered by paragraph (a), a requirement imposed under any written law that is a requirement relating to —</w:t>
      </w:r>
    </w:p>
    <w:p>
      <w:pPr>
        <w:pStyle w:val="Defsubpara"/>
      </w:pPr>
      <w:r>
        <w:tab/>
        <w:t>(i)</w:t>
      </w:r>
      <w:r>
        <w:tab/>
        <w:t>a technical aspect of the construction of a building or incidental structure; and</w:t>
      </w:r>
    </w:p>
    <w:p>
      <w:pPr>
        <w:pStyle w:val="Defsubpara"/>
        <w:keepNext/>
      </w:pPr>
      <w:r>
        <w:tab/>
        <w:t>(ii)</w:t>
      </w:r>
      <w:r>
        <w:tab/>
        <w:t>bush fires;</w:t>
      </w:r>
    </w:p>
    <w:p>
      <w:pPr>
        <w:pStyle w:val="PermNoteHeading"/>
      </w:pPr>
      <w:r>
        <w:tab/>
        <w:t>Note for this definition:</w:t>
      </w:r>
    </w:p>
    <w:p>
      <w:pPr>
        <w:pStyle w:val="PermNoteText"/>
      </w:pPr>
      <w:r>
        <w:tab/>
      </w:r>
      <w:r>
        <w:tab/>
        <w:t xml:space="preserve">Paragraph (b) includes, for example, requirements imposed under the </w:t>
      </w:r>
      <w:r>
        <w:rPr>
          <w:i/>
        </w:rPr>
        <w:t>Building Regulations 1989</w:t>
      </w:r>
      <w:r>
        <w:t>.</w:t>
      </w:r>
    </w:p>
    <w:p>
      <w:pPr>
        <w:pStyle w:val="Defstart"/>
        <w:keepNex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keepNext/>
      </w:pPr>
      <w:r>
        <w:lastRenderedPageBreak/>
        <w:tab/>
      </w:r>
      <w:r>
        <w:rPr>
          <w:rStyle w:val="CharDefText"/>
        </w:rPr>
        <w:t>relevant building</w:t>
      </w:r>
      <w:r>
        <w:t xml:space="preserve"> means a Class 1, Class 2 or Class 3 building that was not required to comply or substantially comply with a bush fire standard at the latest of the following times — </w:t>
      </w:r>
    </w:p>
    <w:p>
      <w:pPr>
        <w:pStyle w:val="Defpara"/>
      </w:pPr>
      <w:r>
        <w:tab/>
        <w:t>(a)</w:t>
      </w:r>
      <w:r>
        <w:tab/>
        <w:t>when the building was constructed;</w:t>
      </w:r>
    </w:p>
    <w:p>
      <w:pPr>
        <w:pStyle w:val="Defpara"/>
      </w:pPr>
      <w:r>
        <w:tab/>
        <w:t>(b)</w:t>
      </w:r>
      <w:r>
        <w:tab/>
        <w:t>if 1 or more applications or notices under section 49(b) or 51(2) or (3) or regulation 47(1) have been made or given in respect of the building — when the application or notice, or the last application or notice, was made or given;</w:t>
      </w:r>
    </w:p>
    <w:p>
      <w:pPr>
        <w:pStyle w:val="Defpara"/>
      </w:pPr>
      <w:r>
        <w:tab/>
        <w:t>(c)</w:t>
      </w:r>
      <w:r>
        <w:tab/>
        <w:t>if the building has been relocated — when the building was last relocated;</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Subsection"/>
      </w:pPr>
      <w:r>
        <w:tab/>
        <w:t>(1)</w:t>
      </w:r>
      <w:r>
        <w:tab/>
        <w:t xml:space="preserve">For the purposes of the definition of </w:t>
      </w:r>
      <w:r>
        <w:rPr>
          <w:b/>
          <w:i/>
        </w:rPr>
        <w:t>applicable building standard</w:t>
      </w:r>
      <w:r>
        <w:t xml:space="preserve"> in section 3, the building standards set out in Column 2 of the Table are prescribed as applicable building standards for the purposes set out in Column 1 of the Table opposite the standards.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843"/>
        <w:gridCol w:w="3402"/>
      </w:tblGrid>
      <w:tr>
        <w:trPr>
          <w:tblHeader/>
        </w:trPr>
        <w:tc>
          <w:tcPr>
            <w:tcW w:w="822" w:type="dxa"/>
            <w:noWrap/>
          </w:tcPr>
          <w:p>
            <w:pPr>
              <w:pStyle w:val="TableNAm"/>
              <w:jc w:val="center"/>
              <w:rPr>
                <w:b/>
                <w:bCs/>
              </w:rPr>
            </w:pPr>
            <w:r>
              <w:rPr>
                <w:b/>
                <w:bCs/>
              </w:rPr>
              <w:t>Item</w:t>
            </w:r>
          </w:p>
        </w:tc>
        <w:tc>
          <w:tcPr>
            <w:tcW w:w="1843" w:type="dxa"/>
            <w:noWrap/>
          </w:tcPr>
          <w:p>
            <w:pPr>
              <w:pStyle w:val="TableNAm"/>
              <w:jc w:val="center"/>
              <w:rPr>
                <w:b/>
                <w:bCs/>
              </w:rPr>
            </w:pPr>
            <w:r>
              <w:rPr>
                <w:b/>
                <w:bCs/>
              </w:rPr>
              <w:t>Column 1</w:t>
            </w:r>
          </w:p>
          <w:p>
            <w:pPr>
              <w:pStyle w:val="TableNAm"/>
              <w:jc w:val="center"/>
              <w:rPr>
                <w:b/>
                <w:bCs/>
              </w:rPr>
            </w:pPr>
            <w:r>
              <w:rPr>
                <w:b/>
                <w:bCs/>
              </w:rPr>
              <w:t>Purposes</w:t>
            </w:r>
          </w:p>
        </w:tc>
        <w:tc>
          <w:tcPr>
            <w:tcW w:w="3402" w:type="dxa"/>
            <w:noWrap/>
          </w:tcPr>
          <w:p>
            <w:pPr>
              <w:pStyle w:val="TableNAm"/>
              <w:jc w:val="center"/>
              <w:rPr>
                <w:b/>
                <w:bCs/>
              </w:rPr>
            </w:pPr>
            <w:r>
              <w:rPr>
                <w:b/>
                <w:bCs/>
              </w:rPr>
              <w:t>Column 2</w:t>
            </w:r>
          </w:p>
          <w:p>
            <w:pPr>
              <w:pStyle w:val="TableNAm"/>
              <w:jc w:val="center"/>
              <w:rPr>
                <w:b/>
                <w:bCs/>
              </w:rPr>
            </w:pPr>
            <w:r>
              <w:rPr>
                <w:b/>
                <w:bCs/>
              </w:rPr>
              <w:t>Applicable building standards</w:t>
            </w:r>
          </w:p>
        </w:tc>
      </w:tr>
      <w:tr>
        <w:tc>
          <w:tcPr>
            <w:tcW w:w="822" w:type="dxa"/>
            <w:noWrap/>
          </w:tcPr>
          <w:p>
            <w:pPr>
              <w:pStyle w:val="TableNAm"/>
            </w:pPr>
            <w:r>
              <w:t>1.</w:t>
            </w:r>
          </w:p>
        </w:tc>
        <w:tc>
          <w:tcPr>
            <w:tcW w:w="1843" w:type="dxa"/>
            <w:noWrap/>
          </w:tcPr>
          <w:p>
            <w:pPr>
              <w:pStyle w:val="TableNAm"/>
            </w:pPr>
            <w:r>
              <w:t>Section 19(3) in respect of all kinds of buildings and incidental structures located in a bush fire prone area</w:t>
            </w:r>
          </w:p>
        </w:tc>
        <w:tc>
          <w:tcPr>
            <w:tcW w:w="3402" w:type="dxa"/>
            <w:noWrap/>
          </w:tcPr>
          <w:p>
            <w:pPr>
              <w:pStyle w:val="TableNAm"/>
              <w:keepNext/>
            </w:pPr>
            <w:r>
              <w:t xml:space="preserve">The requirements mentioned in regulation 31A(2) except that the bush fire performance requirements are not applicable building standards if — </w:t>
            </w:r>
          </w:p>
          <w:p>
            <w:pPr>
              <w:pStyle w:val="TableNAm"/>
              <w:ind w:left="459" w:hanging="459"/>
            </w:pPr>
            <w:r>
              <w:t>(a)</w:t>
            </w:r>
            <w:r>
              <w:tab/>
              <w:t xml:space="preserve">the building or incidental structure is or will be located in an area that, at any time during the </w:t>
            </w:r>
            <w:r>
              <w:lastRenderedPageBreak/>
              <w:t>4</w:t>
            </w:r>
            <w:r>
              <w:noBreakHyphen/>
              <w:t>month period ending on the day on which the application is made, was not a bush fire prone area; or</w:t>
            </w:r>
          </w:p>
          <w:p>
            <w:pPr>
              <w:pStyle w:val="TableNAm"/>
              <w:ind w:left="459" w:hanging="459"/>
            </w:pPr>
            <w:r>
              <w:t>(b)</w:t>
            </w:r>
            <w:r>
              <w:tab/>
              <w:t xml:space="preserve">the building work that is proposed to be done in respect of the building or incidental structure is excluded building work only; or </w:t>
            </w:r>
          </w:p>
          <w:p>
            <w:pPr>
              <w:pStyle w:val="TableNAm"/>
              <w:keepNext/>
              <w:ind w:left="459" w:hanging="459"/>
            </w:pPr>
            <w:r>
              <w:t>(c)</w:t>
            </w:r>
            <w:r>
              <w:tab/>
              <w:t xml:space="preserve">the building or incidental structure is or will be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tc>
      </w:tr>
      <w:tr>
        <w:tc>
          <w:tcPr>
            <w:tcW w:w="822" w:type="dxa"/>
            <w:noWrap/>
          </w:tcPr>
          <w:p>
            <w:pPr>
              <w:pStyle w:val="TableNAm"/>
            </w:pPr>
            <w:r>
              <w:lastRenderedPageBreak/>
              <w:t>2.</w:t>
            </w:r>
          </w:p>
        </w:tc>
        <w:tc>
          <w:tcPr>
            <w:tcW w:w="1843" w:type="dxa"/>
            <w:noWrap/>
          </w:tcPr>
          <w:p>
            <w:pPr>
              <w:pStyle w:val="TableNAm"/>
            </w:pPr>
            <w:r>
              <w:t>Section 37(1) in respect of all kinds of buildings and incidental structures located in a bush fire prone area</w:t>
            </w:r>
          </w:p>
        </w:tc>
        <w:tc>
          <w:tcPr>
            <w:tcW w:w="3402" w:type="dxa"/>
            <w:noWrap/>
          </w:tcPr>
          <w:p>
            <w:pPr>
              <w:pStyle w:val="TableNAm"/>
              <w:keepNext/>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for the building permit was made, was not a bush fire prone area; or</w:t>
            </w:r>
          </w:p>
          <w:p>
            <w:pPr>
              <w:pStyle w:val="TableNAm"/>
              <w:keepNext/>
              <w:keepLines/>
              <w:ind w:left="459" w:hanging="459"/>
            </w:pPr>
            <w:r>
              <w:lastRenderedPageBreak/>
              <w:t>(b)</w:t>
            </w:r>
            <w:r>
              <w:tab/>
              <w:t>the building work done in respect of the building or incidental structure under the building permit is excluded building work only; or</w:t>
            </w:r>
          </w:p>
          <w:p>
            <w:pPr>
              <w:pStyle w:val="TableNAm"/>
              <w:keepNext/>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keepNext/>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c>
          <w:tcPr>
            <w:tcW w:w="822" w:type="dxa"/>
            <w:noWrap/>
          </w:tcPr>
          <w:p>
            <w:pPr>
              <w:pStyle w:val="TableNAm"/>
            </w:pPr>
            <w:r>
              <w:lastRenderedPageBreak/>
              <w:t>3.</w:t>
            </w:r>
          </w:p>
        </w:tc>
        <w:tc>
          <w:tcPr>
            <w:tcW w:w="1843" w:type="dxa"/>
            <w:noWrap/>
          </w:tcPr>
          <w:p>
            <w:pPr>
              <w:pStyle w:val="TableNAm"/>
            </w:pPr>
            <w:r>
              <w:t>Section 37(2) in respect of all kinds of buildings and incidental structures located in a bush fire prone area</w:t>
            </w:r>
          </w:p>
        </w:tc>
        <w:tc>
          <w:tcPr>
            <w:tcW w:w="3402" w:type="dxa"/>
            <w:noWrap/>
          </w:tcPr>
          <w:p>
            <w:pPr>
              <w:pStyle w:val="TableNAm"/>
              <w:keepNext/>
            </w:pPr>
            <w:r>
              <w:t xml:space="preserve">The requirements mentioned in regulation 31E(2)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building work in respect of the building or incidental structure commenced, was not a bush fire prone area; or</w:t>
            </w:r>
          </w:p>
          <w:p>
            <w:pPr>
              <w:pStyle w:val="TableNAm"/>
              <w:ind w:left="459" w:hanging="459"/>
            </w:pPr>
            <w:r>
              <w:lastRenderedPageBreak/>
              <w:t>(b)</w:t>
            </w:r>
            <w:r>
              <w:tab/>
              <w:t>the building work done in respect of the building or incidental structure is excluded building work only; or</w:t>
            </w:r>
          </w:p>
          <w:p>
            <w:pPr>
              <w:pStyle w:val="TableNAm"/>
              <w:keepNext/>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keepNext/>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r>
        <w:tc>
          <w:tcPr>
            <w:tcW w:w="822" w:type="dxa"/>
            <w:noWrap/>
          </w:tcPr>
          <w:p>
            <w:pPr>
              <w:pStyle w:val="TableNAm"/>
            </w:pPr>
            <w:r>
              <w:lastRenderedPageBreak/>
              <w:t>4.</w:t>
            </w:r>
          </w:p>
        </w:tc>
        <w:tc>
          <w:tcPr>
            <w:tcW w:w="1843" w:type="dxa"/>
            <w:noWrap/>
          </w:tcPr>
          <w:p>
            <w:pPr>
              <w:pStyle w:val="TableNAm"/>
            </w:pPr>
            <w:r>
              <w:t>Section 57(3) for an application mentioned in section 49(b) in respect of all kinds of buildings located in a bush fire prone area</w:t>
            </w:r>
          </w:p>
        </w:tc>
        <w:tc>
          <w:tcPr>
            <w:tcW w:w="3402" w:type="dxa"/>
            <w:noWrap/>
          </w:tcPr>
          <w:p>
            <w:pPr>
              <w:pStyle w:val="TableNAm"/>
            </w:pPr>
            <w:r>
              <w:t>The requirements mentioned in regulation 31G(2) except that the bush fire performance requirements are not applicable building standards if the building is located in an area that, at any time during the 4</w:t>
            </w:r>
            <w:r>
              <w:noBreakHyphen/>
              <w:t>month period ending on the day on which the application is made, was not a bush fire prone area.</w:t>
            </w:r>
          </w:p>
        </w:tc>
      </w:tr>
      <w:tr>
        <w:trPr>
          <w:cantSplit/>
        </w:trPr>
        <w:tc>
          <w:tcPr>
            <w:tcW w:w="822" w:type="dxa"/>
            <w:noWrap/>
          </w:tcPr>
          <w:p>
            <w:pPr>
              <w:pStyle w:val="TableNAm"/>
            </w:pPr>
            <w:r>
              <w:lastRenderedPageBreak/>
              <w:t>5.</w:t>
            </w:r>
          </w:p>
        </w:tc>
        <w:tc>
          <w:tcPr>
            <w:tcW w:w="1843" w:type="dxa"/>
            <w:noWrap/>
          </w:tcPr>
          <w:p>
            <w:pPr>
              <w:pStyle w:val="TableNAm"/>
            </w:pPr>
            <w:r>
              <w:t>Section 57(3) for an application mentioned in section 51(2) in respect of all kinds of buildings located in a bush fire prone area</w:t>
            </w:r>
          </w:p>
        </w:tc>
        <w:tc>
          <w:tcPr>
            <w:tcW w:w="3402" w:type="dxa"/>
            <w:noWrap/>
          </w:tcPr>
          <w:p>
            <w:pPr>
              <w:pStyle w:val="TableNAm"/>
              <w:keepNext/>
            </w:pPr>
            <w:r>
              <w:t xml:space="preserve">The requirements mentioned in regulation 31G(2) except that the bush fire performance requirements are not applicable building standards if — </w:t>
            </w:r>
          </w:p>
          <w:p>
            <w:pPr>
              <w:pStyle w:val="TableNAm"/>
              <w:ind w:left="459" w:hanging="459"/>
            </w:pPr>
            <w:r>
              <w:t>(a)</w:t>
            </w:r>
            <w:r>
              <w:tab/>
              <w:t>the building is located in an area that, at any time during the 4</w:t>
            </w:r>
            <w:r>
              <w:noBreakHyphen/>
              <w:t>month period ending on the day on which the application is made, was not a bush fire prone area; or</w:t>
            </w:r>
          </w:p>
          <w:p>
            <w:pPr>
              <w:pStyle w:val="TableNAm"/>
              <w:ind w:left="459" w:hanging="459"/>
            </w:pPr>
            <w:r>
              <w:t>(b)</w:t>
            </w:r>
            <w:r>
              <w:tab/>
              <w:t>the unauthorised work done in respect of the building is excluded building work only.</w:t>
            </w:r>
          </w:p>
        </w:tc>
      </w:tr>
      <w:tr>
        <w:tc>
          <w:tcPr>
            <w:tcW w:w="822" w:type="dxa"/>
            <w:noWrap/>
          </w:tcPr>
          <w:p>
            <w:pPr>
              <w:pStyle w:val="TableNAm"/>
            </w:pPr>
            <w:r>
              <w:t>6.</w:t>
            </w:r>
          </w:p>
        </w:tc>
        <w:tc>
          <w:tcPr>
            <w:tcW w:w="1843" w:type="dxa"/>
            <w:noWrap/>
          </w:tcPr>
          <w:p>
            <w:pPr>
              <w:pStyle w:val="TableNAm"/>
            </w:pPr>
            <w:r>
              <w:t>Section 57(3) for an application mentioned in section 51(3) in respect of all kinds of buildings and incidental structures located in a bush fire prone area</w:t>
            </w:r>
          </w:p>
        </w:tc>
        <w:tc>
          <w:tcPr>
            <w:tcW w:w="3402" w:type="dxa"/>
            <w:noWrap/>
          </w:tcPr>
          <w:p>
            <w:pPr>
              <w:pStyle w:val="TableNAm"/>
              <w:keepNext/>
            </w:pPr>
            <w:r>
              <w:t xml:space="preserve">The requirements mentioned in regulation 31G(2)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is made, was not a bush fire prone area; or</w:t>
            </w:r>
          </w:p>
          <w:p>
            <w:pPr>
              <w:pStyle w:val="TableNAm"/>
              <w:keepNext/>
              <w:keepLines/>
              <w:ind w:left="459" w:hanging="459"/>
            </w:pPr>
            <w:r>
              <w:lastRenderedPageBreak/>
              <w:t>(b)</w:t>
            </w:r>
            <w:r>
              <w:tab/>
              <w:t>the unauthorised work done in respect of the building or incidental structure is excluded building work only; or</w:t>
            </w:r>
          </w:p>
          <w:p>
            <w:pPr>
              <w:pStyle w:val="TableNAm"/>
              <w:keepNext/>
              <w:keepLines/>
              <w:ind w:left="459" w:hanging="459"/>
            </w:pPr>
            <w:r>
              <w:t>(c)</w:t>
            </w:r>
            <w:r>
              <w:tab/>
              <w:t xml:space="preserve">the building or incidental structure is — </w:t>
            </w:r>
          </w:p>
          <w:p>
            <w:pPr>
              <w:pStyle w:val="TableNAm"/>
              <w:keepLines/>
              <w:spacing w:before="60"/>
              <w:ind w:left="918" w:hanging="459"/>
            </w:pPr>
            <w:r>
              <w:t>(i)</w:t>
            </w:r>
            <w:r>
              <w:tab/>
              <w:t>a Class 10a building or deck; and</w:t>
            </w:r>
          </w:p>
          <w:p>
            <w:pPr>
              <w:pStyle w:val="TableNAm"/>
              <w:spacing w:before="60"/>
              <w:ind w:left="918" w:hanging="459"/>
            </w:pPr>
            <w:r>
              <w:t>(ii)</w:t>
            </w:r>
            <w:r>
              <w:tab/>
              <w:t>associated with a relevant building.</w:t>
            </w:r>
          </w:p>
        </w:tc>
      </w:tr>
    </w:tbl>
    <w:p>
      <w:pPr>
        <w:pStyle w:val="Subsection"/>
        <w:keepNext/>
      </w:pPr>
      <w:r>
        <w:lastRenderedPageBreak/>
        <w:tab/>
        <w:t>(2)</w:t>
      </w:r>
      <w:r>
        <w:tab/>
        <w:t>Item 1, 2 or 3 (as the case may be) of the Table to subregulation (1) does not apply if the building work is the assembly, reassembly or securing of a relocated building or a relocated incidental structure.</w:t>
      </w:r>
    </w:p>
    <w:p>
      <w:pPr>
        <w:pStyle w:val="PermNoteHeading"/>
      </w:pPr>
      <w:r>
        <w:tab/>
        <w:t>Note for this subregulation:</w:t>
      </w:r>
    </w:p>
    <w:p>
      <w:pPr>
        <w:pStyle w:val="PermNoteText"/>
      </w:pPr>
      <w:r>
        <w:tab/>
      </w:r>
      <w:r>
        <w:tab/>
        <w:t>See also regulation 31D.</w:t>
      </w:r>
    </w:p>
    <w:p>
      <w:pPr>
        <w:pStyle w:val="Subsection"/>
      </w:pPr>
      <w:r>
        <w:tab/>
        <w:t>(3)</w:t>
      </w:r>
      <w:r>
        <w:tab/>
        <w:t>Column 2 paragraph (b) of item 1, 2, 3, 5 or 6 (as the case may be) of the Table to subregulation (1) does not apply if the excluded building work is part of a larger project of building work that has been divided up for the sole or dominant purpose of taking advantage of that paragraph.</w:t>
      </w:r>
    </w:p>
    <w:p>
      <w:pPr>
        <w:pStyle w:val="Subsection"/>
        <w:keepNext/>
      </w:pPr>
      <w:r>
        <w:tab/>
        <w:t>(4)</w:t>
      </w:r>
      <w:r>
        <w:tab/>
        <w:t xml:space="preserve">In determining whether building work is excluded building work for the purposes of Column 2 paragraph (b) of item 2 or 3 (as the case may be) of the Table to subregulation (1), the definition of that term in subregulation (1A) applies as if the definition of </w:t>
      </w:r>
      <w:r>
        <w:rPr>
          <w:b/>
          <w:i/>
        </w:rPr>
        <w:t>relevant building</w:t>
      </w:r>
      <w:r>
        <w:t xml:space="preserve"> had not been replaced by the </w:t>
      </w:r>
      <w:r>
        <w:rPr>
          <w:i/>
        </w:rPr>
        <w:lastRenderedPageBreak/>
        <w:t>Building Amendment Regulations 2021</w:t>
      </w:r>
      <w:r>
        <w:t xml:space="preserve"> regulation 6(1) and (2) if — </w:t>
      </w:r>
    </w:p>
    <w:p>
      <w:pPr>
        <w:pStyle w:val="Indenta"/>
      </w:pPr>
      <w:r>
        <w:tab/>
        <w:t>(a)</w:t>
      </w:r>
      <w:r>
        <w:tab/>
        <w:t>in the case of item 2 — the building permit for the building work was obtained before 1 May 2021; or</w:t>
      </w:r>
    </w:p>
    <w:p>
      <w:pPr>
        <w:pStyle w:val="Indenta"/>
      </w:pPr>
      <w:r>
        <w:tab/>
        <w:t>(b)</w:t>
      </w:r>
      <w:r>
        <w:tab/>
        <w:t>in the case of item 3 — the building work commenced before 1 May 2021.</w:t>
      </w:r>
    </w:p>
    <w:p>
      <w:pPr>
        <w:pStyle w:val="Ednotesubsection"/>
        <w:keepNext/>
      </w:pPr>
      <w:r>
        <w:tab/>
        <w:t>[(5)-(8)</w:t>
      </w:r>
      <w:r>
        <w:tab/>
        <w:t>deleted]</w:t>
      </w:r>
    </w:p>
    <w:p>
      <w:pPr>
        <w:pStyle w:val="Footnotesection"/>
        <w:spacing w:before="100"/>
      </w:pPr>
      <w:r>
        <w:tab/>
        <w:t>[Regulation 31BA inserted: Gazette 7 Dec 2015 p. 4898</w:t>
      </w:r>
      <w:r>
        <w:noBreakHyphen/>
        <w:t>900; amended: Gazette 5 Apr 2016 p. 1017</w:t>
      </w:r>
      <w:r>
        <w:noBreakHyphen/>
        <w:t>19; 9 Mar 2018 p. 800; 26 Mar 2019 p. 943; SL 2021/42 r. 6; SL 2022/26 r. 7.]</w:t>
      </w:r>
    </w:p>
    <w:p>
      <w:pPr>
        <w:pStyle w:val="Ednotesection"/>
      </w:pPr>
      <w:r>
        <w:t>[</w:t>
      </w:r>
      <w:r>
        <w:rPr>
          <w:b/>
        </w:rPr>
        <w:t>31B.</w:t>
      </w:r>
      <w:r>
        <w:tab/>
        <w:t>Deleted: Gazette 5 Oct 2018 p. 4014.]</w:t>
      </w:r>
    </w:p>
    <w:p>
      <w:pPr>
        <w:pStyle w:val="Heading5"/>
        <w:spacing w:before="240"/>
      </w:pPr>
      <w:bookmarkStart w:id="49" w:name="_Toc154744584"/>
      <w:r>
        <w:rPr>
          <w:rStyle w:val="CharSectno"/>
        </w:rPr>
        <w:t>31C</w:t>
      </w:r>
      <w:r>
        <w:t>.</w:t>
      </w:r>
      <w:r>
        <w:tab/>
        <w:t>Applicable building standards for swimming pools (s. 3, 19(3) and 37(1) and (2))</w:t>
      </w:r>
      <w:bookmarkEnd w:id="49"/>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lastRenderedPageBreak/>
              <w:t>Private swimming pools other than pre</w:t>
            </w:r>
            <w:r>
              <w:noBreakHyphen/>
              <w:t>May 2016 private swimming pools</w:t>
            </w:r>
          </w:p>
        </w:tc>
        <w:tc>
          <w:tcPr>
            <w:tcW w:w="3034" w:type="dxa"/>
          </w:tcPr>
          <w:p>
            <w:pPr>
              <w:pStyle w:val="TableNAm"/>
              <w:keepLines/>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keepNext/>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w:t>
      </w:r>
      <w:r>
        <w:lastRenderedPageBreak/>
        <w:t>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keepNext/>
            </w:pPr>
            <w:r>
              <w:t xml:space="preserve">Private swimming pools </w:t>
            </w:r>
          </w:p>
        </w:tc>
        <w:tc>
          <w:tcPr>
            <w:tcW w:w="3034" w:type="dxa"/>
          </w:tcPr>
          <w:p>
            <w:pPr>
              <w:pStyle w:val="TableNAm"/>
              <w:keepNext/>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50" w:name="_Toc154744585"/>
      <w:r>
        <w:rPr>
          <w:rStyle w:val="CharSectno"/>
        </w:rPr>
        <w:t>31D</w:t>
      </w:r>
      <w:r>
        <w:t>.</w:t>
      </w:r>
      <w:r>
        <w:tab/>
        <w:t>Applicable building standards for relocated buildings and incidental structures (other than swimming pools) (s. 3, 19(3) and 37(1) and (2))</w:t>
      </w:r>
      <w:bookmarkEnd w:id="50"/>
    </w:p>
    <w:p>
      <w:pPr>
        <w:pStyle w:val="Subsection"/>
        <w:keepNext/>
      </w:pPr>
      <w:r>
        <w:t>(1AA)</w:t>
      </w:r>
      <w:r>
        <w:tab/>
        <w:t xml:space="preserve">In this regulation — </w:t>
      </w:r>
    </w:p>
    <w:p>
      <w:pPr>
        <w:pStyle w:val="Defstart"/>
      </w:pPr>
      <w:r>
        <w:tab/>
      </w:r>
      <w:r>
        <w:rPr>
          <w:rStyle w:val="CharDefText"/>
        </w:rPr>
        <w:t>relevant building</w:t>
      </w:r>
      <w:r>
        <w:t xml:space="preserve"> has the meaning given in regulation 31BA(1A).</w:t>
      </w:r>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w:t>
      </w:r>
      <w:r>
        <w:lastRenderedPageBreak/>
        <w:t>the assembly, reassembly or securing of a relocated building or a relocated incidental structure.</w:t>
      </w:r>
    </w:p>
    <w:p>
      <w:pPr>
        <w:pStyle w:val="Subsection"/>
      </w:pPr>
      <w:r>
        <w:tab/>
        <w:t>(2)</w:t>
      </w:r>
      <w:r>
        <w:tab/>
        <w:t>For subregulation (1), the applicable building standards are the requirements in relation to the technical aspects of the construction of the relocated building or incidental structure that were imposed under the written law applicable at the time the relocated building or incidental structure was first assembled, except to the extent that subregulations (3), (4) and (5) of this regulation otherwise provide.</w:t>
      </w:r>
    </w:p>
    <w:p>
      <w:pPr>
        <w:pStyle w:val="Subsection"/>
        <w:keepNext/>
      </w:pPr>
      <w:r>
        <w:tab/>
        <w:t>(3)</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applicable to buildings or incidental structures of the classification of the relocated building or incidental structure; and</w:t>
      </w:r>
    </w:p>
    <w:p>
      <w:pPr>
        <w:pStyle w:val="Indenta"/>
        <w:keepNext/>
      </w:pPr>
      <w:r>
        <w:tab/>
        <w:t>(c)</w:t>
      </w:r>
      <w:r>
        <w:tab/>
        <w:t>set out in the edition of the Building Code —</w:t>
      </w:r>
    </w:p>
    <w:p>
      <w:pPr>
        <w:pStyle w:val="Indenti"/>
      </w:pPr>
      <w:r>
        <w:tab/>
        <w:t>(i)</w:t>
      </w:r>
      <w:r>
        <w:tab/>
        <w:t xml:space="preserve">for sections 19(3) or 37(1) — mentioned in regulation 31A(2)(a) or (b); or </w:t>
      </w:r>
    </w:p>
    <w:p>
      <w:pPr>
        <w:pStyle w:val="Indenti"/>
      </w:pPr>
      <w:r>
        <w:tab/>
        <w:t>(ii)</w:t>
      </w:r>
      <w:r>
        <w:tab/>
        <w:t>for section 37(2) — in effect at the time the assembly, reassembly or securing of the relocated building or incidental structure commenced.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b/>
              </w:rPr>
            </w:pPr>
            <w:r>
              <w:rPr>
                <w:b/>
              </w:rPr>
              <w:t>Building Code Section or Part</w:t>
            </w:r>
          </w:p>
        </w:tc>
        <w:tc>
          <w:tcPr>
            <w:tcW w:w="3034" w:type="dxa"/>
          </w:tcPr>
          <w:p>
            <w:pPr>
              <w:pStyle w:val="TableNAm"/>
              <w:rPr>
                <w:b/>
              </w:rPr>
            </w:pPr>
            <w:r>
              <w:rPr>
                <w:b/>
                <w:bCs/>
              </w:rPr>
              <w:t>Performance requirements</w:t>
            </w:r>
          </w:p>
        </w:tc>
      </w:tr>
      <w:tr>
        <w:tc>
          <w:tcPr>
            <w:tcW w:w="3033" w:type="dxa"/>
          </w:tcPr>
          <w:p>
            <w:pPr>
              <w:pStyle w:val="TableNAm"/>
            </w:pPr>
            <w:r>
              <w:t>Volume One Part B1 — Structural provisions</w:t>
            </w:r>
          </w:p>
        </w:tc>
        <w:tc>
          <w:tcPr>
            <w:tcW w:w="3034" w:type="dxa"/>
          </w:tcPr>
          <w:p>
            <w:pPr>
              <w:pStyle w:val="TableNAm"/>
            </w:pPr>
            <w:r>
              <w:t>B1P1, B1P2, B1P3, B1P4</w:t>
            </w:r>
          </w:p>
        </w:tc>
      </w:tr>
      <w:tr>
        <w:tc>
          <w:tcPr>
            <w:tcW w:w="3033" w:type="dxa"/>
          </w:tcPr>
          <w:p>
            <w:pPr>
              <w:pStyle w:val="TableNAm"/>
            </w:pPr>
            <w:r>
              <w:t>Volume One Part C1 — Fire resistance</w:t>
            </w:r>
          </w:p>
        </w:tc>
        <w:tc>
          <w:tcPr>
            <w:tcW w:w="3034" w:type="dxa"/>
          </w:tcPr>
          <w:p>
            <w:pPr>
              <w:pStyle w:val="TableNAm"/>
            </w:pPr>
            <w:r>
              <w:t>C1P1, C1P2, C1P3, C1P4, C1P5, C1P6, C1P7, C1P8, C1P9</w:t>
            </w:r>
          </w:p>
        </w:tc>
      </w:tr>
      <w:tr>
        <w:tc>
          <w:tcPr>
            <w:tcW w:w="3033" w:type="dxa"/>
          </w:tcPr>
          <w:p>
            <w:pPr>
              <w:pStyle w:val="TableNAm"/>
            </w:pPr>
            <w:r>
              <w:lastRenderedPageBreak/>
              <w:t>Volume One Part D1 — Access and egress</w:t>
            </w:r>
          </w:p>
        </w:tc>
        <w:tc>
          <w:tcPr>
            <w:tcW w:w="3034" w:type="dxa"/>
          </w:tcPr>
          <w:p>
            <w:pPr>
              <w:pStyle w:val="TableNAm"/>
            </w:pPr>
            <w:r>
              <w:t>D1P2, D1P3, D1P4, D1P5, D1P6</w:t>
            </w:r>
          </w:p>
        </w:tc>
      </w:tr>
      <w:tr>
        <w:tc>
          <w:tcPr>
            <w:tcW w:w="3033" w:type="dxa"/>
          </w:tcPr>
          <w:p>
            <w:pPr>
              <w:pStyle w:val="TableNAm"/>
            </w:pPr>
            <w:r>
              <w:t>Volume One Section E — Services and equipment</w:t>
            </w:r>
          </w:p>
        </w:tc>
        <w:tc>
          <w:tcPr>
            <w:tcW w:w="3034" w:type="dxa"/>
          </w:tcPr>
          <w:p>
            <w:pPr>
              <w:pStyle w:val="TableNAm"/>
            </w:pPr>
            <w:r>
              <w:t>E1P1, E1P2, E1P3, E1P4, E1P5, E1P6, E2P1, E2P2, E4P1, E4P2, E4P3</w:t>
            </w:r>
          </w:p>
        </w:tc>
      </w:tr>
      <w:tr>
        <w:tc>
          <w:tcPr>
            <w:tcW w:w="3033" w:type="dxa"/>
          </w:tcPr>
          <w:p>
            <w:pPr>
              <w:pStyle w:val="TableNAm"/>
            </w:pPr>
            <w:r>
              <w:t>Volume One Section G — Ancillary provisions</w:t>
            </w:r>
          </w:p>
        </w:tc>
        <w:tc>
          <w:tcPr>
            <w:tcW w:w="3034" w:type="dxa"/>
            <w:shd w:val="clear" w:color="auto" w:fill="auto"/>
          </w:tcPr>
          <w:p>
            <w:pPr>
              <w:pStyle w:val="TableNAm"/>
            </w:pPr>
            <w:r>
              <w:t>G2P1, G2P2, G5P1, G5P2</w:t>
            </w:r>
          </w:p>
        </w:tc>
      </w:tr>
      <w:tr>
        <w:tc>
          <w:tcPr>
            <w:tcW w:w="3033" w:type="dxa"/>
          </w:tcPr>
          <w:p>
            <w:pPr>
              <w:pStyle w:val="TableNAm"/>
            </w:pPr>
            <w:r>
              <w:t>Volume Two Part H1 — Structure</w:t>
            </w:r>
          </w:p>
        </w:tc>
        <w:tc>
          <w:tcPr>
            <w:tcW w:w="3034" w:type="dxa"/>
            <w:shd w:val="clear" w:color="auto" w:fill="auto"/>
          </w:tcPr>
          <w:p>
            <w:pPr>
              <w:pStyle w:val="TableNAm"/>
            </w:pPr>
            <w:r>
              <w:t>H1P1, H1P2</w:t>
            </w:r>
          </w:p>
        </w:tc>
      </w:tr>
      <w:tr>
        <w:tc>
          <w:tcPr>
            <w:tcW w:w="3033" w:type="dxa"/>
          </w:tcPr>
          <w:p>
            <w:pPr>
              <w:pStyle w:val="TableNAm"/>
            </w:pPr>
            <w:r>
              <w:t>Volume Two Part H3 — Fire safety</w:t>
            </w:r>
          </w:p>
        </w:tc>
        <w:tc>
          <w:tcPr>
            <w:tcW w:w="3034" w:type="dxa"/>
            <w:shd w:val="clear" w:color="auto" w:fill="auto"/>
          </w:tcPr>
          <w:p>
            <w:pPr>
              <w:pStyle w:val="TableNAm"/>
            </w:pPr>
            <w:r>
              <w:t>H3P1, H3P2</w:t>
            </w:r>
          </w:p>
        </w:tc>
      </w:tr>
      <w:tr>
        <w:tc>
          <w:tcPr>
            <w:tcW w:w="3033" w:type="dxa"/>
          </w:tcPr>
          <w:p>
            <w:pPr>
              <w:pStyle w:val="TableNAm"/>
            </w:pPr>
            <w:r>
              <w:t>Volume Two Part H5 — Safe movement and access</w:t>
            </w:r>
          </w:p>
        </w:tc>
        <w:tc>
          <w:tcPr>
            <w:tcW w:w="3034" w:type="dxa"/>
          </w:tcPr>
          <w:p>
            <w:pPr>
              <w:pStyle w:val="TableNAm"/>
            </w:pPr>
            <w:r>
              <w:t>H5P1, H5P2</w:t>
            </w:r>
          </w:p>
        </w:tc>
      </w:tr>
      <w:tr>
        <w:tc>
          <w:tcPr>
            <w:tcW w:w="3033" w:type="dxa"/>
          </w:tcPr>
          <w:p>
            <w:pPr>
              <w:pStyle w:val="TableNAm"/>
            </w:pPr>
            <w:r>
              <w:t>Volume Two Part H7 — Ancillary provisions and additional construction requirements</w:t>
            </w:r>
          </w:p>
        </w:tc>
        <w:tc>
          <w:tcPr>
            <w:tcW w:w="3034" w:type="dxa"/>
          </w:tcPr>
          <w:p>
            <w:pPr>
              <w:pStyle w:val="TableNAm"/>
            </w:pPr>
            <w:r>
              <w:t>H7P3, H7P5, H7P6</w:t>
            </w:r>
          </w:p>
        </w:tc>
      </w:tr>
    </w:tbl>
    <w:p>
      <w:pPr>
        <w:pStyle w:val="Ednotesubsection"/>
      </w:pPr>
      <w:r>
        <w:tab/>
        <w:t>[(3A)</w:t>
      </w:r>
      <w:r>
        <w:tab/>
        <w:t>deleted]</w:t>
      </w:r>
    </w:p>
    <w:p>
      <w:pPr>
        <w:pStyle w:val="Subsection"/>
        <w:keepNext/>
      </w:pPr>
      <w:r>
        <w:tab/>
        <w:t>(4)</w:t>
      </w:r>
      <w:r>
        <w:tab/>
        <w:t xml:space="preserve">The applicable building standards include those that relate to a performance requirement that is — </w:t>
      </w:r>
    </w:p>
    <w:p>
      <w:pPr>
        <w:pStyle w:val="Indenta"/>
      </w:pPr>
      <w:r>
        <w:tab/>
        <w:t>(a)</w:t>
      </w:r>
      <w:r>
        <w:tab/>
        <w:t>listed in the Table; and</w:t>
      </w:r>
    </w:p>
    <w:p>
      <w:pPr>
        <w:pStyle w:val="Indenta"/>
        <w:keepNext/>
      </w:pPr>
      <w:r>
        <w:tab/>
        <w:t>(b)</w:t>
      </w:r>
      <w:r>
        <w:tab/>
        <w:t xml:space="preserve">applicable to buildings or incidental structures — </w:t>
      </w:r>
    </w:p>
    <w:p>
      <w:pPr>
        <w:pStyle w:val="Indenti"/>
      </w:pPr>
      <w:r>
        <w:tab/>
        <w:t>(i)</w:t>
      </w:r>
      <w:r>
        <w:tab/>
        <w:t>of the classification of the relocated building or incidental structure; and</w:t>
      </w:r>
    </w:p>
    <w:p>
      <w:pPr>
        <w:pStyle w:val="Indenti"/>
        <w:keepNext/>
      </w:pPr>
      <w:r>
        <w:lastRenderedPageBreak/>
        <w:tab/>
        <w:t>(ii)</w:t>
      </w:r>
      <w:r>
        <w:tab/>
        <w:t>in the geographical area where the relocated building or incidental structure was first assembled;</w:t>
      </w:r>
    </w:p>
    <w:p>
      <w:pPr>
        <w:pStyle w:val="Indenta"/>
      </w:pPr>
      <w:r>
        <w:tab/>
      </w:r>
      <w:r>
        <w:tab/>
        <w:t>and</w:t>
      </w:r>
    </w:p>
    <w:p>
      <w:pPr>
        <w:pStyle w:val="Indenta"/>
        <w:keepNext/>
      </w:pPr>
      <w:r>
        <w:tab/>
        <w:t>(c)</w:t>
      </w:r>
      <w:r>
        <w:tab/>
        <w:t xml:space="preserve">set out in the edition of the Building Code in effect — </w:t>
      </w:r>
    </w:p>
    <w:p>
      <w:pPr>
        <w:pStyle w:val="Indenti"/>
      </w:pPr>
      <w:r>
        <w:tab/>
        <w:t>(i)</w:t>
      </w:r>
      <w:r>
        <w:tab/>
        <w:t>if subparagraph (ii) does not apply — at the time of, or 12 months before, the first application for a building permit to assemble the relocated building or incidental structure (whichever was applied by the building surveyor in respect of the building or incidental structure); or</w:t>
      </w:r>
    </w:p>
    <w:p>
      <w:pPr>
        <w:pStyle w:val="Indenti"/>
      </w:pPr>
      <w:r>
        <w:tab/>
        <w:t>(ii)</w:t>
      </w:r>
      <w:r>
        <w:tab/>
        <w:t>if no building permit to assemble the relocated building or incidental structure has ever been required — at the time of the first assembly of the relocated building or incidental structure.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rStyle w:val="DraftersNotes"/>
                <w:i w:val="0"/>
                <w:sz w:val="24"/>
              </w:rPr>
            </w:pPr>
            <w:r>
              <w:rPr>
                <w:b/>
              </w:rPr>
              <w:t>Building Code Section or Part</w:t>
            </w:r>
          </w:p>
        </w:tc>
        <w:tc>
          <w:tcPr>
            <w:tcW w:w="3034" w:type="dxa"/>
          </w:tcPr>
          <w:p>
            <w:pPr>
              <w:pStyle w:val="TableNAm"/>
              <w:rPr>
                <w:b/>
              </w:rPr>
            </w:pPr>
            <w:r>
              <w:rPr>
                <w:b/>
                <w:bCs/>
              </w:rPr>
              <w:t>Performance requirements</w:t>
            </w:r>
          </w:p>
        </w:tc>
      </w:tr>
      <w:tr>
        <w:tc>
          <w:tcPr>
            <w:tcW w:w="3033" w:type="dxa"/>
          </w:tcPr>
          <w:p>
            <w:pPr>
              <w:pStyle w:val="TableNAm"/>
            </w:pPr>
            <w:r>
              <w:t>Volume One Section J — Energy efficiency</w:t>
            </w:r>
          </w:p>
        </w:tc>
        <w:tc>
          <w:tcPr>
            <w:tcW w:w="3034" w:type="dxa"/>
          </w:tcPr>
          <w:p>
            <w:pPr>
              <w:pStyle w:val="TableNAm"/>
            </w:pPr>
            <w:r>
              <w:t>J1P1</w:t>
            </w:r>
          </w:p>
        </w:tc>
      </w:tr>
      <w:tr>
        <w:tc>
          <w:tcPr>
            <w:tcW w:w="3033" w:type="dxa"/>
          </w:tcPr>
          <w:p>
            <w:pPr>
              <w:pStyle w:val="TableNAm"/>
              <w:keepNext/>
            </w:pPr>
            <w:r>
              <w:t>Volume Two Part H6 — Energy efficiency</w:t>
            </w:r>
          </w:p>
        </w:tc>
        <w:tc>
          <w:tcPr>
            <w:tcW w:w="3034" w:type="dxa"/>
          </w:tcPr>
          <w:p>
            <w:pPr>
              <w:pStyle w:val="TableNAm"/>
              <w:keepNext/>
            </w:pPr>
            <w:r>
              <w:t>H6P1, H6P2</w:t>
            </w:r>
          </w:p>
        </w:tc>
      </w:tr>
    </w:tbl>
    <w:p>
      <w:pPr>
        <w:pStyle w:val="PermNoteHeading"/>
      </w:pPr>
      <w:r>
        <w:tab/>
        <w:t>Note for this subregulation:</w:t>
      </w:r>
    </w:p>
    <w:p>
      <w:pPr>
        <w:pStyle w:val="PermNoteText"/>
        <w:keepNext/>
      </w:pPr>
      <w:r>
        <w:tab/>
      </w:r>
      <w:r>
        <w:tab/>
        <w:t xml:space="preserve">This subregulation does not apply if the conditions in paragraph (c) cannot be met because — </w:t>
      </w:r>
    </w:p>
    <w:p>
      <w:pPr>
        <w:pStyle w:val="PermNotePara"/>
      </w:pPr>
      <w:r>
        <w:tab/>
        <w:t>(a)</w:t>
      </w:r>
      <w:r>
        <w:tab/>
        <w:t>a building permit to assemble the relocated building or incidental structure has been required but none has ever been applied for; or</w:t>
      </w:r>
    </w:p>
    <w:p>
      <w:pPr>
        <w:pStyle w:val="PermNotePara"/>
      </w:pPr>
      <w:r>
        <w:tab/>
        <w:t>(b)</w:t>
      </w:r>
      <w:r>
        <w:tab/>
        <w:t>no edition of the Building Code was in effect at the relevant time mentioned in paragraph (c).</w:t>
      </w:r>
    </w:p>
    <w:p>
      <w:pPr>
        <w:pStyle w:val="Subsection"/>
        <w:keepLines/>
      </w:pPr>
      <w:r>
        <w:lastRenderedPageBreak/>
        <w:tab/>
        <w:t>(5)</w:t>
      </w:r>
      <w:r>
        <w:tab/>
        <w:t>The bush fire performance requirements are not applicable building standards for the purposes of the section set out in Column 1 of the Table in the circumstances set out in Column 2 of the Table opposite the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41"/>
        <w:gridCol w:w="4426"/>
      </w:tblGrid>
      <w:tr>
        <w:trPr>
          <w:tblHeader/>
        </w:trPr>
        <w:tc>
          <w:tcPr>
            <w:tcW w:w="1641" w:type="dxa"/>
            <w:noWrap/>
          </w:tcPr>
          <w:p>
            <w:pPr>
              <w:pStyle w:val="TableNAm"/>
              <w:keepNext/>
              <w:jc w:val="center"/>
              <w:rPr>
                <w:b/>
                <w:bCs/>
              </w:rPr>
            </w:pPr>
            <w:r>
              <w:rPr>
                <w:b/>
                <w:bCs/>
              </w:rPr>
              <w:t>Column 1</w:t>
            </w:r>
          </w:p>
          <w:p>
            <w:pPr>
              <w:pStyle w:val="TableNAm"/>
              <w:keepNext/>
              <w:jc w:val="center"/>
              <w:rPr>
                <w:b/>
                <w:bCs/>
              </w:rPr>
            </w:pPr>
            <w:r>
              <w:rPr>
                <w:b/>
                <w:bCs/>
              </w:rPr>
              <w:t>Section</w:t>
            </w:r>
          </w:p>
        </w:tc>
        <w:tc>
          <w:tcPr>
            <w:tcW w:w="4426" w:type="dxa"/>
            <w:noWrap/>
          </w:tcPr>
          <w:p>
            <w:pPr>
              <w:pStyle w:val="TableNAm"/>
              <w:keepNext/>
              <w:jc w:val="center"/>
              <w:rPr>
                <w:b/>
                <w:bCs/>
              </w:rPr>
            </w:pPr>
            <w:r>
              <w:rPr>
                <w:b/>
                <w:bCs/>
              </w:rPr>
              <w:t>Column 2</w:t>
            </w:r>
          </w:p>
          <w:p>
            <w:pPr>
              <w:pStyle w:val="TableNAm"/>
              <w:keepNext/>
              <w:jc w:val="center"/>
              <w:rPr>
                <w:b/>
                <w:bCs/>
              </w:rPr>
            </w:pPr>
            <w:r>
              <w:rPr>
                <w:b/>
                <w:bCs/>
              </w:rPr>
              <w:t>Circumstances</w:t>
            </w:r>
          </w:p>
        </w:tc>
      </w:tr>
      <w:tr>
        <w:tc>
          <w:tcPr>
            <w:tcW w:w="1641" w:type="dxa"/>
            <w:noWrap/>
          </w:tcPr>
          <w:p>
            <w:pPr>
              <w:pStyle w:val="TableNAm"/>
              <w:keepNext/>
            </w:pPr>
            <w:r>
              <w:t>s. 19(3)</w:t>
            </w:r>
          </w:p>
        </w:tc>
        <w:tc>
          <w:tcPr>
            <w:tcW w:w="4426" w:type="dxa"/>
            <w:noWrap/>
          </w:tcPr>
          <w:p>
            <w:pPr>
              <w:pStyle w:val="TableNAm"/>
              <w:keepNext/>
            </w:pPr>
            <w:r>
              <w:t xml:space="preserve">If — </w:t>
            </w:r>
          </w:p>
          <w:p>
            <w:pPr>
              <w:pStyle w:val="TableNAm"/>
              <w:keepNext/>
              <w:ind w:left="459" w:hanging="459"/>
            </w:pPr>
            <w:r>
              <w:t>(a)</w:t>
            </w:r>
            <w:r>
              <w:tab/>
              <w:t>the relocated building or incidental structure will be relocated to an area that, at any time during the 4</w:t>
            </w:r>
            <w:r>
              <w:noBreakHyphen/>
              <w:t>month period ending on the day on which the application is made, was not a bush fire prone area; or</w:t>
            </w:r>
          </w:p>
          <w:p>
            <w:pPr>
              <w:pStyle w:val="TableNAm"/>
              <w:keepNext/>
              <w:ind w:left="459" w:hanging="459"/>
            </w:pPr>
            <w:r>
              <w:t>(b)</w:t>
            </w:r>
            <w:r>
              <w:tab/>
              <w:t xml:space="preserve">the relocated building or incidental structure — </w:t>
            </w:r>
          </w:p>
          <w:p>
            <w:pPr>
              <w:pStyle w:val="TableNAm"/>
              <w:keepNext/>
              <w:spacing w:before="60"/>
              <w:ind w:left="918" w:hanging="459"/>
            </w:pPr>
            <w:r>
              <w:t>(i)</w:t>
            </w:r>
            <w:r>
              <w:tab/>
              <w:t>is a Class 10a building or deck; and</w:t>
            </w:r>
          </w:p>
          <w:p>
            <w:pPr>
              <w:pStyle w:val="TableNAm"/>
              <w:keepNext/>
              <w:spacing w:before="60"/>
              <w:ind w:left="918" w:hanging="459"/>
            </w:pPr>
            <w:r>
              <w:t>(ii)</w:t>
            </w:r>
            <w:r>
              <w:tab/>
              <w:t>will be associated with a relevant building once relocated.</w:t>
            </w:r>
          </w:p>
        </w:tc>
      </w:tr>
      <w:tr>
        <w:tc>
          <w:tcPr>
            <w:tcW w:w="1641" w:type="dxa"/>
            <w:noWrap/>
          </w:tcPr>
          <w:p>
            <w:pPr>
              <w:pStyle w:val="TableNAm"/>
            </w:pPr>
            <w:r>
              <w:t>s. 37(1)</w:t>
            </w:r>
          </w:p>
        </w:tc>
        <w:tc>
          <w:tcPr>
            <w:tcW w:w="4426" w:type="dxa"/>
            <w:noWrap/>
          </w:tcPr>
          <w:p>
            <w:pPr>
              <w:pStyle w:val="TableNAm"/>
              <w:keepNext/>
              <w:ind w:left="459" w:hanging="459"/>
            </w:pPr>
            <w:r>
              <w:t>If —</w:t>
            </w:r>
          </w:p>
          <w:p>
            <w:pPr>
              <w:pStyle w:val="TableNAm"/>
              <w:ind w:left="459" w:hanging="459"/>
            </w:pPr>
            <w:r>
              <w:t>(a)</w:t>
            </w:r>
            <w:r>
              <w:tab/>
              <w:t>the relocated building or incidental structure is relocated to an area that, at any time during the 4</w:t>
            </w:r>
            <w:r>
              <w:noBreakHyphen/>
              <w:t>month period ending on the day on which the application for the building permit was made, was not a bush fire prone area; or</w:t>
            </w:r>
          </w:p>
          <w:p>
            <w:pPr>
              <w:pStyle w:val="TableNAm"/>
              <w:keepNext/>
              <w:ind w:left="459" w:hanging="459"/>
            </w:pPr>
            <w:r>
              <w:lastRenderedPageBreak/>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keepLines/>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1641" w:type="dxa"/>
            <w:noWrap/>
          </w:tcPr>
          <w:p>
            <w:pPr>
              <w:pStyle w:val="TableNAm"/>
            </w:pPr>
            <w:r>
              <w:lastRenderedPageBreak/>
              <w:t>s. 37(2)</w:t>
            </w:r>
          </w:p>
        </w:tc>
        <w:tc>
          <w:tcPr>
            <w:tcW w:w="4426" w:type="dxa"/>
            <w:noWrap/>
          </w:tcPr>
          <w:p>
            <w:pPr>
              <w:pStyle w:val="TableNAm"/>
              <w:keepNext/>
              <w:ind w:left="459" w:hanging="459"/>
            </w:pPr>
            <w:r>
              <w:t xml:space="preserve">If — </w:t>
            </w:r>
          </w:p>
          <w:p>
            <w:pPr>
              <w:pStyle w:val="TableNAm"/>
              <w:ind w:left="459" w:hanging="459"/>
            </w:pPr>
            <w:r>
              <w:t>(a)</w:t>
            </w:r>
            <w:r>
              <w:tab/>
              <w:t>the relocated building or incidental structure is relocated to an area that, at any time during the 4</w:t>
            </w:r>
            <w:r>
              <w:noBreakHyphen/>
              <w:t>month period ending on the day on which the assembly, reassembly or securing of the relocated building or incidental structure commenced, was not a bush fire prone area; or</w:t>
            </w:r>
          </w:p>
          <w:p>
            <w:pPr>
              <w:pStyle w:val="TableNAm"/>
              <w:keepNext/>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bl>
    <w:p>
      <w:pPr>
        <w:pStyle w:val="Footnotesection"/>
      </w:pPr>
      <w:r>
        <w:tab/>
        <w:t>[Regulation 31D inserted: Gazette 18 Dec 2012 p. 6564-7; amended: Gazette 24 Apr 2014 p. 1136; 15 Apr 2016 p. 1169; 9 Mar 2018 p. 800; 26 Mar 2019 p. 945 and 946; SL 2020/46 r. 6; SL 2021/42 r. 7; SL 2022/162 r. 10.]</w:t>
      </w:r>
    </w:p>
    <w:p>
      <w:pPr>
        <w:pStyle w:val="Heading5"/>
      </w:pPr>
      <w:bookmarkStart w:id="51" w:name="_Toc154744586"/>
      <w:r>
        <w:rPr>
          <w:rStyle w:val="CharSectno"/>
        </w:rPr>
        <w:lastRenderedPageBreak/>
        <w:t>31E</w:t>
      </w:r>
      <w:r>
        <w:t>.</w:t>
      </w:r>
      <w:r>
        <w:tab/>
        <w:t>Applicable building standards for building work done without permit (s. 3 and 37(2))</w:t>
      </w:r>
      <w:bookmarkEnd w:id="51"/>
    </w:p>
    <w:p>
      <w:pPr>
        <w:pStyle w:val="Subsection"/>
        <w:keepLines/>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keepNext/>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the building work mentioned in section 37(2) commenced.</w:t>
      </w:r>
    </w:p>
    <w:p>
      <w:pPr>
        <w:pStyle w:val="Footnotesection"/>
      </w:pPr>
      <w:r>
        <w:tab/>
        <w:t>[Regulation 31E inserted: Gazette 18 Dec 2012 p. 6567; amended: Gazette 7 Dec 2015 p. 4900; 15 Apr 2016 p. 1169; 5 Oct 2018 p. 4014; SL 2021/42 r. 8.]</w:t>
      </w:r>
    </w:p>
    <w:p>
      <w:pPr>
        <w:pStyle w:val="Heading5"/>
        <w:keepNext w:val="0"/>
        <w:keepLines w:val="0"/>
        <w:spacing w:line="240" w:lineRule="auto"/>
      </w:pPr>
      <w:bookmarkStart w:id="52" w:name="_Toc154744587"/>
      <w:r>
        <w:rPr>
          <w:rStyle w:val="CharSectno"/>
        </w:rPr>
        <w:t>31F</w:t>
      </w:r>
      <w:r>
        <w:t>.</w:t>
      </w:r>
      <w:r>
        <w:tab/>
        <w:t>Applicable building standards for replacement occupancy permit for permanent change of building’s use (s. 3, 57(3) and 49(a))</w:t>
      </w:r>
      <w:bookmarkEnd w:id="5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keepNext/>
      </w:pPr>
      <w:r>
        <w:tab/>
        <w:t>(2)</w:t>
      </w:r>
      <w:r>
        <w:tab/>
        <w:t xml:space="preserve">For subregulation (1), the applicable building standards for a building are the requirements mentioned in regulation 31A(2) applied by the building surveyor who signed the certificate of </w:t>
      </w:r>
      <w:r>
        <w:lastRenderedPageBreak/>
        <w:t xml:space="preserve">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keepNext/>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53" w:name="_Toc154744588"/>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53"/>
    </w:p>
    <w:p>
      <w:pPr>
        <w:pStyle w:val="Subsection"/>
        <w:keepNext/>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keepNext/>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w:t>
      </w:r>
      <w:r>
        <w:lastRenderedPageBreak/>
        <w:t>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54" w:name="_Toc154744589"/>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54"/>
    </w:p>
    <w:p>
      <w:pPr>
        <w:pStyle w:val="Subsection"/>
        <w:keepNext/>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keepNext/>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keepNext/>
      </w:pPr>
      <w:r>
        <w:tab/>
        <w:t>(b)</w:t>
      </w:r>
      <w:r>
        <w:tab/>
        <w:t xml:space="preserve">each requirement in relation to the technical aspects of the construction of the building or structure applicable to </w:t>
      </w:r>
      <w:r>
        <w:lastRenderedPageBreak/>
        <w:t>the building or incidental structure at the time of its construction.</w:t>
      </w:r>
    </w:p>
    <w:p>
      <w:pPr>
        <w:pStyle w:val="Footnotesection"/>
      </w:pPr>
      <w:r>
        <w:tab/>
        <w:t>[Regulation 31H inserted: Gazette 18 Dec 2012 p. 6569-70; SL 2020/46 r. 8.]</w:t>
      </w:r>
    </w:p>
    <w:p>
      <w:pPr>
        <w:pStyle w:val="Heading5"/>
      </w:pPr>
      <w:bookmarkStart w:id="55" w:name="_Toc154744590"/>
      <w:r>
        <w:rPr>
          <w:rStyle w:val="CharSectno"/>
        </w:rPr>
        <w:t>31HA</w:t>
      </w:r>
      <w:r>
        <w:t>.</w:t>
      </w:r>
      <w:r>
        <w:tab/>
        <w:t>Applicable building standards for non</w:t>
      </w:r>
      <w:r>
        <w:noBreakHyphen/>
        <w:t>combustible external walls (s. 3, 19(3), 37(1) and (2) and 57(3))</w:t>
      </w:r>
      <w:bookmarkEnd w:id="55"/>
    </w:p>
    <w:p>
      <w:pPr>
        <w:pStyle w:val="Subsection"/>
        <w:keepNext/>
      </w:pPr>
      <w:r>
        <w:tab/>
        <w:t>(1)</w:t>
      </w:r>
      <w:r>
        <w:tab/>
        <w:t>In this regulation —</w:t>
      </w:r>
    </w:p>
    <w:p>
      <w:pPr>
        <w:pStyle w:val="Defstart"/>
      </w:pPr>
      <w:r>
        <w:tab/>
      </w:r>
      <w:r>
        <w:rPr>
          <w:rStyle w:val="CharDefText"/>
        </w:rPr>
        <w:t>commencement date</w:t>
      </w:r>
      <w:r>
        <w:t xml:space="preserve"> means the date on which the </w:t>
      </w:r>
      <w:r>
        <w:rPr>
          <w:i/>
        </w:rPr>
        <w:t>Building Amendment Regulations (No. 2) 2018</w:t>
      </w:r>
      <w:r>
        <w:t xml:space="preserve"> regulation 9 comes into operation;</w:t>
      </w:r>
    </w:p>
    <w:p>
      <w:pPr>
        <w:pStyle w:val="Defstart"/>
        <w:keepNext/>
      </w:pPr>
      <w:r>
        <w:tab/>
      </w:r>
      <w:r>
        <w:rPr>
          <w:rStyle w:val="CharDefText"/>
        </w:rPr>
        <w:t>debris criteria</w:t>
      </w:r>
      <w:r>
        <w:t xml:space="preserve"> means the following classification criteria in AS 5113 (Classification of external walls of buildings based on reaction</w:t>
      </w:r>
      <w:r>
        <w:noBreakHyphen/>
        <w:t>to</w:t>
      </w:r>
      <w:r>
        <w:noBreakHyphen/>
        <w:t xml:space="preserve">fire performance) as referenced in C1V3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keepNext/>
      </w:pPr>
      <w:r>
        <w:tab/>
      </w:r>
      <w:r>
        <w:rPr>
          <w:rStyle w:val="CharDefText"/>
        </w:rPr>
        <w:t>existing building or incidental structure</w:t>
      </w:r>
      <w:r>
        <w:t xml:space="preserve"> 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lastRenderedPageBreak/>
        <w:tab/>
      </w:r>
      <w:r>
        <w:rPr>
          <w:rStyle w:val="CharDefText"/>
        </w:rPr>
        <w:t>external wall</w:t>
      </w:r>
      <w:r>
        <w:t xml:space="preserve"> has the meaning given in the Building Code Volume One Schedule 1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1) by the Building Code Volume One Part C2 deemed</w:t>
      </w:r>
      <w:r>
        <w:noBreakHyphen/>
        <w:t>to</w:t>
      </w:r>
      <w:r>
        <w:noBreakHyphen/>
        <w:t xml:space="preserve">satisfy provision C2D10; </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C1V3.</w:t>
      </w:r>
    </w:p>
    <w:p>
      <w:pPr>
        <w:pStyle w:val="Subsection"/>
      </w:pPr>
      <w:r>
        <w:tab/>
        <w:t>(5)</w:t>
      </w:r>
      <w:r>
        <w:tab/>
        <w:t>Despite subregulation (4), a performance solution to the fire resistance performance requirement that is used for exempt remedial work is not required to be verified in accordance with C1V3.</w:t>
      </w:r>
    </w:p>
    <w:p>
      <w:pPr>
        <w:pStyle w:val="Subsection"/>
        <w:keepNext/>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keepNext/>
      </w:pPr>
      <w:r>
        <w:lastRenderedPageBreak/>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 SL 2022/162 r. 11.]</w:t>
      </w:r>
    </w:p>
    <w:p>
      <w:pPr>
        <w:pStyle w:val="Heading5"/>
      </w:pPr>
      <w:bookmarkStart w:id="56" w:name="_Toc154744591"/>
      <w:r>
        <w:rPr>
          <w:rStyle w:val="CharSectno"/>
        </w:rPr>
        <w:t>31HB</w:t>
      </w:r>
      <w:r>
        <w:t>.</w:t>
      </w:r>
      <w:r>
        <w:tab/>
        <w:t xml:space="preserve">Transitional provisions for </w:t>
      </w:r>
      <w:r>
        <w:rPr>
          <w:i/>
        </w:rPr>
        <w:t>Building Amendment Regulations (No. 3) 2015</w:t>
      </w:r>
      <w:bookmarkEnd w:id="56"/>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Building Amendment Regulations (No. 3) 2015</w:t>
      </w:r>
      <w:r>
        <w:t xml:space="preserve"> 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Subsection"/>
        <w:keepNext/>
      </w:pPr>
      <w:r>
        <w:tab/>
        <w:t>(2)</w:t>
      </w:r>
      <w:r>
        <w:tab/>
        <w:t>For the purposes of item 2 Column 2 paragraph (a) of the Table to regulation 31BA(1), and the item relating to section 37(1)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application for the building permit was made in the 4</w:t>
      </w:r>
      <w:r>
        <w:noBreakHyphen/>
        <w:t>month period beginning on commencement day.</w:t>
      </w:r>
    </w:p>
    <w:p>
      <w:pPr>
        <w:pStyle w:val="Subsection"/>
        <w:keepNext/>
      </w:pPr>
      <w:r>
        <w:tab/>
        <w:t>(3)</w:t>
      </w:r>
      <w:r>
        <w:tab/>
        <w:t>For the purposes of item 3 Column 2 paragraph (a) of the Table to regulation 31BA(1), and the item relating to section 37(2)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keepNext/>
      </w:pPr>
      <w:r>
        <w:lastRenderedPageBreak/>
        <w:tab/>
        <w:t>(b)</w:t>
      </w:r>
      <w:r>
        <w:tab/>
        <w:t>the building work commenced in the 4</w:t>
      </w:r>
      <w:r>
        <w:noBreakHyphen/>
        <w:t>month period beginning on commencement day.</w:t>
      </w:r>
    </w:p>
    <w:p>
      <w:pPr>
        <w:pStyle w:val="Footnotesection"/>
      </w:pPr>
      <w:r>
        <w:rPr>
          <w:szCs w:val="24"/>
        </w:rPr>
        <w:tab/>
        <w:t xml:space="preserve">[Regulation 31HB inserted: </w:t>
      </w:r>
      <w:r>
        <w:t>SL 2021/42 r. 9</w:t>
      </w:r>
      <w:r>
        <w:rPr>
          <w:szCs w:val="24"/>
        </w:rPr>
        <w:t>.]</w:t>
      </w:r>
    </w:p>
    <w:p>
      <w:pPr>
        <w:pStyle w:val="Heading4"/>
      </w:pPr>
      <w:bookmarkStart w:id="57" w:name="_Toc154744592"/>
      <w:r>
        <w:t>Subdivision 2 — Building standards in relation to demolition</w:t>
      </w:r>
      <w:bookmarkEnd w:id="57"/>
    </w:p>
    <w:p>
      <w:pPr>
        <w:pStyle w:val="Footnoteheading"/>
        <w:keepNext/>
      </w:pPr>
      <w:r>
        <w:tab/>
        <w:t>[Heading inserted: Gazette 18 Dec 2012 p. 6570.]</w:t>
      </w:r>
    </w:p>
    <w:p>
      <w:pPr>
        <w:pStyle w:val="Heading5"/>
        <w:spacing w:before="240"/>
      </w:pPr>
      <w:bookmarkStart w:id="58" w:name="_Toc154744593"/>
      <w:r>
        <w:rPr>
          <w:rStyle w:val="CharSectno"/>
        </w:rPr>
        <w:t>31I</w:t>
      </w:r>
      <w:r>
        <w:t>.</w:t>
      </w:r>
      <w:r>
        <w:tab/>
        <w:t>Applicable building standards in relation to demolition work (s. 3 and 38)</w:t>
      </w:r>
      <w:bookmarkEnd w:id="5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keepNext/>
      </w:pPr>
      <w:r>
        <w:tab/>
        <w:t>(2)</w:t>
      </w:r>
      <w:r>
        <w:tab/>
        <w:t xml:space="preserve">For subregulation (1), the applicable building standards in respect of demolition work are as follows — </w:t>
      </w:r>
    </w:p>
    <w:p>
      <w:pPr>
        <w:pStyle w:val="Indenta"/>
        <w:keepNext/>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keepNext/>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keepLines/>
      </w:pPr>
      <w:bookmarkStart w:id="59" w:name="_Toc154744594"/>
      <w:r>
        <w:rPr>
          <w:rStyle w:val="CharDivNo"/>
        </w:rPr>
        <w:lastRenderedPageBreak/>
        <w:t>Division 2</w:t>
      </w:r>
      <w:r>
        <w:t> — </w:t>
      </w:r>
      <w:r>
        <w:rPr>
          <w:rStyle w:val="CharDivText"/>
        </w:rPr>
        <w:t>Demonstrating compliance with building standards</w:t>
      </w:r>
      <w:bookmarkEnd w:id="59"/>
    </w:p>
    <w:p>
      <w:pPr>
        <w:pStyle w:val="Footnoteheading"/>
        <w:keepNext/>
        <w:keepLines/>
      </w:pPr>
      <w:r>
        <w:tab/>
        <w:t>[Heading inserted: Gazette 18 Dec 2012 p. 6571.]</w:t>
      </w:r>
    </w:p>
    <w:p>
      <w:pPr>
        <w:pStyle w:val="Heading5"/>
      </w:pPr>
      <w:bookmarkStart w:id="60" w:name="_Toc154744595"/>
      <w:r>
        <w:rPr>
          <w:rStyle w:val="CharSectno"/>
        </w:rPr>
        <w:t>31J</w:t>
      </w:r>
      <w:r>
        <w:t>.</w:t>
      </w:r>
      <w:r>
        <w:tab/>
        <w:t>Compliance with building standards — CodeMark certificates</w:t>
      </w:r>
      <w:bookmarkEnd w:id="60"/>
    </w:p>
    <w:p>
      <w:pPr>
        <w:pStyle w:val="Subsection"/>
        <w:keepNext/>
        <w:keepLines/>
      </w:pPr>
      <w:r>
        <w:tab/>
        <w:t>(1)</w:t>
      </w:r>
      <w:r>
        <w:tab/>
        <w:t xml:space="preserve">In this regulation — </w:t>
      </w:r>
    </w:p>
    <w:p>
      <w:pPr>
        <w:pStyle w:val="Defstart"/>
        <w:keepLines/>
      </w:pPr>
      <w:r>
        <w:tab/>
      </w:r>
      <w:r>
        <w:rPr>
          <w:rStyle w:val="CharDefText"/>
        </w:rPr>
        <w:t>building product</w:t>
      </w:r>
      <w:r>
        <w:t xml:space="preserve"> includes a building product, method, design, component and system;</w:t>
      </w:r>
    </w:p>
    <w:p>
      <w:pPr>
        <w:pStyle w:val="Defstart"/>
        <w:keepLines/>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C1V3.</w:t>
      </w:r>
    </w:p>
    <w:p>
      <w:pPr>
        <w:pStyle w:val="Footnotesection"/>
      </w:pPr>
      <w:r>
        <w:tab/>
        <w:t>[Regulation 31J inserted: Gazette 18 Dec 2012 p. 6571; amended: Gazette 5 Oct 2018 p. 4016; SL 2022/162 r. 12.]</w:t>
      </w:r>
    </w:p>
    <w:p>
      <w:pPr>
        <w:pStyle w:val="Heading3"/>
        <w:spacing w:before="160"/>
      </w:pPr>
      <w:bookmarkStart w:id="61" w:name="_Toc154744596"/>
      <w:r>
        <w:rPr>
          <w:rStyle w:val="CharDivNo"/>
        </w:rPr>
        <w:lastRenderedPageBreak/>
        <w:t>Division 3</w:t>
      </w:r>
      <w:r>
        <w:t> — </w:t>
      </w:r>
      <w:r>
        <w:rPr>
          <w:rStyle w:val="CharDivText"/>
        </w:rPr>
        <w:t>Non</w:t>
      </w:r>
      <w:r>
        <w:rPr>
          <w:rStyle w:val="CharDivText"/>
        </w:rPr>
        <w:noBreakHyphen/>
        <w:t>application, modification, of building standards</w:t>
      </w:r>
      <w:bookmarkEnd w:id="61"/>
    </w:p>
    <w:p>
      <w:pPr>
        <w:pStyle w:val="Footnoteheading"/>
        <w:keepNext/>
      </w:pPr>
      <w:r>
        <w:tab/>
        <w:t>[Heading inserted: Gazette 18 Dec 2012 p. 6571.]</w:t>
      </w:r>
    </w:p>
    <w:p>
      <w:pPr>
        <w:pStyle w:val="Heading5"/>
      </w:pPr>
      <w:bookmarkStart w:id="62" w:name="_Toc154744597"/>
      <w:r>
        <w:rPr>
          <w:rStyle w:val="CharSectno"/>
        </w:rPr>
        <w:t>31</w:t>
      </w:r>
      <w:r>
        <w:t>.</w:t>
      </w:r>
      <w:r>
        <w:tab/>
        <w:t>Terms used</w:t>
      </w:r>
      <w:bookmarkEnd w:id="62"/>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keepNex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keepNex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September 2023; and</w:t>
      </w:r>
    </w:p>
    <w:p>
      <w:pPr>
        <w:pStyle w:val="Defpara"/>
        <w:keepNext/>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 SL 2021/42 r. 10.]</w:t>
      </w:r>
    </w:p>
    <w:p>
      <w:pPr>
        <w:pStyle w:val="Heading5"/>
      </w:pPr>
      <w:bookmarkStart w:id="63" w:name="_Toc154744598"/>
      <w:r>
        <w:rPr>
          <w:rStyle w:val="CharSectno"/>
        </w:rPr>
        <w:lastRenderedPageBreak/>
        <w:t>32</w:t>
      </w:r>
      <w:r>
        <w:t>.</w:t>
      </w:r>
      <w:r>
        <w:tab/>
        <w:t>Statements to accompany application (s. 39(8)(b))</w:t>
      </w:r>
      <w:bookmarkEnd w:id="63"/>
    </w:p>
    <w:p>
      <w:pPr>
        <w:pStyle w:val="Subsection"/>
        <w:keepNext/>
      </w:pPr>
      <w:r>
        <w:tab/>
        <w:t>(1)</w:t>
      </w:r>
      <w:r>
        <w:tab/>
        <w:t xml:space="preserve">An application in relation to a building standard, other than a transitional bush fire application, must be accompanied by — </w:t>
      </w:r>
    </w:p>
    <w:p>
      <w:pPr>
        <w:pStyle w:val="Indenta"/>
        <w:keepNext/>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keepNext/>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keepNext/>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lastRenderedPageBreak/>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keepNext/>
      </w:pPr>
      <w:r>
        <w:tab/>
        <w:t>(ii)</w:t>
      </w:r>
      <w:r>
        <w:tab/>
        <w:t>the demolition work is proposed to be done;</w:t>
      </w:r>
    </w:p>
    <w:p>
      <w:pPr>
        <w:pStyle w:val="Indenta"/>
      </w:pPr>
      <w:r>
        <w:tab/>
      </w:r>
      <w:r>
        <w:tab/>
        <w:t>and</w:t>
      </w:r>
    </w:p>
    <w:p>
      <w:pPr>
        <w:pStyle w:val="Indenta"/>
        <w:keepNext/>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keepNext/>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64" w:name="_Toc154744599"/>
      <w:r>
        <w:rPr>
          <w:rStyle w:val="CharSectno"/>
        </w:rPr>
        <w:t>32A</w:t>
      </w:r>
      <w:r>
        <w:t>.</w:t>
      </w:r>
      <w:r>
        <w:tab/>
        <w:t>Statement to accompany transitional bush fire application (s. 39(8)(b))</w:t>
      </w:r>
      <w:bookmarkEnd w:id="64"/>
    </w:p>
    <w:p>
      <w:pPr>
        <w:pStyle w:val="Subsection"/>
        <w:keepNext/>
      </w:pPr>
      <w:r>
        <w:tab/>
        <w:t>(1)</w:t>
      </w:r>
      <w:r>
        <w:tab/>
        <w:t xml:space="preserve">A transitional bush fire application must be accompanied by — </w:t>
      </w:r>
    </w:p>
    <w:p>
      <w:pPr>
        <w:pStyle w:val="Indenta"/>
        <w:keepNext/>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keepNext/>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keepNext/>
      </w:pPr>
      <w:r>
        <w:lastRenderedPageBreak/>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keepNext/>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65" w:name="_Toc154744600"/>
      <w:r>
        <w:rPr>
          <w:rStyle w:val="CharSectno"/>
        </w:rPr>
        <w:t>33</w:t>
      </w:r>
      <w:r>
        <w:t>.</w:t>
      </w:r>
      <w:r>
        <w:tab/>
        <w:t>Decisions on applications (s. 39(9)(a))</w:t>
      </w:r>
      <w:bookmarkEnd w:id="65"/>
    </w:p>
    <w:p>
      <w:pPr>
        <w:pStyle w:val="Subsection"/>
        <w:keepNext/>
      </w:pPr>
      <w:r>
        <w:tab/>
        <w:t>(1)</w:t>
      </w:r>
      <w:r>
        <w:tab/>
        <w:t xml:space="preserve">In this regulation — </w:t>
      </w:r>
    </w:p>
    <w:p>
      <w:pPr>
        <w:pStyle w:val="Defstart"/>
        <w:keepNex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keepNext/>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keepNext w:val="0"/>
        <w:keepLines w:val="0"/>
      </w:pPr>
      <w:bookmarkStart w:id="66" w:name="_Toc154744601"/>
      <w:r>
        <w:rPr>
          <w:rStyle w:val="CharSectno"/>
        </w:rPr>
        <w:lastRenderedPageBreak/>
        <w:t>34</w:t>
      </w:r>
      <w:r>
        <w:t>.</w:t>
      </w:r>
      <w:r>
        <w:tab/>
        <w:t>Revoking or amending declarations (s. 39(9)(b))</w:t>
      </w:r>
      <w:bookmarkEnd w:id="66"/>
    </w:p>
    <w:p>
      <w:pPr>
        <w:pStyle w:val="Subsection"/>
        <w:keepNext/>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67" w:name="_Toc154744602"/>
      <w:r>
        <w:rPr>
          <w:rStyle w:val="CharPartNo"/>
        </w:rPr>
        <w:lastRenderedPageBreak/>
        <w:t>Part 5</w:t>
      </w:r>
      <w:r>
        <w:rPr>
          <w:rStyle w:val="CharDivNo"/>
        </w:rPr>
        <w:t> </w:t>
      </w:r>
      <w:r>
        <w:t>—</w:t>
      </w:r>
      <w:r>
        <w:rPr>
          <w:rStyle w:val="CharDivText"/>
        </w:rPr>
        <w:t> </w:t>
      </w:r>
      <w:r>
        <w:rPr>
          <w:rStyle w:val="CharPartText"/>
        </w:rPr>
        <w:t>Occupancy permits and building approval certificates</w:t>
      </w:r>
      <w:bookmarkEnd w:id="67"/>
    </w:p>
    <w:p>
      <w:pPr>
        <w:pStyle w:val="Heading5"/>
      </w:pPr>
      <w:bookmarkStart w:id="68" w:name="_Toc154744603"/>
      <w:r>
        <w:rPr>
          <w:rStyle w:val="CharSectno"/>
        </w:rPr>
        <w:t>35</w:t>
      </w:r>
      <w:r>
        <w:t>.</w:t>
      </w:r>
      <w:r>
        <w:tab/>
        <w:t>Display of occupancy permit details (s. 42(a))</w:t>
      </w:r>
      <w:bookmarkEnd w:id="68"/>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69" w:name="_Toc154744604"/>
      <w:r>
        <w:rPr>
          <w:rStyle w:val="CharSectno"/>
        </w:rPr>
        <w:t>36A</w:t>
      </w:r>
      <w:r>
        <w:t>.</w:t>
      </w:r>
      <w:r>
        <w:tab/>
        <w:t>Further information (s. 55(3) and (4))</w:t>
      </w:r>
      <w:bookmarkEnd w:id="69"/>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70" w:name="_Toc154744605"/>
      <w:r>
        <w:rPr>
          <w:rStyle w:val="CharSectno"/>
        </w:rPr>
        <w:lastRenderedPageBreak/>
        <w:t>36</w:t>
      </w:r>
      <w:r>
        <w:t>.</w:t>
      </w:r>
      <w:r>
        <w:tab/>
        <w:t>Certificate of building compliance (s. 57)</w:t>
      </w:r>
      <w:bookmarkEnd w:id="70"/>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Indenta"/>
      </w:pPr>
      <w:r>
        <w:tab/>
        <w:t>(e)</w:t>
      </w:r>
      <w:r>
        <w:tab/>
        <w:t>an approval required under the Swan Valley Planning Scheme.</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if the building is located in a bush fire prone area and, in accordance with item 4 of the Table to regulation 31BA(1), a bush fire performance requirement applies to the building —</w:t>
      </w:r>
    </w:p>
    <w:p>
      <w:pPr>
        <w:pStyle w:val="IndentI0"/>
      </w:pPr>
      <w:r>
        <w:tab/>
        <w:t>(I)</w:t>
      </w:r>
      <w:r>
        <w:tab/>
        <w:t>the BAL for the building site; or</w:t>
      </w:r>
    </w:p>
    <w:p>
      <w:pPr>
        <w:pStyle w:val="IndentI0"/>
      </w:pPr>
      <w:r>
        <w:tab/>
        <w:t>(II)</w:t>
      </w:r>
      <w:r>
        <w:tab/>
        <w:t xml:space="preserve">if another measure has been used to assess compliance with a bush fire </w:t>
      </w:r>
      <w:r>
        <w:lastRenderedPageBreak/>
        <w:t>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if the building or deck is located in a bush fire prone area and, in accordance with item 5 or 6 (as the case may be) of the Table to regulation 31BA(1), a bush fire performance requirement applies to the building or deck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keepNext/>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 SL 2021/42 r. 11; SL 2021/130 r. 4; SL 2022/162 r. 13.]</w:t>
      </w:r>
    </w:p>
    <w:p>
      <w:pPr>
        <w:pStyle w:val="Heading5"/>
      </w:pPr>
      <w:bookmarkStart w:id="71" w:name="_Toc154744606"/>
      <w:r>
        <w:rPr>
          <w:rStyle w:val="CharSectno"/>
        </w:rPr>
        <w:lastRenderedPageBreak/>
        <w:t>37</w:t>
      </w:r>
      <w:r>
        <w:t>.</w:t>
      </w:r>
      <w:r>
        <w:tab/>
        <w:t>Grant of occupancy permit or building approval certificate (s. 58)</w:t>
      </w:r>
      <w:bookmarkEnd w:id="71"/>
    </w:p>
    <w:p>
      <w:pPr>
        <w:pStyle w:val="Subsection"/>
        <w:keepNext/>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Indenta"/>
        <w:keepNext/>
      </w:pPr>
      <w:r>
        <w:tab/>
        <w:t>(e)</w:t>
      </w:r>
      <w:r>
        <w:tab/>
        <w:t>an approval required under the Swan Valley Planning Scheme.</w:t>
      </w:r>
    </w:p>
    <w:p>
      <w:pPr>
        <w:pStyle w:val="Footnotesection"/>
      </w:pPr>
      <w:r>
        <w:tab/>
        <w:t>[Regulation 37 amended: Gazette 10 Jan 2017 p. 182; SL 2021/130 r. 5; SL 2022/162 r. 14.]</w:t>
      </w:r>
    </w:p>
    <w:p>
      <w:pPr>
        <w:pStyle w:val="Heading5"/>
      </w:pPr>
      <w:bookmarkStart w:id="72" w:name="_Toc154744607"/>
      <w:r>
        <w:rPr>
          <w:rStyle w:val="CharSectno"/>
        </w:rPr>
        <w:t>38</w:t>
      </w:r>
      <w:r>
        <w:t>.</w:t>
      </w:r>
      <w:r>
        <w:tab/>
        <w:t>Time for granting occupancy permit or building approval certificate (s. 59)</w:t>
      </w:r>
      <w:bookmarkEnd w:id="72"/>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73" w:name="_Toc154744608"/>
      <w:r>
        <w:rPr>
          <w:rStyle w:val="CharSectno"/>
        </w:rPr>
        <w:t>40</w:t>
      </w:r>
      <w:r>
        <w:t>.</w:t>
      </w:r>
      <w:r>
        <w:tab/>
        <w:t>Extension of period of duration of time limited occupancy permit or building approval certificate (s. 65)</w:t>
      </w:r>
      <w:bookmarkEnd w:id="73"/>
    </w:p>
    <w:p>
      <w:pPr>
        <w:pStyle w:val="Subsection"/>
        <w:keepNext/>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lastRenderedPageBreak/>
        <w:tab/>
      </w:r>
      <w:r>
        <w:rPr>
          <w:rStyle w:val="CharDefText"/>
        </w:rPr>
        <w:t>expiry day</w:t>
      </w:r>
      <w:r>
        <w:t>, in relation to an occupancy permit or a building approval certificate, means the day on which the permit or certificate ceases to have effect.</w:t>
      </w:r>
    </w:p>
    <w:p>
      <w:pPr>
        <w:pStyle w:val="Subsection"/>
        <w:keepNext/>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keepNext/>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lastRenderedPageBreak/>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keepNext/>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74" w:name="_Toc154744609"/>
      <w:r>
        <w:rPr>
          <w:rStyle w:val="CharPartNo"/>
        </w:rPr>
        <w:lastRenderedPageBreak/>
        <w:t>Part 6</w:t>
      </w:r>
      <w:r>
        <w:rPr>
          <w:rStyle w:val="CharDivNo"/>
        </w:rPr>
        <w:t> </w:t>
      </w:r>
      <w:r>
        <w:t>—</w:t>
      </w:r>
      <w:r>
        <w:rPr>
          <w:rStyle w:val="CharDivText"/>
        </w:rPr>
        <w:t> </w:t>
      </w:r>
      <w:r>
        <w:rPr>
          <w:rStyle w:val="CharPartText"/>
        </w:rPr>
        <w:t>Circumstances in which building, demolition or occupancy permits not required</w:t>
      </w:r>
      <w:bookmarkEnd w:id="74"/>
    </w:p>
    <w:p>
      <w:pPr>
        <w:pStyle w:val="Heading5"/>
      </w:pPr>
      <w:bookmarkStart w:id="75" w:name="_Toc154744610"/>
      <w:r>
        <w:rPr>
          <w:rStyle w:val="CharSectno"/>
        </w:rPr>
        <w:t>41</w:t>
      </w:r>
      <w:r>
        <w:t>.</w:t>
      </w:r>
      <w:r>
        <w:tab/>
        <w:t>Building work for which building permit not required (s. 9(b))</w:t>
      </w:r>
      <w:bookmarkEnd w:id="75"/>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76" w:name="_Toc154744611"/>
      <w:r>
        <w:rPr>
          <w:rStyle w:val="CharSectno"/>
        </w:rPr>
        <w:lastRenderedPageBreak/>
        <w:t>42</w:t>
      </w:r>
      <w:r>
        <w:t>.</w:t>
      </w:r>
      <w:r>
        <w:tab/>
        <w:t>Demolition work for which demolition permit not required (s. 10(c))</w:t>
      </w:r>
      <w:bookmarkEnd w:id="76"/>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77" w:name="_Toc154744612"/>
      <w:r>
        <w:rPr>
          <w:rStyle w:val="CharSectno"/>
        </w:rPr>
        <w:t>43</w:t>
      </w:r>
      <w:r>
        <w:t>.</w:t>
      </w:r>
      <w:r>
        <w:tab/>
        <w:t>Buildings for which occupancy permit not required (s. 41(2))</w:t>
      </w:r>
      <w:bookmarkEnd w:id="77"/>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w:t>
      </w:r>
      <w:r>
        <w:lastRenderedPageBreak/>
        <w:t xml:space="preserve">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78" w:name="_Toc154744613"/>
      <w:r>
        <w:rPr>
          <w:rStyle w:val="CharPartNo"/>
        </w:rPr>
        <w:lastRenderedPageBreak/>
        <w:t>Part 7</w:t>
      </w:r>
      <w:r>
        <w:rPr>
          <w:rStyle w:val="CharDivNo"/>
        </w:rPr>
        <w:t> </w:t>
      </w:r>
      <w:r>
        <w:t>—</w:t>
      </w:r>
      <w:r>
        <w:rPr>
          <w:rStyle w:val="CharDivText"/>
        </w:rPr>
        <w:t> </w:t>
      </w:r>
      <w:r>
        <w:rPr>
          <w:rStyle w:val="CharPartText"/>
        </w:rPr>
        <w:t>Work affecting other land</w:t>
      </w:r>
      <w:bookmarkEnd w:id="78"/>
    </w:p>
    <w:p>
      <w:pPr>
        <w:pStyle w:val="Heading5"/>
      </w:pPr>
      <w:bookmarkStart w:id="79" w:name="_Toc154744614"/>
      <w:r>
        <w:rPr>
          <w:rStyle w:val="CharSectno"/>
        </w:rPr>
        <w:t>44A</w:t>
      </w:r>
      <w:r>
        <w:t>.</w:t>
      </w:r>
      <w:r>
        <w:tab/>
        <w:t>Terms used</w:t>
      </w:r>
      <w:bookmarkEnd w:id="79"/>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80" w:name="_Toc154744615"/>
      <w:r>
        <w:rPr>
          <w:rStyle w:val="CharSectno"/>
        </w:rPr>
        <w:t>44</w:t>
      </w:r>
      <w:r>
        <w:t>.</w:t>
      </w:r>
      <w:r>
        <w:tab/>
        <w:t>Owner of land for purposes of Part 6 of Act</w:t>
      </w:r>
      <w:bookmarkEnd w:id="80"/>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81" w:name="_Toc154744616"/>
      <w:r>
        <w:rPr>
          <w:rStyle w:val="CharSectno"/>
        </w:rPr>
        <w:t>45A</w:t>
      </w:r>
      <w:r>
        <w:t>.</w:t>
      </w:r>
      <w:r>
        <w:tab/>
        <w:t>Minor encroachments (s. 76(1)(c))</w:t>
      </w:r>
      <w:bookmarkEnd w:id="81"/>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lastRenderedPageBreak/>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82" w:name="_Toc154744617"/>
      <w:r>
        <w:rPr>
          <w:rStyle w:val="CharSectno"/>
        </w:rPr>
        <w:t>45B</w:t>
      </w:r>
      <w:r>
        <w:t>.</w:t>
      </w:r>
      <w:r>
        <w:tab/>
        <w:t>Circumstances prescribed for purposes of section 76(1)(e)</w:t>
      </w:r>
      <w:bookmarkEnd w:id="82"/>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83" w:name="_Toc154744618"/>
      <w:r>
        <w:rPr>
          <w:rStyle w:val="CharSectno"/>
        </w:rPr>
        <w:lastRenderedPageBreak/>
        <w:t>45</w:t>
      </w:r>
      <w:r>
        <w:t>.</w:t>
      </w:r>
      <w:r>
        <w:tab/>
        <w:t>Content of notice about effect on other land (s. 85)</w:t>
      </w:r>
      <w:bookmarkEnd w:id="83"/>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84" w:name="_Toc154744619"/>
      <w:r>
        <w:rPr>
          <w:rStyle w:val="CharPartNo"/>
        </w:rPr>
        <w:lastRenderedPageBreak/>
        <w:t>Part 8</w:t>
      </w:r>
      <w:r>
        <w:t> — </w:t>
      </w:r>
      <w:r>
        <w:rPr>
          <w:rStyle w:val="CharPartText"/>
        </w:rPr>
        <w:t>Existing buildings</w:t>
      </w:r>
      <w:bookmarkEnd w:id="84"/>
    </w:p>
    <w:p>
      <w:pPr>
        <w:pStyle w:val="Heading3"/>
      </w:pPr>
      <w:bookmarkStart w:id="85" w:name="_Toc154744620"/>
      <w:r>
        <w:rPr>
          <w:rStyle w:val="CharDivNo"/>
        </w:rPr>
        <w:t>Division 1</w:t>
      </w:r>
      <w:r>
        <w:t> — </w:t>
      </w:r>
      <w:r>
        <w:rPr>
          <w:rStyle w:val="CharDivText"/>
        </w:rPr>
        <w:t>General</w:t>
      </w:r>
      <w:bookmarkEnd w:id="85"/>
    </w:p>
    <w:p>
      <w:pPr>
        <w:pStyle w:val="Ednotesection"/>
        <w:spacing w:before="240"/>
      </w:pPr>
      <w:r>
        <w:t>[</w:t>
      </w:r>
      <w:r>
        <w:rPr>
          <w:b/>
        </w:rPr>
        <w:t>46.</w:t>
      </w:r>
      <w:r>
        <w:tab/>
        <w:t>Deleted: Gazette 18 Dec 2012 p. 6574.]</w:t>
      </w:r>
    </w:p>
    <w:p>
      <w:pPr>
        <w:pStyle w:val="Heading5"/>
        <w:spacing w:before="240"/>
      </w:pPr>
      <w:bookmarkStart w:id="86" w:name="_Toc154744621"/>
      <w:r>
        <w:rPr>
          <w:rStyle w:val="CharSectno"/>
        </w:rPr>
        <w:t>47</w:t>
      </w:r>
      <w:r>
        <w:t>.</w:t>
      </w:r>
      <w:r>
        <w:tab/>
        <w:t>Notification of change of classification of certain buildings and incidental structures</w:t>
      </w:r>
      <w:bookmarkEnd w:id="86"/>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at any time during the 4</w:t>
      </w:r>
      <w:r>
        <w:noBreakHyphen/>
        <w:t>month period ending on the day on which the notice is given, the area was not a bush fire prone area.</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lastRenderedPageBreak/>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if the building or incidental structure was located in a bush fire prone area during the whole of the 4</w:t>
      </w:r>
      <w:r>
        <w:noBreakHyphen/>
        <w:t xml:space="preserve">month period ending on the day on which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 SL 2021/42 r. 12.]</w:t>
      </w:r>
    </w:p>
    <w:p>
      <w:pPr>
        <w:pStyle w:val="Heading3"/>
        <w:keepLines/>
        <w:pageBreakBefore/>
        <w:spacing w:before="0"/>
      </w:pPr>
      <w:bookmarkStart w:id="87" w:name="_Toc154744622"/>
      <w:r>
        <w:rPr>
          <w:rStyle w:val="CharDivNo"/>
        </w:rPr>
        <w:lastRenderedPageBreak/>
        <w:t>Division 2A</w:t>
      </w:r>
      <w:r>
        <w:t> — </w:t>
      </w:r>
      <w:r>
        <w:rPr>
          <w:rStyle w:val="CharDivText"/>
        </w:rPr>
        <w:t>Maintenance</w:t>
      </w:r>
      <w:bookmarkEnd w:id="87"/>
    </w:p>
    <w:p>
      <w:pPr>
        <w:pStyle w:val="Footnoteheading"/>
        <w:keepNext/>
      </w:pPr>
      <w:r>
        <w:tab/>
        <w:t>[Heading inserted: Gazette 24 Apr 2014 p. 1138.]</w:t>
      </w:r>
    </w:p>
    <w:p>
      <w:pPr>
        <w:pStyle w:val="Heading5"/>
      </w:pPr>
      <w:bookmarkStart w:id="88" w:name="_Toc154744623"/>
      <w:r>
        <w:rPr>
          <w:rStyle w:val="CharSectno"/>
        </w:rPr>
        <w:t>48A</w:t>
      </w:r>
      <w:r>
        <w:t>.</w:t>
      </w:r>
      <w:r>
        <w:tab/>
        <w:t>Maintenance of buildings</w:t>
      </w:r>
      <w:bookmarkEnd w:id="88"/>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lastRenderedPageBreak/>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89" w:name="_Toc154744624"/>
      <w:r>
        <w:rPr>
          <w:rStyle w:val="CharDivNo"/>
        </w:rPr>
        <w:lastRenderedPageBreak/>
        <w:t>Division 2</w:t>
      </w:r>
      <w:r>
        <w:t> — </w:t>
      </w:r>
      <w:r>
        <w:rPr>
          <w:rStyle w:val="CharDivText"/>
        </w:rPr>
        <w:t>Private swimming pools</w:t>
      </w:r>
      <w:bookmarkEnd w:id="89"/>
    </w:p>
    <w:p>
      <w:pPr>
        <w:pStyle w:val="Heading5"/>
        <w:spacing w:before="180"/>
      </w:pPr>
      <w:bookmarkStart w:id="90" w:name="_Toc154744625"/>
      <w:r>
        <w:rPr>
          <w:rStyle w:val="CharSectno"/>
        </w:rPr>
        <w:t>48</w:t>
      </w:r>
      <w:r>
        <w:t>.</w:t>
      </w:r>
      <w:r>
        <w:tab/>
        <w:t>Terms used</w:t>
      </w:r>
      <w:bookmarkEnd w:id="90"/>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91" w:name="_Toc154744626"/>
      <w:r>
        <w:rPr>
          <w:rStyle w:val="CharSectno"/>
        </w:rPr>
        <w:t>49</w:t>
      </w:r>
      <w:r>
        <w:t>.</w:t>
      </w:r>
      <w:r>
        <w:tab/>
        <w:t>Application of this Division</w:t>
      </w:r>
      <w:bookmarkEnd w:id="91"/>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92" w:name="_Toc154744627"/>
      <w:r>
        <w:rPr>
          <w:rStyle w:val="CharSectno"/>
        </w:rPr>
        <w:t>50</w:t>
      </w:r>
      <w:r>
        <w:t>.</w:t>
      </w:r>
      <w:r>
        <w:tab/>
        <w:t>Barrier to private swimming pool</w:t>
      </w:r>
      <w:bookmarkEnd w:id="92"/>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lastRenderedPageBreak/>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lastRenderedPageBreak/>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93" w:name="_Toc154744628"/>
      <w:r>
        <w:rPr>
          <w:rStyle w:val="CharSectno"/>
        </w:rPr>
        <w:t>51</w:t>
      </w:r>
      <w:r>
        <w:t>.</w:t>
      </w:r>
      <w:r>
        <w:tab/>
        <w:t>Approvals by permit authority</w:t>
      </w:r>
      <w:bookmarkEnd w:id="93"/>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lastRenderedPageBreak/>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94" w:name="_Toc154744629"/>
      <w:r>
        <w:rPr>
          <w:rStyle w:val="CharSectno"/>
        </w:rPr>
        <w:t>52</w:t>
      </w:r>
      <w:r>
        <w:t>.</w:t>
      </w:r>
      <w:r>
        <w:tab/>
        <w:t>Concessions for pre</w:t>
      </w:r>
      <w:r>
        <w:noBreakHyphen/>
        <w:t>November 2001 private swimming pools</w:t>
      </w:r>
      <w:bookmarkEnd w:id="94"/>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lastRenderedPageBreak/>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95" w:name="_Toc154744630"/>
      <w:r>
        <w:rPr>
          <w:rStyle w:val="CharSectno"/>
        </w:rPr>
        <w:t>53</w:t>
      </w:r>
      <w:r>
        <w:t>.</w:t>
      </w:r>
      <w:r>
        <w:tab/>
        <w:t>Inspection of barrier to private swimming pool</w:t>
      </w:r>
      <w:bookmarkEnd w:id="95"/>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96" w:name="_Toc154744631"/>
      <w:r>
        <w:rPr>
          <w:rStyle w:val="CharSectno"/>
        </w:rPr>
        <w:lastRenderedPageBreak/>
        <w:t>54A</w:t>
      </w:r>
      <w:r>
        <w:t>.</w:t>
      </w:r>
      <w:r>
        <w:tab/>
        <w:t>Temporary pool barriers</w:t>
      </w:r>
      <w:bookmarkEnd w:id="96"/>
    </w:p>
    <w:p>
      <w:pPr>
        <w:pStyle w:val="Subsection"/>
        <w:keepNext/>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97" w:name="_Toc154744632"/>
      <w:r>
        <w:rPr>
          <w:rStyle w:val="CharSectno"/>
        </w:rPr>
        <w:t>54</w:t>
      </w:r>
      <w:r>
        <w:t>.</w:t>
      </w:r>
      <w:r>
        <w:tab/>
        <w:t>Transitional provisions — persons authorised to carry out inspections of private swimming pools</w:t>
      </w:r>
      <w:bookmarkEnd w:id="97"/>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98" w:name="_Toc154744633"/>
      <w:r>
        <w:rPr>
          <w:rStyle w:val="CharDivNo"/>
        </w:rPr>
        <w:lastRenderedPageBreak/>
        <w:t>Division 3</w:t>
      </w:r>
      <w:r>
        <w:t> — </w:t>
      </w:r>
      <w:r>
        <w:rPr>
          <w:rStyle w:val="CharDivText"/>
        </w:rPr>
        <w:t>Smoke alarms</w:t>
      </w:r>
      <w:bookmarkEnd w:id="98"/>
    </w:p>
    <w:p>
      <w:pPr>
        <w:pStyle w:val="Heading5"/>
      </w:pPr>
      <w:bookmarkStart w:id="99" w:name="_Toc154744634"/>
      <w:r>
        <w:rPr>
          <w:rStyle w:val="CharSectno"/>
        </w:rPr>
        <w:t>55</w:t>
      </w:r>
      <w:r>
        <w:t>.</w:t>
      </w:r>
      <w:r>
        <w:tab/>
        <w:t>Terms used</w:t>
      </w:r>
      <w:bookmarkEnd w:id="99"/>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xml:space="preserve">, means a room or suite of rooms, and any associated parts of the building, constituting a </w:t>
      </w:r>
      <w:r>
        <w:lastRenderedPageBreak/>
        <w:t>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100" w:name="_Toc154744635"/>
      <w:r>
        <w:rPr>
          <w:rStyle w:val="CharSectno"/>
        </w:rPr>
        <w:t>56</w:t>
      </w:r>
      <w:r>
        <w:t>.</w:t>
      </w:r>
      <w:r>
        <w:tab/>
        <w:t>Requirement to have smoke alarms or similar prior to transfer of dwelling</w:t>
      </w:r>
      <w:bookmarkEnd w:id="100"/>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 xml:space="preserve">It is a defence to a charge of an offence under subregulation (1) for the accused to prove that the person to whom the ownership </w:t>
      </w:r>
      <w:r>
        <w:lastRenderedPageBreak/>
        <w:t>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keepLines w:val="0"/>
      </w:pPr>
      <w:bookmarkStart w:id="101" w:name="_Toc154744636"/>
      <w:r>
        <w:rPr>
          <w:rStyle w:val="CharSectno"/>
        </w:rPr>
        <w:t>57</w:t>
      </w:r>
      <w:r>
        <w:t>.</w:t>
      </w:r>
      <w:r>
        <w:tab/>
        <w:t>New owner must install smoke alarms or similar, and right to recover costs</w:t>
      </w:r>
      <w:bookmarkEnd w:id="101"/>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lastRenderedPageBreak/>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102" w:name="_Toc154744637"/>
      <w:r>
        <w:rPr>
          <w:rStyle w:val="CharSectno"/>
        </w:rPr>
        <w:lastRenderedPageBreak/>
        <w:t>58</w:t>
      </w:r>
      <w:r>
        <w:t>.</w:t>
      </w:r>
      <w:r>
        <w:tab/>
        <w:t>Requirement to have smoke alarms or similar prior to tenancy</w:t>
      </w:r>
      <w:bookmarkEnd w:id="102"/>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03" w:name="_Toc154744638"/>
      <w:r>
        <w:rPr>
          <w:rStyle w:val="CharSectno"/>
        </w:rPr>
        <w:t>59</w:t>
      </w:r>
      <w:r>
        <w:t>.</w:t>
      </w:r>
      <w:r>
        <w:tab/>
        <w:t>Requirement to have smoke alarms or similar prior to hire of dwelling</w:t>
      </w:r>
      <w:bookmarkEnd w:id="103"/>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04" w:name="_Toc154744639"/>
      <w:r>
        <w:rPr>
          <w:rStyle w:val="CharSectno"/>
        </w:rPr>
        <w:t>60</w:t>
      </w:r>
      <w:r>
        <w:t>.</w:t>
      </w:r>
      <w:r>
        <w:tab/>
        <w:t>Requirements for smoke alarms</w:t>
      </w:r>
      <w:bookmarkEnd w:id="104"/>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lastRenderedPageBreak/>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 xml:space="preserve">For the purposes of subregulation (2)(a), if the dwelling has 2 or more smoke alarms installed and they were not all installed at the same time, the provisions of the Building Code applicable to the dwelling and the alarms are the provisions applicable at the </w:t>
      </w:r>
      <w:r>
        <w:lastRenderedPageBreak/>
        <w:t>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105" w:name="_Toc154744640"/>
      <w:r>
        <w:rPr>
          <w:rStyle w:val="CharSectno"/>
        </w:rPr>
        <w:t>61</w:t>
      </w:r>
      <w:r>
        <w:t>.</w:t>
      </w:r>
      <w:r>
        <w:tab/>
        <w:t>Local government approval of battery powered smoke alarms</w:t>
      </w:r>
      <w:bookmarkEnd w:id="105"/>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lastRenderedPageBreak/>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106" w:name="_Toc154744641"/>
      <w:r>
        <w:rPr>
          <w:rStyle w:val="CharSectno"/>
        </w:rPr>
        <w:t>62</w:t>
      </w:r>
      <w:r>
        <w:t>.</w:t>
      </w:r>
      <w:r>
        <w:tab/>
        <w:t>Requirement to maintain certain smoke alarms</w:t>
      </w:r>
      <w:bookmarkEnd w:id="106"/>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lastRenderedPageBreak/>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107" w:name="_Toc154744642"/>
      <w:r>
        <w:rPr>
          <w:rStyle w:val="CharPartNo"/>
        </w:rPr>
        <w:lastRenderedPageBreak/>
        <w:t>Part 10</w:t>
      </w:r>
      <w:r>
        <w:rPr>
          <w:rStyle w:val="CharDivNo"/>
        </w:rPr>
        <w:t> </w:t>
      </w:r>
      <w:r>
        <w:t>—</w:t>
      </w:r>
      <w:r>
        <w:rPr>
          <w:rStyle w:val="CharDivText"/>
        </w:rPr>
        <w:t> </w:t>
      </w:r>
      <w:r>
        <w:rPr>
          <w:rStyle w:val="CharPartText"/>
        </w:rPr>
        <w:t>Infringement notices</w:t>
      </w:r>
      <w:bookmarkEnd w:id="107"/>
    </w:p>
    <w:p>
      <w:pPr>
        <w:pStyle w:val="Footnoteheading"/>
      </w:pPr>
      <w:r>
        <w:tab/>
        <w:t>[Heading inserted: Gazette 18 Dec 2012 p. 6575.]</w:t>
      </w:r>
    </w:p>
    <w:p>
      <w:pPr>
        <w:pStyle w:val="Heading5"/>
      </w:pPr>
      <w:bookmarkStart w:id="108" w:name="_Toc154744643"/>
      <w:r>
        <w:rPr>
          <w:rStyle w:val="CharSectno"/>
        </w:rPr>
        <w:t>69</w:t>
      </w:r>
      <w:r>
        <w:t>.</w:t>
      </w:r>
      <w:r>
        <w:tab/>
        <w:t>Prescribed offences and modified penalties</w:t>
      </w:r>
      <w:bookmarkEnd w:id="108"/>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109" w:name="_Toc154744644"/>
      <w:r>
        <w:rPr>
          <w:rStyle w:val="CharSectno"/>
        </w:rPr>
        <w:t>70</w:t>
      </w:r>
      <w:r>
        <w:t>.</w:t>
      </w:r>
      <w:r>
        <w:tab/>
        <w:t>Approved officers and authorised officers</w:t>
      </w:r>
      <w:bookmarkEnd w:id="109"/>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 xml:space="preserve">A permit authority that is a local government must issue each of its authorised officers a certificate of the person’s appointment, and the person must produce the certificate whenever required </w:t>
      </w:r>
      <w:r>
        <w:lastRenderedPageBreak/>
        <w:t>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110" w:name="_Toc154744645"/>
      <w:r>
        <w:rPr>
          <w:rStyle w:val="CharSectno"/>
        </w:rPr>
        <w:t>71</w:t>
      </w:r>
      <w:r>
        <w:t>.</w:t>
      </w:r>
      <w:r>
        <w:tab/>
        <w:t>Forms</w:t>
      </w:r>
      <w:bookmarkEnd w:id="110"/>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111" w:name="_Toc154744646"/>
      <w:r>
        <w:rPr>
          <w:rStyle w:val="CharSchNo"/>
        </w:rPr>
        <w:lastRenderedPageBreak/>
        <w:t>Schedule 1</w:t>
      </w:r>
      <w:r>
        <w:rPr>
          <w:rStyle w:val="CharSDivNo"/>
        </w:rPr>
        <w:t> </w:t>
      </w:r>
      <w:r>
        <w:t>—</w:t>
      </w:r>
      <w:r>
        <w:rPr>
          <w:rStyle w:val="CharSDivText"/>
        </w:rPr>
        <w:t> </w:t>
      </w:r>
      <w:r>
        <w:rPr>
          <w:rStyle w:val="CharSchText"/>
        </w:rPr>
        <w:t>Estimated value of building work</w:t>
      </w:r>
      <w:bookmarkEnd w:id="111"/>
    </w:p>
    <w:p>
      <w:pPr>
        <w:pStyle w:val="yShoulderClause"/>
      </w:pPr>
      <w:r>
        <w:t>[r. 3]</w:t>
      </w:r>
    </w:p>
    <w:p>
      <w:pPr>
        <w:pStyle w:val="yHeading5"/>
        <w:spacing w:before="180"/>
      </w:pPr>
      <w:bookmarkStart w:id="112" w:name="_Toc154744647"/>
      <w:r>
        <w:rPr>
          <w:rStyle w:val="CharSClsNo"/>
        </w:rPr>
        <w:t>1</w:t>
      </w:r>
      <w:r>
        <w:t>.</w:t>
      </w:r>
      <w:r>
        <w:tab/>
        <w:t>Terms used</w:t>
      </w:r>
      <w:bookmarkEnd w:id="112"/>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13" w:name="_Toc154744648"/>
      <w:r>
        <w:rPr>
          <w:rStyle w:val="CharSClsNo"/>
        </w:rPr>
        <w:t>2</w:t>
      </w:r>
      <w:r>
        <w:t>.</w:t>
      </w:r>
      <w:r>
        <w:tab/>
        <w:t>Estimated value of building work</w:t>
      </w:r>
      <w:bookmarkEnd w:id="113"/>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14" w:name="_Toc154744649"/>
      <w:r>
        <w:rPr>
          <w:rStyle w:val="CharSClsNo"/>
        </w:rPr>
        <w:lastRenderedPageBreak/>
        <w:t>3</w:t>
      </w:r>
      <w:r>
        <w:t>.</w:t>
      </w:r>
      <w:r>
        <w:tab/>
        <w:t>Estimated value of unauthorised building work</w:t>
      </w:r>
      <w:bookmarkEnd w:id="114"/>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544" w:gutter="0"/>
          <w:cols w:space="720"/>
          <w:docGrid w:linePitch="326"/>
        </w:sectPr>
      </w:pPr>
    </w:p>
    <w:p>
      <w:pPr>
        <w:pStyle w:val="yScheduleHeading"/>
      </w:pPr>
      <w:bookmarkStart w:id="116" w:name="_Toc154744650"/>
      <w:r>
        <w:rPr>
          <w:rStyle w:val="CharSchNo"/>
        </w:rPr>
        <w:lastRenderedPageBreak/>
        <w:t>Schedule 2</w:t>
      </w:r>
      <w:r>
        <w:t> — </w:t>
      </w:r>
      <w:r>
        <w:rPr>
          <w:rStyle w:val="CharSchText"/>
        </w:rPr>
        <w:t>Fees</w:t>
      </w:r>
      <w:bookmarkEnd w:id="116"/>
    </w:p>
    <w:p>
      <w:pPr>
        <w:pStyle w:val="yShoulderClause"/>
      </w:pPr>
      <w:r>
        <w:t>[r. 11]</w:t>
      </w:r>
    </w:p>
    <w:p>
      <w:pPr>
        <w:pStyle w:val="yFootnoteheading"/>
      </w:pPr>
      <w:r>
        <w:tab/>
        <w:t>[Heading inserted: Gazette 23 Jun 2017 p. 3222.]</w:t>
      </w:r>
    </w:p>
    <w:p>
      <w:pPr>
        <w:pStyle w:val="yHeading3"/>
      </w:pPr>
      <w:bookmarkStart w:id="117" w:name="_Toc154744651"/>
      <w:r>
        <w:rPr>
          <w:rStyle w:val="CharSDivNo"/>
        </w:rPr>
        <w:t>Division 1</w:t>
      </w:r>
      <w:r>
        <w:t> — </w:t>
      </w:r>
      <w:r>
        <w:rPr>
          <w:rStyle w:val="CharSDivText"/>
        </w:rPr>
        <w:t>Applications for building permits, demolition permits</w:t>
      </w:r>
      <w:bookmarkEnd w:id="117"/>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$110.00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$110.00</w:t>
            </w:r>
          </w:p>
        </w:tc>
      </w:tr>
      <w:tr>
        <w:trPr>
          <w:cantSplit/>
        </w:trPr>
        <w:tc>
          <w:tcPr>
            <w:tcW w:w="855" w:type="dxa"/>
          </w:tcPr>
          <w:p>
            <w:pPr>
              <w:pStyle w:val="yTableNAm"/>
              <w:keepNext/>
              <w:keepLines/>
            </w:pPr>
            <w:r>
              <w:t>3.</w:t>
            </w:r>
          </w:p>
        </w:tc>
        <w:tc>
          <w:tcPr>
            <w:tcW w:w="3823" w:type="dxa"/>
          </w:tcPr>
          <w:p>
            <w:pPr>
              <w:pStyle w:val="yTableNAm"/>
              <w:keepNext/>
              <w:keepLines/>
              <w:rPr>
                <w:rStyle w:val="DraftersNotes"/>
                <w:b w:val="0"/>
                <w:i w:val="0"/>
                <w:sz w:val="22"/>
                <w:szCs w:val="22"/>
              </w:rPr>
            </w:pPr>
            <w:r>
              <w:t xml:space="preserve">Application for a demolition permit (s. 16(l)) — </w:t>
            </w:r>
          </w:p>
        </w:tc>
        <w:tc>
          <w:tcPr>
            <w:tcW w:w="2447" w:type="dxa"/>
          </w:tcPr>
          <w:p>
            <w:pPr>
              <w:pStyle w:val="yTableNAm"/>
              <w:keepNext/>
              <w:keepLines/>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$110.00 </w:t>
            </w:r>
            <w:r>
              <w:t xml:space="preserve">for each storey of the building </w:t>
            </w:r>
          </w:p>
        </w:tc>
      </w:tr>
      <w:tr>
        <w:trPr>
          <w:cantSplit/>
        </w:trPr>
        <w:tc>
          <w:tcPr>
            <w:tcW w:w="855" w:type="dxa"/>
            <w:tcBorders>
              <w:bottom w:val="single" w:sz="4" w:space="0" w:color="auto"/>
            </w:tcBorders>
          </w:tcPr>
          <w:p>
            <w:pPr>
              <w:pStyle w:val="yTableNAm"/>
            </w:pPr>
            <w:r>
              <w:lastRenderedPageBreak/>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$110.00</w:t>
            </w:r>
          </w:p>
        </w:tc>
      </w:tr>
    </w:tbl>
    <w:p>
      <w:pPr>
        <w:pStyle w:val="yFootnotesection"/>
      </w:pPr>
      <w:r>
        <w:tab/>
        <w:t>[Division 1 inserted: SL 2021/86 r. 13.]</w:t>
      </w:r>
    </w:p>
    <w:p>
      <w:pPr>
        <w:pStyle w:val="yHeading3"/>
      </w:pPr>
      <w:bookmarkStart w:id="118" w:name="_Toc154744652"/>
      <w:r>
        <w:rPr>
          <w:rStyle w:val="CharSDivNo"/>
        </w:rPr>
        <w:t>Division 2</w:t>
      </w:r>
      <w:r>
        <w:t> — </w:t>
      </w:r>
      <w:r>
        <w:rPr>
          <w:rStyle w:val="CharSDivText"/>
        </w:rPr>
        <w:t>Application for occupancy permits, building approval certificates</w:t>
      </w:r>
      <w:bookmarkEnd w:id="118"/>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$110.00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$110.00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$110.00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$110.00</w:t>
            </w:r>
          </w:p>
        </w:tc>
      </w:tr>
      <w:tr>
        <w:trPr>
          <w:cantSplit/>
        </w:trPr>
        <w:tc>
          <w:tcPr>
            <w:tcW w:w="855" w:type="dxa"/>
          </w:tcPr>
          <w:p>
            <w:pPr>
              <w:pStyle w:val="yTableNAm"/>
            </w:pPr>
            <w:r>
              <w:t>5.</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$110.00</w:t>
            </w:r>
          </w:p>
        </w:tc>
      </w:tr>
      <w:tr>
        <w:trPr>
          <w:cantSplit/>
        </w:trPr>
        <w:tc>
          <w:tcPr>
            <w:tcW w:w="855" w:type="dxa"/>
          </w:tcPr>
          <w:p>
            <w:pPr>
              <w:pStyle w:val="yTableNAm"/>
            </w:pPr>
            <w:r>
              <w:lastRenderedPageBreak/>
              <w:t>6.</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$110.00</w:t>
            </w:r>
          </w:p>
        </w:tc>
      </w:tr>
      <w:tr>
        <w:trPr>
          <w:cantSplit/>
        </w:trPr>
        <w:tc>
          <w:tcPr>
            <w:tcW w:w="855" w:type="dxa"/>
          </w:tcPr>
          <w:p>
            <w:pPr>
              <w:pStyle w:val="yTableNAm"/>
            </w:pPr>
            <w:r>
              <w:t>7.</w:t>
            </w:r>
          </w:p>
        </w:tc>
        <w:tc>
          <w:tcPr>
            <w:tcW w:w="3821" w:type="dxa"/>
          </w:tcPr>
          <w:p>
            <w:pPr>
              <w:pStyle w:val="yTableNAm"/>
            </w:pPr>
            <w:r>
              <w:t>Application to replace an occupancy permit for an existing building (s. 52(1))</w:t>
            </w:r>
          </w:p>
        </w:tc>
        <w:tc>
          <w:tcPr>
            <w:tcW w:w="2449" w:type="dxa"/>
          </w:tcPr>
          <w:p>
            <w:pPr>
              <w:pStyle w:val="yTableNAm"/>
            </w:pPr>
            <w:r>
              <w:rPr>
                <w:szCs w:val="22"/>
              </w:rPr>
              <w:t>$110.00</w:t>
            </w:r>
          </w:p>
        </w:tc>
      </w:tr>
      <w:tr>
        <w:trPr>
          <w:cantSplit/>
        </w:trPr>
        <w:tc>
          <w:tcPr>
            <w:tcW w:w="855" w:type="dxa"/>
          </w:tcPr>
          <w:p>
            <w:pPr>
              <w:pStyle w:val="yTableNAm"/>
            </w:pPr>
            <w:r>
              <w:t>8.</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$110.00</w:t>
            </w:r>
          </w:p>
        </w:tc>
      </w:tr>
      <w:tr>
        <w:trPr>
          <w:cantSplit/>
        </w:trPr>
        <w:tc>
          <w:tcPr>
            <w:tcW w:w="855" w:type="dxa"/>
            <w:tcBorders>
              <w:bottom w:val="single" w:sz="4" w:space="0" w:color="auto"/>
            </w:tcBorders>
          </w:tcPr>
          <w:p>
            <w:pPr>
              <w:pStyle w:val="yTableNAm"/>
            </w:pPr>
            <w:r>
              <w:t>9.</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$110.00</w:t>
            </w:r>
          </w:p>
        </w:tc>
      </w:tr>
    </w:tbl>
    <w:p>
      <w:pPr>
        <w:pStyle w:val="yFootnotesection"/>
      </w:pPr>
      <w:r>
        <w:tab/>
        <w:t>[Division 2 inserted: SL 2021/86 r. 13.]</w:t>
      </w:r>
    </w:p>
    <w:p>
      <w:pPr>
        <w:pStyle w:val="yHeading3"/>
      </w:pPr>
      <w:bookmarkStart w:id="119" w:name="_Toc154744653"/>
      <w:r>
        <w:rPr>
          <w:rStyle w:val="CharSDivNo"/>
        </w:rPr>
        <w:t>Division 3</w:t>
      </w:r>
      <w:r>
        <w:t> — </w:t>
      </w:r>
      <w:r>
        <w:rPr>
          <w:rStyle w:val="CharSDivText"/>
        </w:rPr>
        <w:t>Other applications</w:t>
      </w:r>
      <w:bookmarkEnd w:id="119"/>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6"/>
          <w:headerReference w:type="default" r:id="rId27"/>
          <w:pgSz w:w="11907" w:h="16840" w:code="9"/>
          <w:pgMar w:top="2381" w:right="2410" w:bottom="3544" w:left="2410" w:header="720" w:footer="3544" w:gutter="0"/>
          <w:cols w:space="720"/>
          <w:docGrid w:linePitch="326"/>
        </w:sectPr>
      </w:pPr>
    </w:p>
    <w:p>
      <w:pPr>
        <w:pStyle w:val="yScheduleHeading"/>
      </w:pPr>
      <w:bookmarkStart w:id="120" w:name="_Toc154744654"/>
      <w:r>
        <w:rPr>
          <w:rStyle w:val="CharSchNo"/>
        </w:rPr>
        <w:lastRenderedPageBreak/>
        <w:t>Schedule 3</w:t>
      </w:r>
      <w:r>
        <w:t> — </w:t>
      </w:r>
      <w:r>
        <w:rPr>
          <w:rStyle w:val="CharSchText"/>
        </w:rPr>
        <w:t>Inspections or tests of systems</w:t>
      </w:r>
      <w:bookmarkEnd w:id="120"/>
    </w:p>
    <w:p>
      <w:pPr>
        <w:pStyle w:val="yShoulderClause"/>
      </w:pPr>
      <w:r>
        <w:t>[r. 27]</w:t>
      </w:r>
    </w:p>
    <w:p>
      <w:pPr>
        <w:pStyle w:val="yHeading5"/>
      </w:pPr>
      <w:bookmarkStart w:id="121" w:name="_Toc154744655"/>
      <w:r>
        <w:rPr>
          <w:rStyle w:val="CharSClsNo"/>
        </w:rPr>
        <w:t>1</w:t>
      </w:r>
      <w:r>
        <w:t>.</w:t>
      </w:r>
      <w:r>
        <w:tab/>
        <w:t>Term used: EP</w:t>
      </w:r>
      <w:bookmarkEnd w:id="121"/>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THeadingNAm"/>
        <w:ind w:left="142"/>
      </w:pPr>
      <w:r>
        <w:t>Table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3544"/>
        <w:gridCol w:w="3544"/>
      </w:tblGrid>
      <w:tr>
        <w:trPr>
          <w:tblHeader/>
        </w:trPr>
        <w:tc>
          <w:tcPr>
            <w:tcW w:w="3544" w:type="dxa"/>
            <w:tcBorders>
              <w:top w:val="single" w:sz="4" w:space="0" w:color="auto"/>
              <w:left w:val="single" w:sz="4" w:space="0" w:color="auto"/>
              <w:bottom w:val="single" w:sz="4" w:space="0" w:color="auto"/>
              <w:right w:val="single" w:sz="4" w:space="0" w:color="auto"/>
            </w:tcBorders>
            <w:hideMark/>
          </w:tcPr>
          <w:p>
            <w:pPr>
              <w:pStyle w:val="yTableNAm"/>
              <w:rPr>
                <w:b/>
              </w:rPr>
            </w:pPr>
            <w:r>
              <w:rPr>
                <w:b/>
              </w:rPr>
              <w:t>Column 1</w:t>
            </w:r>
          </w:p>
          <w:p>
            <w:pPr>
              <w:pStyle w:val="yTableNAm"/>
              <w:rPr>
                <w:b/>
              </w:rPr>
            </w:pPr>
            <w:r>
              <w:rPr>
                <w:b/>
              </w:rPr>
              <w:t>System to be tested</w:t>
            </w:r>
          </w:p>
        </w:tc>
        <w:tc>
          <w:tcPr>
            <w:tcW w:w="3544" w:type="dxa"/>
            <w:tcBorders>
              <w:top w:val="single" w:sz="4" w:space="0" w:color="auto"/>
              <w:left w:val="single" w:sz="4" w:space="0" w:color="auto"/>
              <w:bottom w:val="single" w:sz="4" w:space="0" w:color="auto"/>
              <w:right w:val="single" w:sz="4" w:space="0" w:color="auto"/>
            </w:tcBorders>
            <w:hideMark/>
          </w:tcPr>
          <w:p>
            <w:pPr>
              <w:pStyle w:val="yTableNAm"/>
              <w:rPr>
                <w:b/>
              </w:rPr>
            </w:pPr>
            <w:r>
              <w:rPr>
                <w:b/>
              </w:rPr>
              <w:t>Column 2</w:t>
            </w:r>
          </w:p>
          <w:p>
            <w:pPr>
              <w:pStyle w:val="yTableNAm"/>
              <w:rPr>
                <w:b/>
              </w:rPr>
            </w:pPr>
            <w:r>
              <w:rPr>
                <w:b/>
              </w:rPr>
              <w:t>When test to be conducted</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Fire hose reel system required under E1P1 and E1P5</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Fire hydrant system required under E1P3 and E1P5</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Automatic fire suppression system required under E1P4</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Fire detection, warning, control and intercom systems required under E2P1 and E2P2</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Air handling systems that incorporate smoke control provisions required under E2P2</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building work</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Smoke/heat venting systems required under E2P2</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Emergency warning and intercom systems required under E4P3</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bl>
    <w:p>
      <w:pPr>
        <w:pStyle w:val="yFootnotesection"/>
      </w:pPr>
      <w:r>
        <w:tab/>
        <w:t>[Schedule 3 amended: Gazette 24 Apr 2014 p. 1141; 26 Mar 2019 p. 946; SL 2022/162 r. 15.]</w:t>
      </w:r>
    </w:p>
    <w:p>
      <w:pPr>
        <w:pStyle w:val="yScheduleHeading"/>
      </w:pPr>
      <w:bookmarkStart w:id="122" w:name="_Toc154744656"/>
      <w:r>
        <w:rPr>
          <w:rStyle w:val="CharSchNo"/>
        </w:rPr>
        <w:lastRenderedPageBreak/>
        <w:t>Schedule 4</w:t>
      </w:r>
      <w:r>
        <w:t> — </w:t>
      </w:r>
      <w:r>
        <w:rPr>
          <w:rStyle w:val="CharSchText"/>
        </w:rPr>
        <w:t>Building work that does not require building permit</w:t>
      </w:r>
      <w:bookmarkEnd w:id="122"/>
    </w:p>
    <w:p>
      <w:pPr>
        <w:pStyle w:val="yShoulderClause"/>
      </w:pPr>
      <w:r>
        <w:t>[r. 41]</w:t>
      </w:r>
    </w:p>
    <w:p>
      <w:pPr>
        <w:pStyle w:val="yHeading5"/>
        <w:rPr>
          <w:rStyle w:val="CharSDivText"/>
        </w:rPr>
      </w:pPr>
      <w:bookmarkStart w:id="123" w:name="_Toc154744657"/>
      <w:r>
        <w:rPr>
          <w:rStyle w:val="CharSClsNo"/>
        </w:rPr>
        <w:t>1</w:t>
      </w:r>
      <w:r>
        <w:t>.</w:t>
      </w:r>
      <w:r>
        <w:tab/>
      </w:r>
      <w:r>
        <w:rPr>
          <w:rStyle w:val="CharSDivText"/>
        </w:rPr>
        <w:t>Areas where building permit not required for certain work</w:t>
      </w:r>
      <w:bookmarkEnd w:id="123"/>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lastRenderedPageBreak/>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lastRenderedPageBreak/>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lastRenderedPageBreak/>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124" w:name="_Toc154744658"/>
      <w:r>
        <w:rPr>
          <w:rStyle w:val="CharSClsNo"/>
        </w:rPr>
        <w:t>2</w:t>
      </w:r>
      <w:r>
        <w:t>.</w:t>
      </w:r>
      <w:r>
        <w:tab/>
      </w:r>
      <w:r>
        <w:rPr>
          <w:rStyle w:val="CharSDivText"/>
        </w:rPr>
        <w:t>Kinds of building work for which a building permit is not required</w:t>
      </w:r>
      <w:bookmarkEnd w:id="124"/>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lastRenderedPageBreak/>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Height w:val="5442"/>
        </w:trPr>
        <w:tc>
          <w:tcPr>
            <w:tcW w:w="851" w:type="dxa"/>
          </w:tcPr>
          <w:p>
            <w:pPr>
              <w:pStyle w:val="yTableNAm"/>
              <w:spacing w:before="100"/>
              <w:rPr>
                <w:szCs w:val="22"/>
              </w:rPr>
            </w:pPr>
            <w:r>
              <w:rPr>
                <w:szCs w:val="22"/>
              </w:rPr>
              <w:t>4.</w:t>
            </w:r>
          </w:p>
        </w:tc>
        <w:tc>
          <w:tcPr>
            <w:tcW w:w="6274" w:type="dxa"/>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p>
            <w:pPr>
              <w:pStyle w:val="yTableNAm"/>
              <w:tabs>
                <w:tab w:val="clear" w:pos="567"/>
              </w:tabs>
              <w:ind w:left="743"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lastRenderedPageBreak/>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bottom w:val="single" w:sz="4" w:space="0" w:color="auto"/>
            </w:tcBorders>
          </w:tcPr>
          <w:p>
            <w:pPr>
              <w:pStyle w:val="yTableNAm"/>
            </w:pPr>
          </w:p>
        </w:tc>
        <w:tc>
          <w:tcPr>
            <w:tcW w:w="6274" w:type="dxa"/>
            <w:tcBorders>
              <w:top w:val="nil"/>
              <w:bottom w:val="single" w:sz="4" w:space="0" w:color="auto"/>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8"/>
          <w:headerReference w:type="default" r:id="rId29"/>
          <w:pgSz w:w="11907" w:h="16840" w:code="9"/>
          <w:pgMar w:top="2381" w:right="2410" w:bottom="3544" w:left="2410" w:header="720" w:footer="3544" w:gutter="0"/>
          <w:cols w:space="720"/>
          <w:docGrid w:linePitch="326"/>
        </w:sectPr>
      </w:pPr>
    </w:p>
    <w:p>
      <w:pPr>
        <w:pStyle w:val="yScheduleHeading"/>
      </w:pPr>
      <w:bookmarkStart w:id="125" w:name="_Toc154744659"/>
      <w:r>
        <w:rPr>
          <w:rStyle w:val="CharSchNo"/>
        </w:rPr>
        <w:lastRenderedPageBreak/>
        <w:t>Schedule 5</w:t>
      </w:r>
      <w:r>
        <w:rPr>
          <w:rStyle w:val="CharSDivNo"/>
        </w:rPr>
        <w:t> </w:t>
      </w:r>
      <w:r>
        <w:t>—</w:t>
      </w:r>
      <w:r>
        <w:rPr>
          <w:rStyle w:val="CharSDivText"/>
        </w:rPr>
        <w:t> </w:t>
      </w:r>
      <w:r>
        <w:rPr>
          <w:rStyle w:val="CharSchText"/>
        </w:rPr>
        <w:t>Areas of State where Part 8 Division 2 applies</w:t>
      </w:r>
      <w:bookmarkEnd w:id="125"/>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0"/>
          <w:headerReference w:type="default" r:id="rId31"/>
          <w:pgSz w:w="11907" w:h="16840" w:code="9"/>
          <w:pgMar w:top="2381" w:right="2410" w:bottom="3544" w:left="2410" w:header="720" w:footer="3544" w:gutter="0"/>
          <w:cols w:space="720"/>
          <w:docGrid w:linePitch="326"/>
        </w:sectPr>
      </w:pPr>
    </w:p>
    <w:p>
      <w:pPr>
        <w:pStyle w:val="yScheduleHeading"/>
      </w:pPr>
      <w:bookmarkStart w:id="126" w:name="_Toc154744660"/>
      <w:r>
        <w:rPr>
          <w:rStyle w:val="CharSchNo"/>
        </w:rPr>
        <w:lastRenderedPageBreak/>
        <w:t>Schedule 6</w:t>
      </w:r>
      <w:r>
        <w:t> — </w:t>
      </w:r>
      <w:r>
        <w:rPr>
          <w:rStyle w:val="CharSchText"/>
        </w:rPr>
        <w:t>Prescribed offences and modified penalties</w:t>
      </w:r>
      <w:bookmarkEnd w:id="126"/>
    </w:p>
    <w:p>
      <w:pPr>
        <w:pStyle w:val="yShoulderClause"/>
      </w:pPr>
      <w:r>
        <w:t>[r. 69]</w:t>
      </w:r>
    </w:p>
    <w:p>
      <w:pPr>
        <w:pStyle w:val="yFootnoteheading"/>
      </w:pPr>
      <w:r>
        <w:tab/>
        <w:t>[Heading inserted: Gazette 26 Apr 2019 p. 1210.]</w:t>
      </w:r>
    </w:p>
    <w:p>
      <w:pPr>
        <w:pStyle w:val="yHeading3"/>
      </w:pPr>
      <w:bookmarkStart w:id="127" w:name="_Toc154744661"/>
      <w:r>
        <w:rPr>
          <w:rStyle w:val="CharSDivNo"/>
        </w:rPr>
        <w:t>Division 1</w:t>
      </w:r>
      <w:r>
        <w:t> — </w:t>
      </w:r>
      <w:r>
        <w:rPr>
          <w:rStyle w:val="CharSDivText"/>
        </w:rPr>
        <w:t>Offences under the Act</w:t>
      </w:r>
      <w:bookmarkEnd w:id="127"/>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128" w:name="_Toc154744662"/>
      <w:r>
        <w:rPr>
          <w:rStyle w:val="CharSDivNo"/>
        </w:rPr>
        <w:t>Division 2</w:t>
      </w:r>
      <w:r>
        <w:t> — </w:t>
      </w:r>
      <w:r>
        <w:rPr>
          <w:rStyle w:val="CharSDivText"/>
        </w:rPr>
        <w:t>Offences under these regulations</w:t>
      </w:r>
      <w:bookmarkEnd w:id="128"/>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lastRenderedPageBreak/>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32"/>
          <w:headerReference w:type="default" r:id="rId33"/>
          <w:endnotePr>
            <w:numFmt w:val="decimal"/>
          </w:endnotePr>
          <w:pgSz w:w="11907" w:h="16840" w:code="9"/>
          <w:pgMar w:top="2381" w:right="2410" w:bottom="3544" w:left="2410" w:header="720" w:footer="3544" w:gutter="0"/>
          <w:cols w:space="720"/>
          <w:docGrid w:linePitch="326"/>
        </w:sectPr>
      </w:pPr>
    </w:p>
    <w:p>
      <w:pPr>
        <w:pStyle w:val="yScheduleHeading"/>
      </w:pPr>
      <w:bookmarkStart w:id="129" w:name="_Toc154744663"/>
      <w:r>
        <w:rPr>
          <w:rStyle w:val="CharSchNo"/>
        </w:rPr>
        <w:lastRenderedPageBreak/>
        <w:t>Schedule 7</w:t>
      </w:r>
      <w:r>
        <w:rPr>
          <w:rStyle w:val="CharSDivNo"/>
        </w:rPr>
        <w:t> </w:t>
      </w:r>
      <w:r>
        <w:t>—</w:t>
      </w:r>
      <w:r>
        <w:rPr>
          <w:rStyle w:val="CharSDivText"/>
        </w:rPr>
        <w:t> </w:t>
      </w:r>
      <w:r>
        <w:rPr>
          <w:rStyle w:val="CharSchText"/>
        </w:rPr>
        <w:t>Forms</w:t>
      </w:r>
      <w:bookmarkEnd w:id="129"/>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lastRenderedPageBreak/>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lastRenderedPageBreak/>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lastRenderedPageBreak/>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5"/>
          <w:headerReference w:type="default" r:id="rId36"/>
          <w:endnotePr>
            <w:numFmt w:val="decimal"/>
          </w:endnotePr>
          <w:pgSz w:w="11907" w:h="16840" w:code="9"/>
          <w:pgMar w:top="2381" w:right="2410" w:bottom="3544" w:left="2410" w:header="720" w:footer="3544" w:gutter="0"/>
          <w:cols w:space="720"/>
          <w:docGrid w:linePitch="326"/>
        </w:sectPr>
      </w:pPr>
    </w:p>
    <w:p>
      <w:pPr>
        <w:pStyle w:val="nHeading2"/>
      </w:pPr>
      <w:bookmarkStart w:id="130" w:name="_Toc154744664"/>
      <w:r>
        <w:lastRenderedPageBreak/>
        <w:t>Notes</w:t>
      </w:r>
      <w:bookmarkEnd w:id="130"/>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1" w:name="_Toc154744665"/>
      <w:r>
        <w:t>Compilation table</w:t>
      </w:r>
      <w:bookmarkEnd w:id="13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lastRenderedPageBreak/>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lastRenderedPageBreak/>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lastRenderedPageBreak/>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nil"/>
              <w:right w:val="nil"/>
            </w:tcBorders>
          </w:tcPr>
          <w:p>
            <w:pPr>
              <w:pStyle w:val="nTable"/>
              <w:spacing w:after="40"/>
              <w:rPr>
                <w:i/>
              </w:rPr>
            </w:pPr>
            <w:r>
              <w:rPr>
                <w:i/>
              </w:rPr>
              <w:t>Building Amendment Regulations (No. 5) 2020</w:t>
            </w:r>
          </w:p>
        </w:tc>
        <w:tc>
          <w:tcPr>
            <w:tcW w:w="1276" w:type="dxa"/>
            <w:tcBorders>
              <w:top w:val="nil"/>
              <w:left w:val="nil"/>
              <w:bottom w:val="nil"/>
              <w:right w:val="nil"/>
            </w:tcBorders>
          </w:tcPr>
          <w:p>
            <w:pPr>
              <w:pStyle w:val="nTable"/>
              <w:keepLines/>
              <w:spacing w:after="40"/>
            </w:pPr>
            <w:r>
              <w:t>SL 2020/192 9 Oct 2020</w:t>
            </w:r>
          </w:p>
        </w:tc>
        <w:tc>
          <w:tcPr>
            <w:tcW w:w="2693" w:type="dxa"/>
            <w:tcBorders>
              <w:top w:val="nil"/>
              <w:left w:val="nil"/>
              <w:bottom w:val="nil"/>
            </w:tcBorders>
          </w:tcPr>
          <w:p>
            <w:pPr>
              <w:pStyle w:val="nTable"/>
              <w:keepLines/>
              <w:spacing w:after="40"/>
            </w:pPr>
            <w:r>
              <w:t>r. 1 and 2: 9 Oct 2020 (see r. 2(a));</w:t>
            </w:r>
            <w:r>
              <w:br/>
              <w:t>Regulations other than r. 1 and 2: 10 Oct 2020 (see r. 2(b))</w:t>
            </w:r>
          </w:p>
        </w:tc>
      </w:tr>
      <w:tr>
        <w:trPr>
          <w:cantSplit/>
        </w:trPr>
        <w:tc>
          <w:tcPr>
            <w:tcW w:w="3118" w:type="dxa"/>
            <w:tcBorders>
              <w:top w:val="nil"/>
              <w:bottom w:val="nil"/>
              <w:right w:val="nil"/>
            </w:tcBorders>
          </w:tcPr>
          <w:p>
            <w:pPr>
              <w:pStyle w:val="nTable"/>
              <w:spacing w:after="40"/>
              <w:rPr>
                <w:i/>
              </w:rPr>
            </w:pPr>
            <w:r>
              <w:rPr>
                <w:i/>
              </w:rPr>
              <w:t>Building Amendment Regulations 2021</w:t>
            </w:r>
          </w:p>
        </w:tc>
        <w:tc>
          <w:tcPr>
            <w:tcW w:w="1276" w:type="dxa"/>
            <w:tcBorders>
              <w:top w:val="nil"/>
              <w:left w:val="nil"/>
              <w:bottom w:val="nil"/>
              <w:right w:val="nil"/>
            </w:tcBorders>
          </w:tcPr>
          <w:p>
            <w:pPr>
              <w:pStyle w:val="nTable"/>
              <w:keepLines/>
              <w:spacing w:after="40"/>
            </w:pPr>
            <w:r>
              <w:t>SL 2021/42 13 Apr 2021</w:t>
            </w:r>
          </w:p>
        </w:tc>
        <w:tc>
          <w:tcPr>
            <w:tcW w:w="2693" w:type="dxa"/>
            <w:tcBorders>
              <w:top w:val="nil"/>
              <w:left w:val="nil"/>
              <w:bottom w:val="nil"/>
            </w:tcBorders>
          </w:tcPr>
          <w:p>
            <w:pPr>
              <w:pStyle w:val="nTable"/>
              <w:keepLines/>
              <w:spacing w:after="40"/>
            </w:pPr>
            <w:r>
              <w:t>r. 1 and 2: 13 Apr 2021 (see r. 2(a));</w:t>
            </w:r>
            <w:r>
              <w:br/>
              <w:t>Regulations other than r. 1 and 2: 1 May 2021 (see r. 2(b))</w:t>
            </w:r>
          </w:p>
        </w:tc>
      </w:tr>
      <w:tr>
        <w:trPr>
          <w:cantSplit/>
        </w:trPr>
        <w:tc>
          <w:tcPr>
            <w:tcW w:w="3118" w:type="dxa"/>
            <w:tcBorders>
              <w:top w:val="nil"/>
              <w:bottom w:val="nil"/>
              <w:right w:val="nil"/>
            </w:tcBorders>
          </w:tcPr>
          <w:p>
            <w:pPr>
              <w:pStyle w:val="nTable"/>
              <w:spacing w:after="40"/>
              <w:rPr>
                <w:i/>
              </w:rPr>
            </w:pPr>
            <w:r>
              <w:rPr>
                <w:i/>
              </w:rPr>
              <w:t>Commerce Regulations Amendment (Fees and Charges) Regulations 2021</w:t>
            </w:r>
            <w:r>
              <w:t xml:space="preserve"> Pt. 5</w:t>
            </w:r>
          </w:p>
        </w:tc>
        <w:tc>
          <w:tcPr>
            <w:tcW w:w="1276" w:type="dxa"/>
            <w:tcBorders>
              <w:top w:val="nil"/>
              <w:left w:val="nil"/>
              <w:bottom w:val="nil"/>
              <w:right w:val="nil"/>
            </w:tcBorders>
          </w:tcPr>
          <w:p>
            <w:pPr>
              <w:pStyle w:val="nTable"/>
              <w:keepLines/>
              <w:spacing w:after="40"/>
            </w:pPr>
            <w:r>
              <w:t>SL 2021/86 21 Jun 2021</w:t>
            </w:r>
          </w:p>
        </w:tc>
        <w:tc>
          <w:tcPr>
            <w:tcW w:w="2693" w:type="dxa"/>
            <w:tcBorders>
              <w:top w:val="nil"/>
              <w:left w:val="nil"/>
              <w:bottom w:val="nil"/>
            </w:tcBorders>
          </w:tcPr>
          <w:p>
            <w:pPr>
              <w:pStyle w:val="nTable"/>
              <w:keepLines/>
              <w:spacing w:after="40"/>
            </w:pPr>
            <w:r>
              <w:t>1 Jul 2021 (see r. 2(b))</w:t>
            </w:r>
          </w:p>
        </w:tc>
      </w:tr>
      <w:tr>
        <w:trPr>
          <w:cantSplit/>
        </w:trPr>
        <w:tc>
          <w:tcPr>
            <w:tcW w:w="3118" w:type="dxa"/>
            <w:tcBorders>
              <w:top w:val="nil"/>
              <w:bottom w:val="nil"/>
              <w:right w:val="nil"/>
            </w:tcBorders>
          </w:tcPr>
          <w:p>
            <w:pPr>
              <w:pStyle w:val="nTable"/>
              <w:spacing w:after="40"/>
              <w:rPr>
                <w:i/>
              </w:rPr>
            </w:pPr>
            <w:r>
              <w:rPr>
                <w:i/>
              </w:rPr>
              <w:t>Commerce Regulations Amendment (Swan Valley Planning Scheme) Regulations 2021</w:t>
            </w:r>
            <w:r>
              <w:t xml:space="preserve"> Pt. 2</w:t>
            </w:r>
          </w:p>
        </w:tc>
        <w:tc>
          <w:tcPr>
            <w:tcW w:w="1276" w:type="dxa"/>
            <w:tcBorders>
              <w:top w:val="nil"/>
              <w:left w:val="nil"/>
              <w:bottom w:val="nil"/>
              <w:right w:val="nil"/>
            </w:tcBorders>
          </w:tcPr>
          <w:p>
            <w:pPr>
              <w:pStyle w:val="nTable"/>
              <w:keepLines/>
              <w:spacing w:after="40"/>
            </w:pPr>
            <w:r>
              <w:t>SL 2021/130 16 Jul 2021</w:t>
            </w:r>
          </w:p>
        </w:tc>
        <w:tc>
          <w:tcPr>
            <w:tcW w:w="2693" w:type="dxa"/>
            <w:tcBorders>
              <w:top w:val="nil"/>
              <w:left w:val="nil"/>
              <w:bottom w:val="nil"/>
            </w:tcBorders>
          </w:tcPr>
          <w:p>
            <w:pPr>
              <w:pStyle w:val="nTable"/>
              <w:keepLines/>
              <w:spacing w:after="40"/>
            </w:pPr>
            <w:r>
              <w:t>1 Aug 2021 (see r. 2(b) and SL 2021/124 cl. 2)</w:t>
            </w:r>
          </w:p>
        </w:tc>
      </w:tr>
      <w:tr>
        <w:trPr>
          <w:cantSplit/>
        </w:trPr>
        <w:tc>
          <w:tcPr>
            <w:tcW w:w="3118" w:type="dxa"/>
            <w:tcBorders>
              <w:top w:val="nil"/>
              <w:bottom w:val="nil"/>
              <w:right w:val="nil"/>
            </w:tcBorders>
          </w:tcPr>
          <w:p>
            <w:pPr>
              <w:pStyle w:val="nTable"/>
              <w:spacing w:after="40"/>
              <w:rPr>
                <w:i/>
              </w:rPr>
            </w:pPr>
            <w:r>
              <w:rPr>
                <w:i/>
              </w:rPr>
              <w:t xml:space="preserve">Commerce Regulations Amendment (Work Health and Safety) Regulations 2022 </w:t>
            </w:r>
            <w:r>
              <w:t>Pt. 2</w:t>
            </w:r>
          </w:p>
        </w:tc>
        <w:tc>
          <w:tcPr>
            <w:tcW w:w="1276" w:type="dxa"/>
            <w:tcBorders>
              <w:top w:val="nil"/>
              <w:left w:val="nil"/>
              <w:bottom w:val="nil"/>
              <w:right w:val="nil"/>
            </w:tcBorders>
          </w:tcPr>
          <w:p>
            <w:pPr>
              <w:pStyle w:val="nTable"/>
              <w:keepLines/>
              <w:spacing w:after="40"/>
            </w:pPr>
            <w:r>
              <w:t>SL 2022/26 11 Mar 2022</w:t>
            </w:r>
          </w:p>
        </w:tc>
        <w:tc>
          <w:tcPr>
            <w:tcW w:w="2693" w:type="dxa"/>
            <w:tcBorders>
              <w:top w:val="nil"/>
              <w:left w:val="nil"/>
              <w:bottom w:val="nil"/>
            </w:tcBorders>
          </w:tcPr>
          <w:p>
            <w:pPr>
              <w:pStyle w:val="nTable"/>
              <w:keepLines/>
              <w:spacing w:after="40"/>
            </w:pPr>
            <w:r>
              <w:rPr>
                <w:snapToGrid w:val="0"/>
              </w:rPr>
              <w:t>31 Mar 2022 (see r. 2(b) and SL 2022/18 cl. 2)</w:t>
            </w:r>
          </w:p>
        </w:tc>
      </w:tr>
      <w:tr>
        <w:trPr>
          <w:cantSplit/>
        </w:trPr>
        <w:tc>
          <w:tcPr>
            <w:tcW w:w="3118" w:type="dxa"/>
            <w:tcBorders>
              <w:top w:val="nil"/>
              <w:bottom w:val="nil"/>
              <w:right w:val="nil"/>
            </w:tcBorders>
          </w:tcPr>
          <w:p>
            <w:pPr>
              <w:pStyle w:val="nTable"/>
              <w:spacing w:after="40"/>
              <w:rPr>
                <w:i/>
              </w:rPr>
            </w:pPr>
            <w:r>
              <w:rPr>
                <w:i/>
              </w:rPr>
              <w:t>Building Amendment Regulations (No. 2) 2022</w:t>
            </w:r>
          </w:p>
        </w:tc>
        <w:tc>
          <w:tcPr>
            <w:tcW w:w="1276" w:type="dxa"/>
            <w:tcBorders>
              <w:top w:val="nil"/>
              <w:left w:val="nil"/>
              <w:bottom w:val="nil"/>
              <w:right w:val="nil"/>
            </w:tcBorders>
          </w:tcPr>
          <w:p>
            <w:pPr>
              <w:pStyle w:val="nTable"/>
              <w:keepLines/>
              <w:spacing w:after="40"/>
            </w:pPr>
            <w:r>
              <w:t>SL 2022/162 23 Sep 2022</w:t>
            </w:r>
          </w:p>
        </w:tc>
        <w:tc>
          <w:tcPr>
            <w:tcW w:w="2693" w:type="dxa"/>
            <w:tcBorders>
              <w:top w:val="nil"/>
              <w:left w:val="nil"/>
              <w:bottom w:val="nil"/>
            </w:tcBorders>
          </w:tcPr>
          <w:p>
            <w:pPr>
              <w:pStyle w:val="nTable"/>
              <w:keepLines/>
              <w:spacing w:after="40"/>
              <w:rPr>
                <w:snapToGrid w:val="0"/>
              </w:rPr>
            </w:pPr>
            <w:r>
              <w:t>r. 1 and 2: 23 Sep 2022 (see r. 2(a));</w:t>
            </w:r>
            <w:r>
              <w:br/>
              <w:t>Regulations other than r. 1 and 2: 1 May 2023 (see r. 2(b))</w:t>
            </w:r>
          </w:p>
        </w:tc>
      </w:tr>
      <w:tr>
        <w:trPr>
          <w:cantSplit/>
        </w:trPr>
        <w:tc>
          <w:tcPr>
            <w:tcW w:w="3118" w:type="dxa"/>
            <w:tcBorders>
              <w:top w:val="nil"/>
              <w:bottom w:val="single" w:sz="8" w:space="0" w:color="auto"/>
              <w:right w:val="nil"/>
            </w:tcBorders>
          </w:tcPr>
          <w:p>
            <w:pPr>
              <w:pStyle w:val="nTable"/>
              <w:spacing w:after="40"/>
            </w:pPr>
            <w:r>
              <w:rPr>
                <w:i/>
              </w:rPr>
              <w:lastRenderedPageBreak/>
              <w:t xml:space="preserve">Building Amendment Regulations (No. 2) 2023 </w:t>
            </w:r>
            <w:r>
              <w:t>(other than r. 4(2), 5 and 6)</w:t>
            </w:r>
          </w:p>
        </w:tc>
        <w:tc>
          <w:tcPr>
            <w:tcW w:w="1276" w:type="dxa"/>
            <w:tcBorders>
              <w:top w:val="nil"/>
              <w:left w:val="nil"/>
              <w:bottom w:val="single" w:sz="8" w:space="0" w:color="auto"/>
              <w:right w:val="nil"/>
            </w:tcBorders>
          </w:tcPr>
          <w:p>
            <w:pPr>
              <w:pStyle w:val="nTable"/>
              <w:keepLines/>
              <w:spacing w:after="40"/>
            </w:pPr>
            <w:r>
              <w:t>SL 2023/146 20 Sep 2023</w:t>
            </w:r>
          </w:p>
        </w:tc>
        <w:tc>
          <w:tcPr>
            <w:tcW w:w="2693" w:type="dxa"/>
            <w:tcBorders>
              <w:top w:val="nil"/>
              <w:left w:val="nil"/>
              <w:bottom w:val="single" w:sz="8" w:space="0" w:color="auto"/>
            </w:tcBorders>
          </w:tcPr>
          <w:p>
            <w:pPr>
              <w:pStyle w:val="nTable"/>
              <w:keepLines/>
              <w:spacing w:after="40"/>
            </w:pPr>
            <w:r>
              <w:t xml:space="preserve">r. 1 and 2: 20 Sep 2023 (see r. 2(a)); </w:t>
            </w:r>
            <w:r>
              <w:br/>
              <w:t>r. 4(1): 21 Sep 2023 (see r. 2(b))</w:t>
            </w:r>
          </w:p>
        </w:tc>
      </w:tr>
    </w:tbl>
    <w:p>
      <w:pPr>
        <w:pStyle w:val="nHeading3"/>
      </w:pPr>
      <w:bookmarkStart w:id="132" w:name="_Toc154744666"/>
      <w:r>
        <w:t>Uncommenced provisions table</w:t>
      </w:r>
      <w:bookmarkEnd w:id="13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Building Amendment Regulations (No. 2) 2023 </w:t>
            </w:r>
            <w:r>
              <w:t>r. 4(2), 5 and 6</w:t>
            </w:r>
          </w:p>
        </w:tc>
        <w:tc>
          <w:tcPr>
            <w:tcW w:w="1276" w:type="dxa"/>
          </w:tcPr>
          <w:p>
            <w:pPr>
              <w:pStyle w:val="nTable"/>
              <w:spacing w:after="40"/>
            </w:pPr>
            <w:r>
              <w:t>SL 2023/146 20 Sep 2023</w:t>
            </w:r>
          </w:p>
        </w:tc>
        <w:tc>
          <w:tcPr>
            <w:tcW w:w="2693" w:type="dxa"/>
          </w:tcPr>
          <w:p>
            <w:pPr>
              <w:pStyle w:val="nTable"/>
              <w:spacing w:after="40"/>
            </w:pPr>
            <w:r>
              <w:t>1 Oct 2023 (see r. 2(c))</w:t>
            </w:r>
          </w:p>
        </w:tc>
      </w:tr>
    </w:tbl>
    <w:p>
      <w:pPr>
        <w:pStyle w:val="nHeading3"/>
      </w:pPr>
      <w:bookmarkStart w:id="133" w:name="_Toc154744667"/>
      <w:r>
        <w:t>Other notes</w:t>
      </w:r>
      <w:bookmarkEnd w:id="133"/>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7"/>
          <w:headerReference w:type="default" r:id="rId38"/>
          <w:pgSz w:w="11907" w:h="16840" w:code="9"/>
          <w:pgMar w:top="2376" w:right="2404" w:bottom="3544" w:left="2404" w:header="720" w:footer="3544" w:gutter="0"/>
          <w:cols w:space="720"/>
          <w:noEndnote/>
          <w:docGrid w:linePitch="326"/>
        </w:sectPr>
      </w:pPr>
    </w:p>
    <w:p>
      <w:pPr>
        <w:pStyle w:val="nHeading2"/>
        <w:rPr>
          <w:sz w:val="28"/>
        </w:rPr>
      </w:pPr>
      <w:bookmarkStart w:id="135" w:name="_Toc154744668"/>
      <w:r>
        <w:rPr>
          <w:sz w:val="28"/>
        </w:rPr>
        <w:lastRenderedPageBreak/>
        <w:t>Defined terms</w:t>
      </w:r>
      <w:bookmarkEnd w:id="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 3A(1)</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bushfire attack level (BAL)</w:t>
      </w:r>
      <w:r>
        <w:tab/>
        <w:t>3</w:t>
      </w:r>
    </w:p>
    <w:p>
      <w:pPr>
        <w:pStyle w:val="DefinedTerms"/>
      </w:pPr>
      <w:r>
        <w:t>bush fire performance requirement</w:t>
      </w:r>
      <w:r>
        <w:tab/>
        <w:t>3</w:t>
      </w:r>
    </w:p>
    <w:p>
      <w:pPr>
        <w:pStyle w:val="DefinedTerms"/>
      </w:pPr>
      <w:r>
        <w:t>bush fire prone area</w:t>
      </w:r>
      <w:r>
        <w:tab/>
        <w:t>3</w:t>
      </w:r>
    </w:p>
    <w:p>
      <w:pPr>
        <w:pStyle w:val="DefinedTerms"/>
      </w:pPr>
      <w:r>
        <w:t>bush fire standard</w:t>
      </w:r>
      <w:r>
        <w:tab/>
        <w:t>31BA(1A)</w:t>
      </w:r>
    </w:p>
    <w:p>
      <w:pPr>
        <w:pStyle w:val="DefinedTerms"/>
      </w:pPr>
      <w:r>
        <w:t>business day</w:t>
      </w:r>
      <w:r>
        <w:tab/>
        <w:t>3</w:t>
      </w:r>
    </w:p>
    <w:p>
      <w:pPr>
        <w:pStyle w:val="DefinedTerms"/>
      </w:pPr>
      <w:r>
        <w:t>C1V3</w:t>
      </w:r>
      <w:r>
        <w:tab/>
        <w:t>3</w:t>
      </w:r>
    </w:p>
    <w:p>
      <w:pPr>
        <w:pStyle w:val="DefinedTerms"/>
      </w:pPr>
      <w:r>
        <w:t>Class</w:t>
      </w:r>
      <w:r>
        <w:tab/>
        <w:t>3</w:t>
      </w:r>
    </w:p>
    <w:p>
      <w:pPr>
        <w:pStyle w:val="DefinedTerms"/>
      </w:pPr>
      <w:r>
        <w:t>CodeMark certificate</w:t>
      </w:r>
      <w:r>
        <w:tab/>
        <w:t>31J(1)</w:t>
      </w:r>
    </w:p>
    <w:p>
      <w:pPr>
        <w:pStyle w:val="DefinedTerms"/>
      </w:pPr>
      <w:r>
        <w:t>commencement date</w:t>
      </w:r>
      <w:r>
        <w:tab/>
        <w:t>31HA(1)</w:t>
      </w:r>
    </w:p>
    <w:p>
      <w:pPr>
        <w:pStyle w:val="DefinedTerms"/>
      </w:pPr>
      <w:r>
        <w:t>commencement day</w:t>
      </w:r>
      <w:r>
        <w:tab/>
        <w:t>3, 31HB(1)</w:t>
      </w:r>
    </w:p>
    <w:p>
      <w:pPr>
        <w:pStyle w:val="DefinedTerms"/>
      </w:pPr>
      <w:r>
        <w:t>debris criteria</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exempt remedial work</w:t>
      </w:r>
      <w:r>
        <w:tab/>
        <w:t>31HA(1)</w:t>
      </w:r>
    </w:p>
    <w:p>
      <w:pPr>
        <w:pStyle w:val="DefinedTerms"/>
      </w:pPr>
      <w:r>
        <w:t>existing building or incidental structure</w:t>
      </w:r>
      <w:r>
        <w:tab/>
        <w:t>31HA(1)</w:t>
      </w:r>
    </w:p>
    <w:p>
      <w:pPr>
        <w:pStyle w:val="DefinedTerms"/>
      </w:pPr>
      <w:r>
        <w:lastRenderedPageBreak/>
        <w:t>expiry day</w:t>
      </w:r>
      <w:r>
        <w:tab/>
        <w:t>23(1), 40(1)</w:t>
      </w:r>
    </w:p>
    <w:p>
      <w:pPr>
        <w:pStyle w:val="DefinedTerms"/>
      </w:pPr>
      <w:r>
        <w:t>external wall</w:t>
      </w:r>
      <w:r>
        <w:tab/>
        <w:t>31HA(1)</w:t>
      </w:r>
    </w:p>
    <w:p>
      <w:pPr>
        <w:pStyle w:val="DefinedTerms"/>
      </w:pPr>
      <w:r>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local planning scheme</w:t>
      </w:r>
      <w:r>
        <w:tab/>
        <w:t>3, 31HB(1)</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permit authority</w:t>
      </w:r>
      <w:r>
        <w:tab/>
        <w:t>14A(1)</w:t>
      </w:r>
    </w:p>
    <w:p>
      <w:pPr>
        <w:pStyle w:val="DefinedTerms"/>
      </w:pPr>
      <w:r>
        <w:t>person responsible</w:t>
      </w:r>
      <w:r>
        <w:tab/>
        <w:t>54A(1)</w:t>
      </w:r>
    </w:p>
    <w:p>
      <w:pPr>
        <w:pStyle w:val="DefinedTerms"/>
      </w:pPr>
      <w:r>
        <w:t>person with a disability</w:t>
      </w:r>
      <w:r>
        <w:tab/>
        <w:t>51(1)</w:t>
      </w:r>
    </w:p>
    <w:p>
      <w:pPr>
        <w:pStyle w:val="DefinedTerms"/>
      </w:pPr>
      <w:r>
        <w:t>post-transfer period</w:t>
      </w:r>
      <w:r>
        <w:tab/>
        <w:t>57(1A)</w:t>
      </w:r>
    </w:p>
    <w:p>
      <w:pPr>
        <w:pStyle w:val="DefinedTerms"/>
      </w:pPr>
      <w:r>
        <w:t xml:space="preserve">pre-May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 31D</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sole-occupancy unit</w:t>
      </w:r>
      <w:r>
        <w:tab/>
        <w:t>3</w:t>
      </w:r>
    </w:p>
    <w:p>
      <w:pPr>
        <w:pStyle w:val="DefinedTerms"/>
      </w:pPr>
      <w:r>
        <w:t>specified employee</w:t>
      </w:r>
      <w:r>
        <w:tab/>
        <w:t>70(1A)</w:t>
      </w:r>
    </w:p>
    <w:p>
      <w:pPr>
        <w:pStyle w:val="DefinedTerms"/>
      </w:pPr>
      <w:r>
        <w:t>Statistician</w:t>
      </w:r>
      <w:r>
        <w:tab/>
        <w:t>14A(1)</w:t>
      </w:r>
    </w:p>
    <w:p>
      <w:pPr>
        <w:pStyle w:val="DefinedTerms"/>
      </w:pPr>
      <w:r>
        <w:t>strata leasehold estate</w:t>
      </w:r>
      <w:r>
        <w:tab/>
        <w:t>10(1A)</w:t>
      </w:r>
    </w:p>
    <w:p>
      <w:pPr>
        <w:pStyle w:val="DefinedTerms"/>
      </w:pPr>
      <w:r>
        <w:t>Swan Valley Planning Scheme</w:t>
      </w:r>
      <w:r>
        <w:tab/>
        <w:t>3</w:t>
      </w:r>
    </w:p>
    <w:p>
      <w:pPr>
        <w:pStyle w:val="DefinedTerms"/>
      </w:pPr>
      <w:r>
        <w:t>swimming pool</w:t>
      </w:r>
      <w:r>
        <w:tab/>
        <w:t>3</w:t>
      </w:r>
    </w:p>
    <w:p>
      <w:pPr>
        <w:pStyle w:val="DefinedTerms"/>
      </w:pPr>
      <w:r>
        <w:t>Table</w:t>
      </w:r>
      <w:r>
        <w:tab/>
        <w:t>41(2)</w:t>
      </w:r>
    </w:p>
    <w:p>
      <w:pPr>
        <w:pStyle w:val="DefinedTerms"/>
      </w:pPr>
      <w:r>
        <w:lastRenderedPageBreak/>
        <w:t>townsite</w:t>
      </w:r>
      <w:r>
        <w:tab/>
        <w:t>3</w:t>
      </w:r>
    </w:p>
    <w:p>
      <w:pPr>
        <w:pStyle w:val="DefinedTerms"/>
      </w:pPr>
      <w:r>
        <w:t>transfer day</w:t>
      </w:r>
      <w:r>
        <w:tab/>
        <w:t>55(1)</w:t>
      </w:r>
    </w:p>
    <w:p>
      <w:pPr>
        <w:pStyle w:val="DefinedTerms"/>
      </w:pPr>
      <w:r>
        <w:t>transitional bush fire application</w:t>
      </w:r>
      <w:r>
        <w:tab/>
        <w:t>31</w:t>
      </w:r>
    </w:p>
    <w:p>
      <w:pPr>
        <w:pStyle w:val="DefinedTerms"/>
      </w:pPr>
      <w:r>
        <w:t>unit</w:t>
      </w:r>
      <w:r>
        <w:tab/>
        <w:t>55(1)</w:t>
      </w:r>
    </w:p>
    <w:p>
      <w:pPr>
        <w:pStyle w:val="DefinedTerms"/>
      </w:pPr>
      <w:r>
        <w:t>work</w:t>
      </w:r>
      <w:r>
        <w:tab/>
        <w:t>54A(1)</w:t>
      </w:r>
    </w:p>
    <w:p>
      <w:pPr>
        <w:pStyle w:val="DefinedTerms"/>
      </w:pPr>
      <w:r>
        <w:t>WorkSafe Commissioner</w:t>
      </w:r>
      <w:r>
        <w:tab/>
        <w:t>14A(1)</w:t>
      </w:r>
    </w:p>
    <w:p>
      <w:pPr>
        <w:pStyle w:val="DefinedTerms"/>
      </w:pPr>
      <w:r>
        <w:t>young child</w:t>
      </w:r>
      <w:r>
        <w:tab/>
        <w:t>48</w:t>
      </w:r>
    </w:p>
    <w:p/>
    <w:p>
      <w:pPr>
        <w:sectPr>
          <w:headerReference w:type="even" r:id="rId39"/>
          <w:headerReference w:type="default" r:id="rId40"/>
          <w:pgSz w:w="11907" w:h="16840" w:code="9"/>
          <w:pgMar w:top="2381" w:right="2409" w:bottom="3543" w:left="2409" w:header="720" w:footer="3544" w:gutter="0"/>
          <w:cols w:space="720"/>
          <w:noEndnote/>
          <w:docGrid w:linePitch="326"/>
        </w:sectPr>
      </w:pPr>
    </w:p>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FFF77DB" id="_x0000_t202" coordsize="21600,21600" o:spt="202" path="m,l,21600r21600,l21600,xe">
                <v:stroke joinstyle="miter"/>
                <v:path gradientshapeok="t" o:connecttype="rect"/>
              </v:shapetype>
              <v:shape id="Authority" o:spid="_x0000_s1026" type="#_x0000_t202" style="position:absolute;margin-left:0;margin-top:591pt;width:10pt;height:51pt;z-index:25166540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AFBED47" w14:textId="1012D736" w:rsidR="00763913" w:rsidRDefault="00763913">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DCAACF7" w14:textId="77777777" w:rsidR="00763913" w:rsidRDefault="0076391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35A3B99" w14:textId="7A3E4D15" w:rsidR="00763913" w:rsidRDefault="00763913">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7AD3B71" w14:textId="77777777" w:rsidR="00763913" w:rsidRDefault="00763913">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04-s0-01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04-s0-01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04-s0-01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cxxxii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04-s0-01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cxxxii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04-s0-01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04-s0-01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15" w:name="Schedule"/>
    <w:bookmarkEnd w:id="1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6" w:name="DefinedTerms"/>
    <w:bookmarkEnd w:id="136"/>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7" w:name="Coversheet"/>
    <w:bookmarkEnd w:id="1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273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55559"/>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 w:name="WAFER_20210407133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3749_GUID" w:val="a4726158-1b3b-4f23-abee-c19c5eca9e65"/>
    <w:docVar w:name="WAFER_2021042812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20854_GUID" w:val="5ab1875e-7ccb-4c33-ad11-8cba4ed32ec1"/>
    <w:docVar w:name="WAFER_20210615155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5847_GUID" w:val="20b48b21-49d0-45f5-973b-30982d0c245c"/>
    <w:docVar w:name="WAFER_20210623142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38_GUID" w:val="4c989d56-d454-4803-856c-8b1ed53f2b25"/>
    <w:docVar w:name="WAFER_20210714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5856_GUID" w:val="d36fc486-1f6f-4ed5-b63c-9bd8b79f2308"/>
    <w:docVar w:name="WAFER_20210726152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2458_GUID" w:val="aa5a6f4c-920e-4c4f-a74e-8bd16dcc2be3"/>
    <w:docVar w:name="WAFER_20220308124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4532_GUID" w:val="ddb42766-8abe-4064-aefe-70b5a9740ee1"/>
    <w:docVar w:name="WAFER_202203171630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3057_GUID" w:val="db4672ea-99d8-4029-a5ef-0449f7849d77"/>
    <w:docVar w:name="WAFER_20220920111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1347_GUID" w:val="d5132878-783a-48b6-85ce-1ceed0ee710e"/>
    <w:docVar w:name="WAFER_202304270851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085125_GUID" w:val="b18944f7-cfee-4395-9144-0330fe557f77"/>
    <w:docVar w:name="WAFER_202309141419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14141942_GUID" w:val="c5162bb5-edcf-452f-87a5-d2400313fd8c"/>
    <w:docVar w:name="WAFER_202312271555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5559_GUID" w:val="8cd1e27e-0bbe-4693-bdc2-704fc0bb37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5:docId w15:val="{71545625-D491-47B7-9AE8-879AA6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DE772-48A9-4892-83D9-F2C1579B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27532</Words>
  <Characters>136289</Characters>
  <Application>Microsoft Office Word</Application>
  <DocSecurity>0</DocSecurity>
  <Lines>4699</Lines>
  <Paragraphs>2642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2012 - 04-s0-01</dc:title>
  <dc:subject/>
  <dc:creator/>
  <cp:keywords/>
  <dc:description/>
  <cp:lastModifiedBy>Master Repository Process</cp:lastModifiedBy>
  <cp:revision>4</cp:revision>
  <cp:lastPrinted>2019-11-01T04:18:00Z</cp:lastPrinted>
  <dcterms:created xsi:type="dcterms:W3CDTF">2023-12-29T04:15:00Z</dcterms:created>
  <dcterms:modified xsi:type="dcterms:W3CDTF">2023-12-29T04:15:00Z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AsAtDate">
    <vt:lpwstr>21 Sep 2023</vt:lpwstr>
  </property>
  <property fmtid="{D5CDD505-2E9C-101B-9397-08002B2CF9AE}" pid="7" name="Suffix">
    <vt:lpwstr>04-s0-01</vt:lpwstr>
  </property>
  <property fmtid="{D5CDD505-2E9C-101B-9397-08002B2CF9AE}" pid="8" name="Official">
    <vt:lpwstr/>
  </property>
  <property fmtid="{D5CDD505-2E9C-101B-9397-08002B2CF9AE}" pid="9" name="CommencementDate">
    <vt:lpwstr>20230921</vt:lpwstr>
  </property>
  <property fmtid="{D5CDD505-2E9C-101B-9397-08002B2CF9AE}" pid="10" name="CommencementAsAt">
    <vt:filetime>2023-09-20T16:00:00Z</vt:filetime>
  </property>
  <property fmtid="{D5CDD505-2E9C-101B-9397-08002B2CF9AE}" pid="11" name="CommencementYear">
    <vt:lpwstr>2023</vt:lpwstr>
  </property>
</Properties>
</file>