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Services Information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Services Information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Services Information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_Toc155081624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_Toc155081625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_Toc155081626 \h </w:instrText>
      </w:r>
      <w:r>
        <w:fldChar w:fldCharType="separate"/>
      </w:r>
      <w:r>
        <w:t>1</w:t>
      </w:r>
      <w:r>
        <w:fldChar w:fldCharType="end"/>
      </w:r>
    </w:p>
    <w:p>
      <w:pPr>
        <w:pStyle w:val="TOC8"/>
        <w:rPr>
          <w:rFonts w:asciiTheme="minorHAnsi" w:eastAsiaTheme="minorEastAsia" w:hAnsiTheme="minorHAnsi" w:cstheme="minorBidi"/>
          <w:szCs w:val="22"/>
        </w:rPr>
      </w:pPr>
      <w:r>
        <w:t>4A.</w:t>
      </w:r>
      <w:r>
        <w:tab/>
        <w:t>Gas market participants</w:t>
      </w:r>
      <w:r>
        <w:tab/>
      </w:r>
      <w:r>
        <w:fldChar w:fldCharType="begin"/>
      </w:r>
      <w:r>
        <w:instrText xml:space="preserve"> PAGEREF _Toc155081627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Functions of the operator</w:t>
      </w:r>
    </w:p>
    <w:p>
      <w:pPr>
        <w:pStyle w:val="TOC8"/>
        <w:rPr>
          <w:rFonts w:asciiTheme="minorHAnsi" w:eastAsiaTheme="minorEastAsia" w:hAnsiTheme="minorHAnsi" w:cstheme="minorBidi"/>
          <w:szCs w:val="22"/>
        </w:rPr>
      </w:pPr>
      <w:r>
        <w:t>4.</w:t>
      </w:r>
      <w:r>
        <w:tab/>
        <w:t>Functions of operator — AEMO</w:t>
      </w:r>
      <w:r>
        <w:tab/>
      </w:r>
      <w:r>
        <w:fldChar w:fldCharType="begin"/>
      </w:r>
      <w:r>
        <w:instrText xml:space="preserve"> PAGEREF _Toc155081629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GSI rules</w:t>
      </w:r>
    </w:p>
    <w:p>
      <w:pPr>
        <w:pStyle w:val="TOC8"/>
        <w:rPr>
          <w:rFonts w:asciiTheme="minorHAnsi" w:eastAsiaTheme="minorEastAsia" w:hAnsiTheme="minorHAnsi" w:cstheme="minorBidi"/>
          <w:szCs w:val="22"/>
        </w:rPr>
      </w:pPr>
      <w:r>
        <w:t>5.</w:t>
      </w:r>
      <w:r>
        <w:tab/>
        <w:t>GSI rules</w:t>
      </w:r>
      <w:r>
        <w:tab/>
      </w:r>
      <w:r>
        <w:fldChar w:fldCharType="begin"/>
      </w:r>
      <w:r>
        <w:instrText xml:space="preserve"> PAGEREF _Toc155081631 \h </w:instrText>
      </w:r>
      <w:r>
        <w:fldChar w:fldCharType="separate"/>
      </w:r>
      <w:r>
        <w:t>5</w:t>
      </w:r>
      <w:r>
        <w:fldChar w:fldCharType="end"/>
      </w:r>
    </w:p>
    <w:p>
      <w:pPr>
        <w:pStyle w:val="TOC8"/>
        <w:rPr>
          <w:rFonts w:asciiTheme="minorHAnsi" w:eastAsiaTheme="minorEastAsia" w:hAnsiTheme="minorHAnsi" w:cstheme="minorBidi"/>
          <w:szCs w:val="22"/>
        </w:rPr>
      </w:pPr>
      <w:r>
        <w:t>6.</w:t>
      </w:r>
      <w:r>
        <w:tab/>
        <w:t>Making GSI rules</w:t>
      </w:r>
      <w:r>
        <w:tab/>
      </w:r>
      <w:r>
        <w:fldChar w:fldCharType="begin"/>
      </w:r>
      <w:r>
        <w:instrText xml:space="preserve"> PAGEREF _Toc155081632 \h </w:instrText>
      </w:r>
      <w:r>
        <w:fldChar w:fldCharType="separate"/>
      </w:r>
      <w:r>
        <w:t>5</w:t>
      </w:r>
      <w:r>
        <w:fldChar w:fldCharType="end"/>
      </w:r>
    </w:p>
    <w:p>
      <w:pPr>
        <w:pStyle w:val="TOC8"/>
        <w:rPr>
          <w:rFonts w:asciiTheme="minorHAnsi" w:eastAsiaTheme="minorEastAsia" w:hAnsiTheme="minorHAnsi" w:cstheme="minorBidi"/>
          <w:szCs w:val="22"/>
        </w:rPr>
      </w:pPr>
      <w:r>
        <w:t>7.</w:t>
      </w:r>
      <w:r>
        <w:tab/>
        <w:t>Amending GSI rules</w:t>
      </w:r>
      <w:r>
        <w:tab/>
      </w:r>
      <w:r>
        <w:fldChar w:fldCharType="begin"/>
      </w:r>
      <w:r>
        <w:instrText xml:space="preserve"> PAGEREF _Toc155081633 \h </w:instrText>
      </w:r>
      <w:r>
        <w:fldChar w:fldCharType="separate"/>
      </w:r>
      <w:r>
        <w:t>6</w:t>
      </w:r>
      <w:r>
        <w:fldChar w:fldCharType="end"/>
      </w:r>
    </w:p>
    <w:p>
      <w:pPr>
        <w:pStyle w:val="TOC8"/>
        <w:rPr>
          <w:rFonts w:asciiTheme="minorHAnsi" w:eastAsiaTheme="minorEastAsia" w:hAnsiTheme="minorHAnsi" w:cstheme="minorBidi"/>
          <w:szCs w:val="22"/>
        </w:rPr>
      </w:pPr>
      <w:r>
        <w:t>8.</w:t>
      </w:r>
      <w:r>
        <w:tab/>
        <w:t>GSI rules generally</w:t>
      </w:r>
      <w:r>
        <w:tab/>
      </w:r>
      <w:r>
        <w:fldChar w:fldCharType="begin"/>
      </w:r>
      <w:r>
        <w:instrText xml:space="preserve"> PAGEREF _Toc155081634 \h </w:instrText>
      </w:r>
      <w:r>
        <w:fldChar w:fldCharType="separate"/>
      </w:r>
      <w:r>
        <w:t>7</w:t>
      </w:r>
      <w:r>
        <w:fldChar w:fldCharType="end"/>
      </w:r>
    </w:p>
    <w:p>
      <w:pPr>
        <w:pStyle w:val="TOC8"/>
        <w:rPr>
          <w:rFonts w:asciiTheme="minorHAnsi" w:eastAsiaTheme="minorEastAsia" w:hAnsiTheme="minorHAnsi" w:cstheme="minorBidi"/>
          <w:szCs w:val="22"/>
        </w:rPr>
      </w:pPr>
      <w:r>
        <w:t>8A.</w:t>
      </w:r>
      <w:r>
        <w:tab/>
        <w:t>Transitional GSI rules for transfer of functions from IMO to ERA or Rule Change Panel</w:t>
      </w:r>
      <w:r>
        <w:tab/>
      </w:r>
      <w:r>
        <w:fldChar w:fldCharType="begin"/>
      </w:r>
      <w:r>
        <w:instrText xml:space="preserve"> PAGEREF _Toc155081635 \h </w:instrText>
      </w:r>
      <w:r>
        <w:fldChar w:fldCharType="separate"/>
      </w:r>
      <w:r>
        <w:t>9</w:t>
      </w:r>
      <w:r>
        <w:fldChar w:fldCharType="end"/>
      </w:r>
    </w:p>
    <w:p>
      <w:pPr>
        <w:pStyle w:val="TOC8"/>
        <w:rPr>
          <w:rFonts w:asciiTheme="minorHAnsi" w:eastAsiaTheme="minorEastAsia" w:hAnsiTheme="minorHAnsi" w:cstheme="minorBidi"/>
          <w:szCs w:val="22"/>
        </w:rPr>
      </w:pPr>
      <w:r>
        <w:t>8B.</w:t>
      </w:r>
      <w:r>
        <w:tab/>
        <w:t>Transitional GSI rules for transfer of functions from Rule Change Panel to Coordinator</w:t>
      </w:r>
      <w:r>
        <w:tab/>
      </w:r>
      <w:r>
        <w:fldChar w:fldCharType="begin"/>
      </w:r>
      <w:r>
        <w:instrText xml:space="preserve"> PAGEREF _Toc155081636 \h </w:instrText>
      </w:r>
      <w:r>
        <w:fldChar w:fldCharType="separate"/>
      </w:r>
      <w:r>
        <w:t>10</w:t>
      </w:r>
      <w:r>
        <w:fldChar w:fldCharType="end"/>
      </w:r>
    </w:p>
    <w:p>
      <w:pPr>
        <w:pStyle w:val="TOC8"/>
        <w:rPr>
          <w:rFonts w:asciiTheme="minorHAnsi" w:eastAsiaTheme="minorEastAsia" w:hAnsiTheme="minorHAnsi" w:cstheme="minorBidi"/>
          <w:szCs w:val="22"/>
        </w:rPr>
      </w:pPr>
      <w:r>
        <w:t>9.</w:t>
      </w:r>
      <w:r>
        <w:tab/>
        <w:t>Availability of copies of GSI rules</w:t>
      </w:r>
      <w:r>
        <w:tab/>
      </w:r>
      <w:r>
        <w:fldChar w:fldCharType="begin"/>
      </w:r>
      <w:r>
        <w:instrText xml:space="preserve"> PAGEREF _Toc155081637 \h </w:instrText>
      </w:r>
      <w:r>
        <w:fldChar w:fldCharType="separate"/>
      </w:r>
      <w:r>
        <w:t>11</w:t>
      </w:r>
      <w:r>
        <w:fldChar w:fldCharType="end"/>
      </w:r>
    </w:p>
    <w:p>
      <w:pPr>
        <w:pStyle w:val="TOC8"/>
        <w:rPr>
          <w:rFonts w:asciiTheme="minorHAnsi" w:eastAsiaTheme="minorEastAsia" w:hAnsiTheme="minorHAnsi" w:cstheme="minorBidi"/>
          <w:szCs w:val="22"/>
        </w:rPr>
      </w:pPr>
      <w:r>
        <w:t>10.</w:t>
      </w:r>
      <w:r>
        <w:tab/>
        <w:t>GSI procedures</w:t>
      </w:r>
      <w:r>
        <w:tab/>
      </w:r>
      <w:r>
        <w:fldChar w:fldCharType="begin"/>
      </w:r>
      <w:r>
        <w:instrText xml:space="preserve"> PAGEREF _Toc155081638 \h </w:instrText>
      </w:r>
      <w:r>
        <w:fldChar w:fldCharType="separate"/>
      </w:r>
      <w:r>
        <w:t>12</w:t>
      </w:r>
      <w:r>
        <w:fldChar w:fldCharType="end"/>
      </w:r>
    </w:p>
    <w:p>
      <w:pPr>
        <w:pStyle w:val="TOC8"/>
        <w:rPr>
          <w:rFonts w:asciiTheme="minorHAnsi" w:eastAsiaTheme="minorEastAsia" w:hAnsiTheme="minorHAnsi" w:cstheme="minorBidi"/>
          <w:szCs w:val="22"/>
        </w:rPr>
      </w:pPr>
      <w:r>
        <w:t>11.</w:t>
      </w:r>
      <w:r>
        <w:tab/>
        <w:t>Administration of GSI rules and GSI procedures</w:t>
      </w:r>
      <w:r>
        <w:tab/>
      </w:r>
      <w:r>
        <w:fldChar w:fldCharType="begin"/>
      </w:r>
      <w:r>
        <w:instrText xml:space="preserve"> PAGEREF _Toc155081639 \h </w:instrText>
      </w:r>
      <w:r>
        <w:fldChar w:fldCharType="separate"/>
      </w:r>
      <w:r>
        <w:t>12</w:t>
      </w:r>
      <w:r>
        <w:fldChar w:fldCharType="end"/>
      </w:r>
    </w:p>
    <w:p>
      <w:pPr>
        <w:pStyle w:val="TOC8"/>
        <w:rPr>
          <w:rFonts w:asciiTheme="minorHAnsi" w:eastAsiaTheme="minorEastAsia" w:hAnsiTheme="minorHAnsi" w:cstheme="minorBidi"/>
          <w:szCs w:val="22"/>
        </w:rPr>
      </w:pPr>
      <w:r>
        <w:t>11A.</w:t>
      </w:r>
      <w:r>
        <w:tab/>
        <w:t>Use of information by Coordinator</w:t>
      </w:r>
      <w:r>
        <w:tab/>
      </w:r>
      <w:r>
        <w:fldChar w:fldCharType="begin"/>
      </w:r>
      <w:r>
        <w:instrText xml:space="preserve"> PAGEREF _Toc155081640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Obligations to provide information</w:t>
      </w:r>
    </w:p>
    <w:p>
      <w:pPr>
        <w:pStyle w:val="TOC8"/>
        <w:rPr>
          <w:rFonts w:asciiTheme="minorHAnsi" w:eastAsiaTheme="minorEastAsia" w:hAnsiTheme="minorHAnsi" w:cstheme="minorBidi"/>
          <w:szCs w:val="22"/>
        </w:rPr>
      </w:pPr>
      <w:r>
        <w:t>12.</w:t>
      </w:r>
      <w:r>
        <w:tab/>
        <w:t>Ongoing requirement to provide information</w:t>
      </w:r>
      <w:r>
        <w:tab/>
      </w:r>
      <w:r>
        <w:fldChar w:fldCharType="begin"/>
      </w:r>
      <w:r>
        <w:instrText xml:space="preserve"> PAGEREF _Toc155081642 \h </w:instrText>
      </w:r>
      <w:r>
        <w:fldChar w:fldCharType="separate"/>
      </w:r>
      <w:r>
        <w:t>14</w:t>
      </w:r>
      <w:r>
        <w:fldChar w:fldCharType="end"/>
      </w:r>
    </w:p>
    <w:p>
      <w:pPr>
        <w:pStyle w:val="TOC8"/>
        <w:rPr>
          <w:rFonts w:asciiTheme="minorHAnsi" w:eastAsiaTheme="minorEastAsia" w:hAnsiTheme="minorHAnsi" w:cstheme="minorBidi"/>
          <w:szCs w:val="22"/>
        </w:rPr>
      </w:pPr>
      <w:r>
        <w:t>13.</w:t>
      </w:r>
      <w:r>
        <w:tab/>
        <w:t>Operator may request information</w:t>
      </w:r>
      <w:r>
        <w:tab/>
      </w:r>
      <w:r>
        <w:fldChar w:fldCharType="begin"/>
      </w:r>
      <w:r>
        <w:instrText xml:space="preserve"> PAGEREF _Toc155081643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w:t>
      </w:r>
      <w:r>
        <w:rPr>
          <w:b w:val="0"/>
        </w:rPr>
        <w:t> </w:t>
      </w:r>
      <w:r>
        <w:t>—</w:t>
      </w:r>
      <w:r>
        <w:rPr>
          <w:b w:val="0"/>
        </w:rPr>
        <w:t> </w:t>
      </w:r>
      <w:r>
        <w:t>Enforcement of GSI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_Toc155081646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Orders and penalties</w:t>
      </w:r>
    </w:p>
    <w:p>
      <w:pPr>
        <w:pStyle w:val="TOC8"/>
        <w:rPr>
          <w:rFonts w:asciiTheme="minorHAnsi" w:eastAsiaTheme="minorEastAsia" w:hAnsiTheme="minorHAnsi" w:cstheme="minorBidi"/>
          <w:szCs w:val="22"/>
        </w:rPr>
      </w:pPr>
      <w:r>
        <w:t>15.</w:t>
      </w:r>
      <w:r>
        <w:tab/>
        <w:t>Civil penalty provisions and civil penalties</w:t>
      </w:r>
      <w:r>
        <w:tab/>
      </w:r>
      <w:r>
        <w:fldChar w:fldCharType="begin"/>
      </w:r>
      <w:r>
        <w:instrText xml:space="preserve"> PAGEREF _Toc155081648 \h </w:instrText>
      </w:r>
      <w:r>
        <w:fldChar w:fldCharType="separate"/>
      </w:r>
      <w:r>
        <w:t>16</w:t>
      </w:r>
      <w:r>
        <w:fldChar w:fldCharType="end"/>
      </w:r>
    </w:p>
    <w:p>
      <w:pPr>
        <w:pStyle w:val="TOC8"/>
        <w:rPr>
          <w:rFonts w:asciiTheme="minorHAnsi" w:eastAsiaTheme="minorEastAsia" w:hAnsiTheme="minorHAnsi" w:cstheme="minorBidi"/>
          <w:szCs w:val="22"/>
        </w:rPr>
      </w:pPr>
      <w:r>
        <w:t>16.</w:t>
      </w:r>
      <w:r>
        <w:tab/>
        <w:t>Contravention of civil penalty provision: ERA may demand civil penalty</w:t>
      </w:r>
      <w:r>
        <w:tab/>
      </w:r>
      <w:r>
        <w:fldChar w:fldCharType="begin"/>
      </w:r>
      <w:r>
        <w:instrText xml:space="preserve"> PAGEREF _Toc155081649 \h </w:instrText>
      </w:r>
      <w:r>
        <w:fldChar w:fldCharType="separate"/>
      </w:r>
      <w:r>
        <w:t>17</w:t>
      </w:r>
      <w:r>
        <w:fldChar w:fldCharType="end"/>
      </w:r>
    </w:p>
    <w:p>
      <w:pPr>
        <w:pStyle w:val="TOC8"/>
        <w:rPr>
          <w:rFonts w:asciiTheme="minorHAnsi" w:eastAsiaTheme="minorEastAsia" w:hAnsiTheme="minorHAnsi" w:cstheme="minorBidi"/>
          <w:szCs w:val="22"/>
        </w:rPr>
      </w:pPr>
      <w:r>
        <w:t>17.</w:t>
      </w:r>
      <w:r>
        <w:tab/>
        <w:t>Contraventions of provisions of GSI rules: applications for orders from Board</w:t>
      </w:r>
      <w:r>
        <w:tab/>
      </w:r>
      <w:r>
        <w:fldChar w:fldCharType="begin"/>
      </w:r>
      <w:r>
        <w:instrText xml:space="preserve"> PAGEREF _Toc155081650 \h </w:instrText>
      </w:r>
      <w:r>
        <w:fldChar w:fldCharType="separate"/>
      </w:r>
      <w:r>
        <w:t>20</w:t>
      </w:r>
      <w:r>
        <w:fldChar w:fldCharType="end"/>
      </w:r>
    </w:p>
    <w:p>
      <w:pPr>
        <w:pStyle w:val="TOC8"/>
        <w:rPr>
          <w:rFonts w:asciiTheme="minorHAnsi" w:eastAsiaTheme="minorEastAsia" w:hAnsiTheme="minorHAnsi" w:cstheme="minorBidi"/>
          <w:szCs w:val="22"/>
        </w:rPr>
      </w:pPr>
      <w:r>
        <w:t>18.</w:t>
      </w:r>
      <w:r>
        <w:tab/>
        <w:t>Contraventions of provisions of GSI rules: orders Board may make</w:t>
      </w:r>
      <w:r>
        <w:tab/>
      </w:r>
      <w:r>
        <w:fldChar w:fldCharType="begin"/>
      </w:r>
      <w:r>
        <w:instrText xml:space="preserve"> PAGEREF _Toc155081651 \h </w:instrText>
      </w:r>
      <w:r>
        <w:fldChar w:fldCharType="separate"/>
      </w:r>
      <w:r>
        <w:t>20</w:t>
      </w:r>
      <w:r>
        <w:fldChar w:fldCharType="end"/>
      </w:r>
    </w:p>
    <w:p>
      <w:pPr>
        <w:pStyle w:val="TOC8"/>
        <w:rPr>
          <w:rFonts w:asciiTheme="minorHAnsi" w:eastAsiaTheme="minorEastAsia" w:hAnsiTheme="minorHAnsi" w:cstheme="minorBidi"/>
          <w:szCs w:val="22"/>
        </w:rPr>
      </w:pPr>
      <w:r>
        <w:t>19.</w:t>
      </w:r>
      <w:r>
        <w:tab/>
        <w:t>Enforcement of orders of Board</w:t>
      </w:r>
      <w:r>
        <w:tab/>
      </w:r>
      <w:r>
        <w:fldChar w:fldCharType="begin"/>
      </w:r>
      <w:r>
        <w:instrText xml:space="preserve"> PAGEREF _Toc155081652 \h </w:instrText>
      </w:r>
      <w:r>
        <w:fldChar w:fldCharType="separate"/>
      </w:r>
      <w:r>
        <w:t>21</w:t>
      </w:r>
      <w:r>
        <w:fldChar w:fldCharType="end"/>
      </w:r>
    </w:p>
    <w:p>
      <w:pPr>
        <w:pStyle w:val="TOC8"/>
        <w:rPr>
          <w:rFonts w:asciiTheme="minorHAnsi" w:eastAsiaTheme="minorEastAsia" w:hAnsiTheme="minorHAnsi" w:cstheme="minorBidi"/>
          <w:szCs w:val="22"/>
        </w:rPr>
      </w:pPr>
      <w:r>
        <w:t>20.</w:t>
      </w:r>
      <w:r>
        <w:tab/>
        <w:t>Contravention of provision of GSI rules not an offence</w:t>
      </w:r>
      <w:r>
        <w:tab/>
      </w:r>
      <w:r>
        <w:fldChar w:fldCharType="begin"/>
      </w:r>
      <w:r>
        <w:instrText xml:space="preserve"> PAGEREF _Toc155081653 \h </w:instrText>
      </w:r>
      <w:r>
        <w:fldChar w:fldCharType="separate"/>
      </w:r>
      <w:r>
        <w:t>22</w:t>
      </w:r>
      <w:r>
        <w:fldChar w:fldCharType="end"/>
      </w:r>
    </w:p>
    <w:p>
      <w:pPr>
        <w:pStyle w:val="TOC8"/>
        <w:rPr>
          <w:rFonts w:asciiTheme="minorHAnsi" w:eastAsiaTheme="minorEastAsia" w:hAnsiTheme="minorHAnsi" w:cstheme="minorBidi"/>
          <w:szCs w:val="22"/>
        </w:rPr>
      </w:pPr>
      <w:r>
        <w:t>21.</w:t>
      </w:r>
      <w:r>
        <w:tab/>
        <w:t>Conduct contravening more than one civil penalty provision</w:t>
      </w:r>
      <w:r>
        <w:tab/>
      </w:r>
      <w:r>
        <w:fldChar w:fldCharType="begin"/>
      </w:r>
      <w:r>
        <w:instrText xml:space="preserve"> PAGEREF _Toc155081654 \h </w:instrText>
      </w:r>
      <w:r>
        <w:fldChar w:fldCharType="separate"/>
      </w:r>
      <w:r>
        <w:t>22</w:t>
      </w:r>
      <w:r>
        <w:fldChar w:fldCharType="end"/>
      </w:r>
    </w:p>
    <w:p>
      <w:pPr>
        <w:pStyle w:val="TOC8"/>
        <w:rPr>
          <w:rFonts w:asciiTheme="minorHAnsi" w:eastAsiaTheme="minorEastAsia" w:hAnsiTheme="minorHAnsi" w:cstheme="minorBidi"/>
          <w:szCs w:val="22"/>
        </w:rPr>
      </w:pPr>
      <w:r>
        <w:t>22.</w:t>
      </w:r>
      <w:r>
        <w:tab/>
        <w:t>Application of civil penalties received by operator</w:t>
      </w:r>
      <w:r>
        <w:tab/>
      </w:r>
      <w:r>
        <w:fldChar w:fldCharType="begin"/>
      </w:r>
      <w:r>
        <w:instrText xml:space="preserve"> PAGEREF _Toc155081655 \h </w:instrText>
      </w:r>
      <w:r>
        <w:fldChar w:fldCharType="separate"/>
      </w:r>
      <w:r>
        <w:t>22</w:t>
      </w:r>
      <w:r>
        <w:fldChar w:fldCharType="end"/>
      </w:r>
    </w:p>
    <w:p>
      <w:pPr>
        <w:pStyle w:val="TOC8"/>
        <w:rPr>
          <w:rFonts w:asciiTheme="minorHAnsi" w:eastAsiaTheme="minorEastAsia" w:hAnsiTheme="minorHAnsi" w:cstheme="minorBidi"/>
          <w:szCs w:val="22"/>
        </w:rPr>
      </w:pPr>
      <w:r>
        <w:t>23.</w:t>
      </w:r>
      <w:r>
        <w:tab/>
        <w:t>ERA to notify certain persons of decision not to take action</w:t>
      </w:r>
      <w:r>
        <w:tab/>
      </w:r>
      <w:r>
        <w:fldChar w:fldCharType="begin"/>
      </w:r>
      <w:r>
        <w:instrText xml:space="preserve"> PAGEREF _Toc155081656 \h </w:instrText>
      </w:r>
      <w:r>
        <w:fldChar w:fldCharType="separate"/>
      </w:r>
      <w:r>
        <w:t>22</w:t>
      </w:r>
      <w:r>
        <w:fldChar w:fldCharType="end"/>
      </w:r>
    </w:p>
    <w:p>
      <w:pPr>
        <w:pStyle w:val="TOC8"/>
        <w:rPr>
          <w:rFonts w:asciiTheme="minorHAnsi" w:eastAsiaTheme="minorEastAsia" w:hAnsiTheme="minorHAnsi" w:cstheme="minorBidi"/>
          <w:szCs w:val="22"/>
        </w:rPr>
      </w:pPr>
      <w:r>
        <w:t>24.</w:t>
      </w:r>
      <w:r>
        <w:tab/>
        <w:t>Applications for orders from Board: procedure</w:t>
      </w:r>
      <w:r>
        <w:tab/>
      </w:r>
      <w:r>
        <w:fldChar w:fldCharType="begin"/>
      </w:r>
      <w:r>
        <w:instrText xml:space="preserve"> PAGEREF _Toc155081657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Review by the Board</w:t>
      </w:r>
    </w:p>
    <w:p>
      <w:pPr>
        <w:pStyle w:val="TOC4"/>
        <w:tabs>
          <w:tab w:val="right" w:leader="dot" w:pos="7077"/>
        </w:tabs>
        <w:rPr>
          <w:rFonts w:asciiTheme="minorHAnsi" w:eastAsiaTheme="minorEastAsia" w:hAnsiTheme="minorHAnsi" w:cstheme="minorBidi"/>
          <w:b w:val="0"/>
          <w:szCs w:val="22"/>
        </w:rPr>
      </w:pPr>
      <w:r>
        <w:t>Division 1 — Review by the Board</w:t>
      </w:r>
    </w:p>
    <w:p>
      <w:pPr>
        <w:pStyle w:val="TOC8"/>
        <w:rPr>
          <w:rFonts w:asciiTheme="minorHAnsi" w:eastAsiaTheme="minorEastAsia" w:hAnsiTheme="minorHAnsi" w:cstheme="minorBidi"/>
          <w:szCs w:val="22"/>
        </w:rPr>
      </w:pPr>
      <w:r>
        <w:t>25.</w:t>
      </w:r>
      <w:r>
        <w:tab/>
        <w:t>Reviewable decisions and procedural decisions</w:t>
      </w:r>
      <w:r>
        <w:tab/>
      </w:r>
      <w:r>
        <w:fldChar w:fldCharType="begin"/>
      </w:r>
      <w:r>
        <w:instrText xml:space="preserve"> PAGEREF _Toc155081660 \h </w:instrText>
      </w:r>
      <w:r>
        <w:fldChar w:fldCharType="separate"/>
      </w:r>
      <w:r>
        <w:t>24</w:t>
      </w:r>
      <w:r>
        <w:fldChar w:fldCharType="end"/>
      </w:r>
    </w:p>
    <w:p>
      <w:pPr>
        <w:pStyle w:val="TOC8"/>
        <w:rPr>
          <w:rFonts w:asciiTheme="minorHAnsi" w:eastAsiaTheme="minorEastAsia" w:hAnsiTheme="minorHAnsi" w:cstheme="minorBidi"/>
          <w:szCs w:val="22"/>
        </w:rPr>
      </w:pPr>
      <w:r>
        <w:t>26.</w:t>
      </w:r>
      <w:r>
        <w:tab/>
        <w:t>Review by Board: all reviewable decisions</w:t>
      </w:r>
      <w:r>
        <w:tab/>
      </w:r>
      <w:r>
        <w:fldChar w:fldCharType="begin"/>
      </w:r>
      <w:r>
        <w:instrText xml:space="preserve"> PAGEREF _Toc155081661 \h </w:instrText>
      </w:r>
      <w:r>
        <w:fldChar w:fldCharType="separate"/>
      </w:r>
      <w:r>
        <w:t>24</w:t>
      </w:r>
      <w:r>
        <w:fldChar w:fldCharType="end"/>
      </w:r>
    </w:p>
    <w:p>
      <w:pPr>
        <w:pStyle w:val="TOC8"/>
        <w:rPr>
          <w:rFonts w:asciiTheme="minorHAnsi" w:eastAsiaTheme="minorEastAsia" w:hAnsiTheme="minorHAnsi" w:cstheme="minorBidi"/>
          <w:szCs w:val="22"/>
        </w:rPr>
      </w:pPr>
      <w:r>
        <w:t>27.</w:t>
      </w:r>
      <w:r>
        <w:tab/>
        <w:t>Review by Board: procedural decisions</w:t>
      </w:r>
      <w:r>
        <w:tab/>
      </w:r>
      <w:r>
        <w:fldChar w:fldCharType="begin"/>
      </w:r>
      <w:r>
        <w:instrText xml:space="preserve"> PAGEREF _Toc155081662 \h </w:instrText>
      </w:r>
      <w:r>
        <w:fldChar w:fldCharType="separate"/>
      </w:r>
      <w:r>
        <w:t>25</w:t>
      </w:r>
      <w:r>
        <w:fldChar w:fldCharType="end"/>
      </w:r>
    </w:p>
    <w:p>
      <w:pPr>
        <w:pStyle w:val="TOC8"/>
        <w:rPr>
          <w:rFonts w:asciiTheme="minorHAnsi" w:eastAsiaTheme="minorEastAsia" w:hAnsiTheme="minorHAnsi" w:cstheme="minorBidi"/>
          <w:szCs w:val="22"/>
        </w:rPr>
      </w:pPr>
      <w:r>
        <w:t>28.</w:t>
      </w:r>
      <w:r>
        <w:tab/>
        <w:t>Application for review</w:t>
      </w:r>
      <w:r>
        <w:tab/>
      </w:r>
      <w:r>
        <w:fldChar w:fldCharType="begin"/>
      </w:r>
      <w:r>
        <w:instrText xml:space="preserve"> PAGEREF _Toc155081663 \h </w:instrText>
      </w:r>
      <w:r>
        <w:fldChar w:fldCharType="separate"/>
      </w:r>
      <w:r>
        <w:t>25</w:t>
      </w:r>
      <w:r>
        <w:fldChar w:fldCharType="end"/>
      </w:r>
    </w:p>
    <w:p>
      <w:pPr>
        <w:pStyle w:val="TOC8"/>
        <w:rPr>
          <w:rFonts w:asciiTheme="minorHAnsi" w:eastAsiaTheme="minorEastAsia" w:hAnsiTheme="minorHAnsi" w:cstheme="minorBidi"/>
          <w:szCs w:val="22"/>
        </w:rPr>
      </w:pPr>
      <w:r>
        <w:t>29.</w:t>
      </w:r>
      <w:r>
        <w:tab/>
        <w:t>Effect of application for review</w:t>
      </w:r>
      <w:r>
        <w:tab/>
      </w:r>
      <w:r>
        <w:fldChar w:fldCharType="begin"/>
      </w:r>
      <w:r>
        <w:instrText xml:space="preserve"> PAGEREF _Toc155081664 \h </w:instrText>
      </w:r>
      <w:r>
        <w:fldChar w:fldCharType="separate"/>
      </w:r>
      <w:r>
        <w:t>26</w:t>
      </w:r>
      <w:r>
        <w:fldChar w:fldCharType="end"/>
      </w:r>
    </w:p>
    <w:p>
      <w:pPr>
        <w:pStyle w:val="TOC8"/>
        <w:rPr>
          <w:rFonts w:asciiTheme="minorHAnsi" w:eastAsiaTheme="minorEastAsia" w:hAnsiTheme="minorHAnsi" w:cstheme="minorBidi"/>
          <w:szCs w:val="22"/>
        </w:rPr>
      </w:pPr>
      <w:r>
        <w:t>30.</w:t>
      </w:r>
      <w:r>
        <w:tab/>
        <w:t>Procedure generally</w:t>
      </w:r>
      <w:r>
        <w:tab/>
      </w:r>
      <w:r>
        <w:fldChar w:fldCharType="begin"/>
      </w:r>
      <w:r>
        <w:instrText xml:space="preserve"> PAGEREF _Toc155081665 \h </w:instrText>
      </w:r>
      <w:r>
        <w:fldChar w:fldCharType="separate"/>
      </w:r>
      <w:r>
        <w:t>27</w:t>
      </w:r>
      <w:r>
        <w:fldChar w:fldCharType="end"/>
      </w:r>
    </w:p>
    <w:p>
      <w:pPr>
        <w:pStyle w:val="TOC8"/>
        <w:rPr>
          <w:rFonts w:asciiTheme="minorHAnsi" w:eastAsiaTheme="minorEastAsia" w:hAnsiTheme="minorHAnsi" w:cstheme="minorBidi"/>
          <w:szCs w:val="22"/>
        </w:rPr>
      </w:pPr>
      <w:r>
        <w:t>31.</w:t>
      </w:r>
      <w:r>
        <w:tab/>
        <w:t>Procedure: conferences</w:t>
      </w:r>
      <w:r>
        <w:tab/>
      </w:r>
      <w:r>
        <w:fldChar w:fldCharType="begin"/>
      </w:r>
      <w:r>
        <w:instrText xml:space="preserve"> PAGEREF _Toc155081666 \h </w:instrText>
      </w:r>
      <w:r>
        <w:fldChar w:fldCharType="separate"/>
      </w:r>
      <w:r>
        <w:t>29</w:t>
      </w:r>
      <w:r>
        <w:fldChar w:fldCharType="end"/>
      </w:r>
    </w:p>
    <w:p>
      <w:pPr>
        <w:pStyle w:val="TOC8"/>
        <w:rPr>
          <w:rFonts w:asciiTheme="minorHAnsi" w:eastAsiaTheme="minorEastAsia" w:hAnsiTheme="minorHAnsi" w:cstheme="minorBidi"/>
          <w:szCs w:val="22"/>
        </w:rPr>
      </w:pPr>
      <w:r>
        <w:t>32.</w:t>
      </w:r>
      <w:r>
        <w:tab/>
        <w:t>Parties to proceedings</w:t>
      </w:r>
      <w:r>
        <w:tab/>
      </w:r>
      <w:r>
        <w:fldChar w:fldCharType="begin"/>
      </w:r>
      <w:r>
        <w:instrText xml:space="preserve"> PAGEREF _Toc155081667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Arbitrator and Board funding</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_Toc155081669 \h </w:instrText>
      </w:r>
      <w:r>
        <w:fldChar w:fldCharType="separate"/>
      </w:r>
      <w:r>
        <w:t>31</w:t>
      </w:r>
      <w:r>
        <w:fldChar w:fldCharType="end"/>
      </w:r>
    </w:p>
    <w:p>
      <w:pPr>
        <w:pStyle w:val="TOC8"/>
        <w:rPr>
          <w:rFonts w:asciiTheme="minorHAnsi" w:eastAsiaTheme="minorEastAsia" w:hAnsiTheme="minorHAnsi" w:cstheme="minorBidi"/>
          <w:szCs w:val="22"/>
        </w:rPr>
      </w:pPr>
      <w:r>
        <w:t>34.</w:t>
      </w:r>
      <w:r>
        <w:tab/>
        <w:t>Arbitrator funding: standing charges</w:t>
      </w:r>
      <w:r>
        <w:tab/>
      </w:r>
      <w:r>
        <w:fldChar w:fldCharType="begin"/>
      </w:r>
      <w:r>
        <w:instrText xml:space="preserve"> PAGEREF _Toc155081670 \h </w:instrText>
      </w:r>
      <w:r>
        <w:fldChar w:fldCharType="separate"/>
      </w:r>
      <w:r>
        <w:t>31</w:t>
      </w:r>
      <w:r>
        <w:fldChar w:fldCharType="end"/>
      </w:r>
    </w:p>
    <w:p>
      <w:pPr>
        <w:pStyle w:val="TOC8"/>
        <w:rPr>
          <w:rFonts w:asciiTheme="minorHAnsi" w:eastAsiaTheme="minorEastAsia" w:hAnsiTheme="minorHAnsi" w:cstheme="minorBidi"/>
          <w:szCs w:val="22"/>
        </w:rPr>
      </w:pPr>
      <w:r>
        <w:t>35.</w:t>
      </w:r>
      <w:r>
        <w:tab/>
        <w:t>Costs and expenses of proceedings before Board</w:t>
      </w:r>
      <w:r>
        <w:tab/>
      </w:r>
      <w:r>
        <w:fldChar w:fldCharType="begin"/>
      </w:r>
      <w:r>
        <w:instrText xml:space="preserve"> PAGEREF _Toc155081671 \h </w:instrText>
      </w:r>
      <w:r>
        <w:fldChar w:fldCharType="separate"/>
      </w:r>
      <w:r>
        <w:t>32</w:t>
      </w:r>
      <w:r>
        <w:fldChar w:fldCharType="end"/>
      </w:r>
    </w:p>
    <w:p>
      <w:pPr>
        <w:pStyle w:val="TOC8"/>
        <w:rPr>
          <w:rFonts w:asciiTheme="minorHAnsi" w:eastAsiaTheme="minorEastAsia" w:hAnsiTheme="minorHAnsi" w:cstheme="minorBidi"/>
          <w:szCs w:val="22"/>
        </w:rPr>
      </w:pPr>
      <w:r>
        <w:t>36.</w:t>
      </w:r>
      <w:r>
        <w:tab/>
        <w:t>Recovery of unpaid amounts</w:t>
      </w:r>
      <w:r>
        <w:tab/>
      </w:r>
      <w:r>
        <w:fldChar w:fldCharType="begin"/>
      </w:r>
      <w:r>
        <w:instrText xml:space="preserve"> PAGEREF _Toc155081672 \h </w:instrText>
      </w:r>
      <w:r>
        <w:fldChar w:fldCharType="separate"/>
      </w:r>
      <w:r>
        <w:t>33</w:t>
      </w:r>
      <w:r>
        <w:fldChar w:fldCharType="end"/>
      </w:r>
    </w:p>
    <w:p>
      <w:pPr>
        <w:pStyle w:val="TOC8"/>
        <w:rPr>
          <w:rFonts w:asciiTheme="minorHAnsi" w:eastAsiaTheme="minorEastAsia" w:hAnsiTheme="minorHAnsi" w:cstheme="minorBidi"/>
          <w:szCs w:val="22"/>
        </w:rPr>
      </w:pPr>
      <w:r>
        <w:t>37.</w:t>
      </w:r>
      <w:r>
        <w:tab/>
        <w:t>Matters to be included in Arbitrator’s annual report</w:t>
      </w:r>
      <w:r>
        <w:tab/>
      </w:r>
      <w:r>
        <w:fldChar w:fldCharType="begin"/>
      </w:r>
      <w:r>
        <w:instrText xml:space="preserve"> PAGEREF _Toc155081673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Protection of information</w:t>
      </w:r>
    </w:p>
    <w:p>
      <w:pPr>
        <w:pStyle w:val="TOC8"/>
        <w:rPr>
          <w:rFonts w:asciiTheme="minorHAnsi" w:eastAsiaTheme="minorEastAsia" w:hAnsiTheme="minorHAnsi" w:cstheme="minorBidi"/>
          <w:szCs w:val="22"/>
        </w:rPr>
      </w:pPr>
      <w:r>
        <w:t>38.</w:t>
      </w:r>
      <w:r>
        <w:tab/>
        <w:t>Protection of protected information</w:t>
      </w:r>
      <w:r>
        <w:tab/>
      </w:r>
      <w:r>
        <w:fldChar w:fldCharType="begin"/>
      </w:r>
      <w:r>
        <w:instrText xml:space="preserve"> PAGEREF _Toc155081675 \h </w:instrText>
      </w:r>
      <w:r>
        <w:fldChar w:fldCharType="separate"/>
      </w:r>
      <w:r>
        <w:t>35</w:t>
      </w:r>
      <w:r>
        <w:fldChar w:fldCharType="end"/>
      </w:r>
    </w:p>
    <w:p>
      <w:pPr>
        <w:pStyle w:val="TOC8"/>
        <w:rPr>
          <w:rFonts w:asciiTheme="minorHAnsi" w:eastAsiaTheme="minorEastAsia" w:hAnsiTheme="minorHAnsi" w:cstheme="minorBidi"/>
          <w:szCs w:val="22"/>
        </w:rPr>
      </w:pPr>
      <w:r>
        <w:t>39.</w:t>
      </w:r>
      <w:r>
        <w:tab/>
        <w:t>Disclosure with prior written consent</w:t>
      </w:r>
      <w:r>
        <w:tab/>
      </w:r>
      <w:r>
        <w:fldChar w:fldCharType="begin"/>
      </w:r>
      <w:r>
        <w:instrText xml:space="preserve"> PAGEREF _Toc155081676 \h </w:instrText>
      </w:r>
      <w:r>
        <w:fldChar w:fldCharType="separate"/>
      </w:r>
      <w:r>
        <w:t>35</w:t>
      </w:r>
      <w:r>
        <w:fldChar w:fldCharType="end"/>
      </w:r>
    </w:p>
    <w:p>
      <w:pPr>
        <w:pStyle w:val="TOC8"/>
        <w:rPr>
          <w:rFonts w:asciiTheme="minorHAnsi" w:eastAsiaTheme="minorEastAsia" w:hAnsiTheme="minorHAnsi" w:cstheme="minorBidi"/>
          <w:szCs w:val="22"/>
        </w:rPr>
      </w:pPr>
      <w:r>
        <w:t>40.</w:t>
      </w:r>
      <w:r>
        <w:tab/>
        <w:t>Disclosure authorised or required by law</w:t>
      </w:r>
      <w:r>
        <w:tab/>
      </w:r>
      <w:r>
        <w:fldChar w:fldCharType="begin"/>
      </w:r>
      <w:r>
        <w:instrText xml:space="preserve"> PAGEREF _Toc155081677 \h </w:instrText>
      </w:r>
      <w:r>
        <w:fldChar w:fldCharType="separate"/>
      </w:r>
      <w:r>
        <w:t>35</w:t>
      </w:r>
      <w:r>
        <w:fldChar w:fldCharType="end"/>
      </w:r>
    </w:p>
    <w:p>
      <w:pPr>
        <w:pStyle w:val="TOC8"/>
        <w:rPr>
          <w:rFonts w:asciiTheme="minorHAnsi" w:eastAsiaTheme="minorEastAsia" w:hAnsiTheme="minorHAnsi" w:cstheme="minorBidi"/>
          <w:szCs w:val="22"/>
        </w:rPr>
      </w:pPr>
      <w:r>
        <w:t>41.</w:t>
      </w:r>
      <w:r>
        <w:tab/>
        <w:t>Disclosure for purposes of proceedings before court or tribunal</w:t>
      </w:r>
      <w:r>
        <w:tab/>
      </w:r>
      <w:r>
        <w:fldChar w:fldCharType="begin"/>
      </w:r>
      <w:r>
        <w:instrText xml:space="preserve"> PAGEREF _Toc155081678 \h </w:instrText>
      </w:r>
      <w:r>
        <w:fldChar w:fldCharType="separate"/>
      </w:r>
      <w:r>
        <w:t>36</w:t>
      </w:r>
      <w:r>
        <w:fldChar w:fldCharType="end"/>
      </w:r>
    </w:p>
    <w:p>
      <w:pPr>
        <w:pStyle w:val="TOC8"/>
        <w:rPr>
          <w:rFonts w:asciiTheme="minorHAnsi" w:eastAsiaTheme="minorEastAsia" w:hAnsiTheme="minorHAnsi" w:cstheme="minorBidi"/>
          <w:szCs w:val="22"/>
        </w:rPr>
      </w:pPr>
      <w:r>
        <w:t>42.</w:t>
      </w:r>
      <w:r>
        <w:tab/>
        <w:t>Other grounds for disclosure</w:t>
      </w:r>
      <w:r>
        <w:tab/>
      </w:r>
      <w:r>
        <w:fldChar w:fldCharType="begin"/>
      </w:r>
      <w:r>
        <w:instrText xml:space="preserve"> PAGEREF _Toc155081679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8 — Accountability and review of operations</w:t>
      </w:r>
    </w:p>
    <w:p>
      <w:pPr>
        <w:pStyle w:val="TOC8"/>
        <w:rPr>
          <w:rFonts w:asciiTheme="minorHAnsi" w:eastAsiaTheme="minorEastAsia" w:hAnsiTheme="minorHAnsi" w:cstheme="minorBidi"/>
          <w:szCs w:val="22"/>
        </w:rPr>
      </w:pPr>
      <w:r>
        <w:t>48A.</w:t>
      </w:r>
      <w:r>
        <w:tab/>
        <w:t>Provision of information and advice to Minister: operator’s functions</w:t>
      </w:r>
      <w:r>
        <w:tab/>
      </w:r>
      <w:r>
        <w:fldChar w:fldCharType="begin"/>
      </w:r>
      <w:r>
        <w:instrText xml:space="preserve"> PAGEREF _Toc155081681 \h </w:instrText>
      </w:r>
      <w:r>
        <w:fldChar w:fldCharType="separate"/>
      </w:r>
      <w:r>
        <w:t>37</w:t>
      </w:r>
      <w:r>
        <w:fldChar w:fldCharType="end"/>
      </w:r>
    </w:p>
    <w:p>
      <w:pPr>
        <w:pStyle w:val="TOC8"/>
        <w:rPr>
          <w:rFonts w:asciiTheme="minorHAnsi" w:eastAsiaTheme="minorEastAsia" w:hAnsiTheme="minorHAnsi" w:cstheme="minorBidi"/>
          <w:szCs w:val="22"/>
        </w:rPr>
      </w:pPr>
      <w:r>
        <w:t>48.</w:t>
      </w:r>
      <w:r>
        <w:tab/>
        <w:t>Review of GBB and GSOO</w:t>
      </w:r>
      <w:r>
        <w:tab/>
      </w:r>
      <w:r>
        <w:fldChar w:fldCharType="begin"/>
      </w:r>
      <w:r>
        <w:instrText xml:space="preserve"> PAGEREF _Toc155081682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49.</w:t>
      </w:r>
      <w:r>
        <w:tab/>
        <w:t>Maximum civil monetary liabilities</w:t>
      </w:r>
      <w:r>
        <w:tab/>
      </w:r>
      <w:r>
        <w:fldChar w:fldCharType="begin"/>
      </w:r>
      <w:r>
        <w:instrText xml:space="preserve"> PAGEREF _Toc155081684 \h </w:instrText>
      </w:r>
      <w:r>
        <w:fldChar w:fldCharType="separate"/>
      </w:r>
      <w:r>
        <w:t>39</w:t>
      </w:r>
      <w:r>
        <w:fldChar w:fldCharType="end"/>
      </w:r>
    </w:p>
    <w:p>
      <w:pPr>
        <w:pStyle w:val="TOC8"/>
        <w:rPr>
          <w:rFonts w:asciiTheme="minorHAnsi" w:eastAsiaTheme="minorEastAsia" w:hAnsiTheme="minorHAnsi" w:cstheme="minorBidi"/>
          <w:szCs w:val="22"/>
        </w:rPr>
      </w:pPr>
      <w:r>
        <w:t>50.</w:t>
      </w:r>
      <w:r>
        <w:tab/>
        <w:t>Continuing offences: daily penalties</w:t>
      </w:r>
      <w:r>
        <w:tab/>
      </w:r>
      <w:r>
        <w:fldChar w:fldCharType="begin"/>
      </w:r>
      <w:r>
        <w:instrText xml:space="preserve"> PAGEREF _Toc155081685 \h </w:instrText>
      </w:r>
      <w:r>
        <w:fldChar w:fldCharType="separate"/>
      </w:r>
      <w:r>
        <w:t>39</w:t>
      </w:r>
      <w:r>
        <w:fldChar w:fldCharType="end"/>
      </w:r>
    </w:p>
    <w:p>
      <w:pPr>
        <w:pStyle w:val="TOC8"/>
        <w:rPr>
          <w:rFonts w:asciiTheme="minorHAnsi" w:eastAsiaTheme="minorEastAsia" w:hAnsiTheme="minorHAnsi" w:cstheme="minorBidi"/>
          <w:szCs w:val="22"/>
        </w:rPr>
      </w:pPr>
      <w:r>
        <w:t>51.</w:t>
      </w:r>
      <w:r>
        <w:tab/>
        <w:t>Supplementary provision for laying documents before Parliament</w:t>
      </w:r>
      <w:r>
        <w:tab/>
      </w:r>
      <w:r>
        <w:fldChar w:fldCharType="begin"/>
      </w:r>
      <w:r>
        <w:instrText xml:space="preserve"> PAGEREF _Toc155081686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Civil penalty provisions and amounts</w:t>
      </w:r>
    </w:p>
    <w:p>
      <w:pPr>
        <w:pStyle w:val="TOC2"/>
        <w:tabs>
          <w:tab w:val="right" w:leader="dot" w:pos="7077"/>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_Toc155081689 \h </w:instrText>
      </w:r>
      <w:r>
        <w:fldChar w:fldCharType="separate"/>
      </w:r>
      <w:r>
        <w:t>52</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_Toc155081690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_Toc155081692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Gas Services Information Act 2012</w:t>
      </w:r>
    </w:p>
    <w:p>
      <w:pPr>
        <w:pStyle w:val="NameofActReg"/>
      </w:pPr>
      <w:r>
        <w:t>Gas Services Information Regulations 2012</w:t>
      </w:r>
    </w:p>
    <w:p>
      <w:pPr>
        <w:pStyle w:val="Heading2"/>
        <w:pageBreakBefore w:val="0"/>
      </w:pPr>
      <w:bookmarkStart w:id="3" w:name="_Toc155081623"/>
      <w:r>
        <w:rPr>
          <w:rStyle w:val="CharPartNo"/>
        </w:rPr>
        <w:t>Part 1</w:t>
      </w:r>
      <w:r>
        <w:rPr>
          <w:rStyle w:val="CharDivNo"/>
        </w:rPr>
        <w:t> </w:t>
      </w:r>
      <w:r>
        <w:t>—</w:t>
      </w:r>
      <w:r>
        <w:rPr>
          <w:rStyle w:val="CharDivText"/>
        </w:rPr>
        <w:t> </w:t>
      </w:r>
      <w:r>
        <w:rPr>
          <w:rStyle w:val="CharPartText"/>
        </w:rPr>
        <w:t>Preliminary</w:t>
      </w:r>
      <w:bookmarkEnd w:id="3"/>
    </w:p>
    <w:p>
      <w:pPr>
        <w:pStyle w:val="Footnoteheading"/>
      </w:pPr>
      <w:r>
        <w:tab/>
        <w:t>[Heading inserted: Gazette 14 Jun 2013 p. 2228.]</w:t>
      </w:r>
    </w:p>
    <w:p>
      <w:pPr>
        <w:pStyle w:val="Heading5"/>
      </w:pPr>
      <w:bookmarkStart w:id="4" w:name="_Toc155081624"/>
      <w:r>
        <w:rPr>
          <w:rStyle w:val="CharSectno"/>
        </w:rPr>
        <w:t>1</w:t>
      </w:r>
      <w:r>
        <w:t>.</w:t>
      </w:r>
      <w:r>
        <w:tab/>
        <w:t>Citation</w:t>
      </w:r>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Gas Services Information Regulations 2012</w:t>
      </w:r>
      <w:r>
        <w:t>.</w:t>
      </w:r>
    </w:p>
    <w:p>
      <w:pPr>
        <w:pStyle w:val="Heading5"/>
      </w:pPr>
      <w:bookmarkStart w:id="6" w:name="_Toc155081625"/>
      <w:r>
        <w:rPr>
          <w:rStyle w:val="CharSectno"/>
        </w:rPr>
        <w:t>2</w:t>
      </w:r>
      <w:r>
        <w:t>.</w:t>
      </w:r>
      <w: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Gas Services Information Act 2012</w:t>
      </w:r>
      <w:r>
        <w:t xml:space="preserve"> section 7 comes into operation.</w:t>
      </w:r>
    </w:p>
    <w:p>
      <w:pPr>
        <w:pStyle w:val="Heading5"/>
      </w:pPr>
      <w:bookmarkStart w:id="7" w:name="_Toc155081626"/>
      <w:r>
        <w:rPr>
          <w:rStyle w:val="CharSectno"/>
        </w:rPr>
        <w:t>3</w:t>
      </w:r>
      <w:r>
        <w:t>.</w:t>
      </w:r>
      <w:r>
        <w:tab/>
        <w:t>Terms used</w:t>
      </w:r>
      <w:bookmarkEnd w:id="7"/>
    </w:p>
    <w:p>
      <w:pPr>
        <w:pStyle w:val="Subsection"/>
      </w:pPr>
      <w:r>
        <w:tab/>
        <w:t>(1)</w:t>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tab/>
      </w:r>
      <w:r>
        <w:rPr>
          <w:rStyle w:val="CharDefText"/>
        </w:rPr>
        <w:t>amend</w:t>
      </w:r>
      <w:r>
        <w:t xml:space="preserve"> means replace, in whole or in part, add to or vary, and the doing of any 2 or more of such things simultaneously or by the same instrument;</w:t>
      </w:r>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lastRenderedPageBreak/>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 as in force before the repeal of those regulations by the </w:t>
      </w:r>
      <w:r>
        <w:rPr>
          <w:i/>
        </w:rPr>
        <w:t>Electricity Industry (Independent Market Operator) Repeal Regulations 2018</w:t>
      </w:r>
      <w:r>
        <w:t xml:space="preserve"> regulation 4;</w:t>
      </w:r>
    </w:p>
    <w:p>
      <w:pPr>
        <w:pStyle w:val="Defstart"/>
      </w:pPr>
      <w:r>
        <w:tab/>
      </w:r>
      <w:r>
        <w:rPr>
          <w:rStyle w:val="CharDefText"/>
        </w:rPr>
        <w:t>registered</w:t>
      </w:r>
      <w:r>
        <w:t>, in relation to a gas market participant, means registered under the GSI rules;</w:t>
      </w:r>
    </w:p>
    <w:p>
      <w:pPr>
        <w:pStyle w:val="Defstart"/>
      </w:pPr>
      <w:r>
        <w:tab/>
      </w:r>
      <w:r>
        <w:rPr>
          <w:rStyle w:val="CharDefText"/>
        </w:rPr>
        <w:t>Rule Change Panel</w:t>
      </w:r>
      <w:r>
        <w:t xml:space="preserve"> means the Rule Change Panel established under the </w:t>
      </w:r>
      <w:r>
        <w:rPr>
          <w:i/>
        </w:rPr>
        <w:t>Energy Industry (Rule Change Panel) Regulations 2016</w:t>
      </w:r>
      <w:r>
        <w:t xml:space="preserve"> regulation 4 before the deletion of that regulation by the </w:t>
      </w:r>
      <w:r>
        <w:rPr>
          <w:i/>
        </w:rPr>
        <w:t>Energy Regulations Amendment Regulations 2021</w:t>
      </w:r>
      <w:r>
        <w:t xml:space="preserve"> regulation 27;</w:t>
      </w:r>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ERA believes that the participant has contravened a provision of the GSI rules.</w:t>
      </w:r>
    </w:p>
    <w:p>
      <w:pPr>
        <w:pStyle w:val="Subsection"/>
      </w:pPr>
      <w:r>
        <w:tab/>
        <w:t>(2)</w:t>
      </w:r>
      <w:r>
        <w:tab/>
        <w:t>Unless the contrary intention appears, a reference to the performance of the functions of the operator, the IMO or the ERA is a reference to the performance of its functions under the Act.</w:t>
      </w:r>
    </w:p>
    <w:p>
      <w:pPr>
        <w:pStyle w:val="Footnotesection"/>
      </w:pPr>
      <w:r>
        <w:lastRenderedPageBreak/>
        <w:tab/>
        <w:t xml:space="preserve">[Regulation 3 inserted: Gazette 14 Jun 2013 p. 2228-9; amended: Gazette </w:t>
      </w:r>
      <w:r>
        <w:rPr>
          <w:szCs w:val="24"/>
        </w:rPr>
        <w:t>2 Oct 2015 p. 3932; 13 Nov 2015 p. 4638, 4641 and 4641-2; 24 Jun 2016 p. 2304 and 2308; 23 Nov 2016 p. 5271; 27 Jul 2018 p. 2688; SL 2021/2 r. 36</w:t>
      </w:r>
      <w:r>
        <w:t>.]</w:t>
      </w:r>
    </w:p>
    <w:p>
      <w:pPr>
        <w:pStyle w:val="Heading5"/>
      </w:pPr>
      <w:bookmarkStart w:id="8" w:name="_Toc155081627"/>
      <w:r>
        <w:rPr>
          <w:rStyle w:val="CharSectno"/>
        </w:rPr>
        <w:t>4A</w:t>
      </w:r>
      <w:r>
        <w:t>.</w:t>
      </w:r>
      <w:r>
        <w:tab/>
        <w:t>Gas market participants</w:t>
      </w:r>
      <w:bookmarkEnd w:id="8"/>
    </w:p>
    <w:p>
      <w:pPr>
        <w:pStyle w:val="Subsection"/>
      </w:pPr>
      <w:r>
        <w:tab/>
      </w:r>
      <w:r>
        <w:tab/>
        <w:t xml:space="preserve">For the purposes of the definition of </w:t>
      </w:r>
      <w:r>
        <w:rPr>
          <w:b/>
          <w:i/>
        </w:rPr>
        <w:t>user</w:t>
      </w:r>
      <w:r>
        <w:t>, paragraph (c), in section 3(1) of the Act, end users who acquire at least 1 terajoule of natural gas per year are prescribed.</w:t>
      </w:r>
    </w:p>
    <w:p>
      <w:pPr>
        <w:pStyle w:val="Footnotesection"/>
      </w:pPr>
      <w:r>
        <w:tab/>
        <w:t>[Regulation 4A inserted: Gazette 14 Jun 2013 p. 2229.]</w:t>
      </w:r>
    </w:p>
    <w:p>
      <w:pPr>
        <w:pStyle w:val="Heading2"/>
      </w:pPr>
      <w:bookmarkStart w:id="9" w:name="_Toc155081628"/>
      <w:r>
        <w:rPr>
          <w:rStyle w:val="CharPartNo"/>
        </w:rPr>
        <w:lastRenderedPageBreak/>
        <w:t>Part 2</w:t>
      </w:r>
      <w:r>
        <w:rPr>
          <w:rStyle w:val="CharDivNo"/>
        </w:rPr>
        <w:t> </w:t>
      </w:r>
      <w:r>
        <w:t>—</w:t>
      </w:r>
      <w:r>
        <w:rPr>
          <w:rStyle w:val="CharDivText"/>
        </w:rPr>
        <w:t> </w:t>
      </w:r>
      <w:r>
        <w:rPr>
          <w:rStyle w:val="CharPartText"/>
        </w:rPr>
        <w:t>Functions of the operator</w:t>
      </w:r>
      <w:bookmarkEnd w:id="9"/>
    </w:p>
    <w:p>
      <w:pPr>
        <w:pStyle w:val="Footnoteheading"/>
      </w:pPr>
      <w:r>
        <w:tab/>
        <w:t>[Heading inserted: Gazette 14 Jun 2013 p. 2229.]</w:t>
      </w:r>
    </w:p>
    <w:p>
      <w:pPr>
        <w:pStyle w:val="Heading5"/>
      </w:pPr>
      <w:bookmarkStart w:id="10" w:name="_Toc155081629"/>
      <w:r>
        <w:rPr>
          <w:rStyle w:val="CharSectno"/>
        </w:rPr>
        <w:t>4</w:t>
      </w:r>
      <w:r>
        <w:t>.</w:t>
      </w:r>
      <w:r>
        <w:tab/>
        <w:t>Functions of operator — AEMO</w:t>
      </w:r>
      <w:bookmarkEnd w:id="10"/>
    </w:p>
    <w:p>
      <w:pPr>
        <w:pStyle w:val="Subsection"/>
      </w:pPr>
      <w:r>
        <w:tab/>
        <w:t>(1)</w:t>
      </w:r>
      <w:r>
        <w:tab/>
        <w:t>It is a function of the AEMO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AEMO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Footnotesection"/>
      </w:pPr>
      <w:r>
        <w:tab/>
        <w:t>[Regulation 4 amended: Gazette 14 Jun 2013 p. 2229; 28 Jun 2013 p. 2933; 13 Nov 2015 p. 4638-9.]</w:t>
      </w:r>
    </w:p>
    <w:p>
      <w:pPr>
        <w:pStyle w:val="Heading2"/>
      </w:pPr>
      <w:bookmarkStart w:id="11" w:name="_Toc155081630"/>
      <w:r>
        <w:rPr>
          <w:rStyle w:val="CharPartNo"/>
        </w:rPr>
        <w:lastRenderedPageBreak/>
        <w:t>Part 3</w:t>
      </w:r>
      <w:r>
        <w:rPr>
          <w:rStyle w:val="CharSDivNo"/>
        </w:rPr>
        <w:t> </w:t>
      </w:r>
      <w:r>
        <w:t>—</w:t>
      </w:r>
      <w:r>
        <w:rPr>
          <w:rStyle w:val="CharSDivText"/>
        </w:rPr>
        <w:t> </w:t>
      </w:r>
      <w:r>
        <w:rPr>
          <w:rStyle w:val="CharPartText"/>
        </w:rPr>
        <w:t>GSI rules</w:t>
      </w:r>
      <w:bookmarkEnd w:id="11"/>
    </w:p>
    <w:p>
      <w:pPr>
        <w:pStyle w:val="Footnoteheading"/>
        <w:spacing w:before="100"/>
      </w:pPr>
      <w:r>
        <w:tab/>
        <w:t>[Heading inserted: Gazette 14 Jun 2013 p. 2230.]</w:t>
      </w:r>
    </w:p>
    <w:p>
      <w:pPr>
        <w:pStyle w:val="Heading5"/>
      </w:pPr>
      <w:bookmarkStart w:id="12" w:name="_Toc155081631"/>
      <w:r>
        <w:rPr>
          <w:rStyle w:val="CharSectno"/>
        </w:rPr>
        <w:t>5</w:t>
      </w:r>
      <w:r>
        <w:t>.</w:t>
      </w:r>
      <w:r>
        <w:tab/>
        <w:t>GSI rules</w:t>
      </w:r>
      <w:bookmarkEnd w:id="12"/>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spacing w:before="100"/>
      </w:pPr>
      <w:r>
        <w:tab/>
        <w:t>[Regulation 5 inserted: Gazette 14 Jun 2013 p. 2230.]</w:t>
      </w:r>
    </w:p>
    <w:p>
      <w:pPr>
        <w:pStyle w:val="Heading5"/>
      </w:pPr>
      <w:bookmarkStart w:id="13" w:name="_Toc155081632"/>
      <w:r>
        <w:rPr>
          <w:rStyle w:val="CharSectno"/>
        </w:rPr>
        <w:t>6</w:t>
      </w:r>
      <w:r>
        <w:t>.</w:t>
      </w:r>
      <w:r>
        <w:tab/>
        <w:t>Making GSI rules</w:t>
      </w:r>
      <w:bookmarkEnd w:id="13"/>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pPr>
      <w:r>
        <w:tab/>
        <w:t>(3A)</w:t>
      </w:r>
      <w:r>
        <w:tab/>
        <w:t>GSI rules made by the Minister cannot commence before the GSI rules are notified under subregulation (5).</w:t>
      </w:r>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pPr>
      <w:r>
        <w:tab/>
        <w:t>(5)</w:t>
      </w:r>
      <w:r>
        <w:tab/>
        <w:t xml:space="preserve">GSI rules made by the Minister must be notified in the </w:t>
      </w:r>
      <w:r>
        <w:rPr>
          <w:i/>
        </w:rPr>
        <w:t>Gazette</w:t>
      </w:r>
      <w:r>
        <w:t>.</w:t>
      </w:r>
    </w:p>
    <w:p>
      <w:pPr>
        <w:pStyle w:val="Subsection"/>
      </w:pPr>
      <w:r>
        <w:tab/>
        <w:t>(6)</w:t>
      </w:r>
      <w:r>
        <w:tab/>
        <w:t xml:space="preserve">The notification must include notice of — </w:t>
      </w:r>
    </w:p>
    <w:p>
      <w:pPr>
        <w:pStyle w:val="Indenta"/>
      </w:pPr>
      <w:r>
        <w:tab/>
        <w:t>(a)</w:t>
      </w:r>
      <w:r>
        <w:tab/>
        <w:t>the making of the GSI rules; and</w:t>
      </w:r>
    </w:p>
    <w:p>
      <w:pPr>
        <w:pStyle w:val="Indenta"/>
      </w:pPr>
      <w:r>
        <w:tab/>
        <w:t>(b)</w:t>
      </w:r>
      <w:r>
        <w:tab/>
        <w:t>where the GSI rules are available under subregulation (8) or regulation 9.</w:t>
      </w:r>
    </w:p>
    <w:p>
      <w:pPr>
        <w:pStyle w:val="Subsection"/>
      </w:pPr>
      <w:r>
        <w:lastRenderedPageBreak/>
        <w:tab/>
        <w:t>(7)</w:t>
      </w:r>
      <w:r>
        <w:tab/>
        <w:t xml:space="preserve">GSI rules made by the Minister must be laid before each House of Parliament within 10 sitting days of that House next following their notification in the </w:t>
      </w:r>
      <w:r>
        <w:rPr>
          <w:i/>
        </w:rPr>
        <w:t>Gazette</w:t>
      </w:r>
      <w:r>
        <w:t>.</w:t>
      </w:r>
    </w:p>
    <w:p>
      <w:pPr>
        <w:pStyle w:val="Subsection"/>
      </w:pPr>
      <w:r>
        <w:tab/>
        <w:t>(8)</w:t>
      </w:r>
      <w:r>
        <w:tab/>
        <w:t>The Coordinator must make a copy of amending rules made by the Minister available on a website maintained by, or on behalf of, the Coordinator.</w:t>
      </w:r>
    </w:p>
    <w:p>
      <w:pPr>
        <w:pStyle w:val="Footnotesection"/>
        <w:spacing w:before="100"/>
      </w:pPr>
      <w:r>
        <w:tab/>
        <w:t>[Regulation 6 inserted: Gazette 14 Jun 2013 p. 2230; amended: SL 2023/32 r. 23.]</w:t>
      </w:r>
    </w:p>
    <w:p>
      <w:pPr>
        <w:pStyle w:val="Heading5"/>
      </w:pPr>
      <w:bookmarkStart w:id="14" w:name="_Toc155081633"/>
      <w:r>
        <w:rPr>
          <w:rStyle w:val="CharSectno"/>
        </w:rPr>
        <w:t>7</w:t>
      </w:r>
      <w:r>
        <w:t>.</w:t>
      </w:r>
      <w:r>
        <w:tab/>
        <w:t>Amending GSI rules</w:t>
      </w:r>
      <w:bookmarkEnd w:id="14"/>
    </w:p>
    <w:p>
      <w:pPr>
        <w:pStyle w:val="Subsection"/>
      </w:pPr>
      <w:r>
        <w:tab/>
        <w:t>(1)</w:t>
      </w:r>
      <w:r>
        <w:tab/>
        <w:t xml:space="preserve">In this regulation — </w:t>
      </w:r>
    </w:p>
    <w:p>
      <w:pPr>
        <w:pStyle w:val="Defstart"/>
      </w:pPr>
      <w:r>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(4)</w:t>
      </w:r>
      <w:r>
        <w:tab/>
        <w:t xml:space="preserve">Despite anything in this regulation or the GSI rules — </w:t>
      </w:r>
    </w:p>
    <w:p>
      <w:pPr>
        <w:pStyle w:val="Indenta"/>
      </w:pPr>
      <w:r>
        <w:tab/>
        <w:t>(a)</w:t>
      </w:r>
      <w:r>
        <w:tab/>
        <w:t>rules replacing the GSI rules in whole are to be made by the Minister and regulation 6(5) applies to them; and</w:t>
      </w:r>
    </w:p>
    <w:p>
      <w:pPr>
        <w:pStyle w:val="Ednotepara"/>
      </w:pPr>
      <w:r>
        <w:tab/>
        <w:t>[(b)</w:t>
      </w:r>
      <w:r>
        <w:tab/>
        <w:t>deleted]</w:t>
      </w:r>
    </w:p>
    <w:p>
      <w:pPr>
        <w:pStyle w:val="Indenta"/>
      </w:pPr>
      <w:r>
        <w:tab/>
        <w:t>(c)</w:t>
      </w:r>
      <w:r>
        <w:tab/>
        <w:t xml:space="preserve">rules must be approved by the Minister before they are made if they — </w:t>
      </w:r>
    </w:p>
    <w:p>
      <w:pPr>
        <w:pStyle w:val="Indenti"/>
      </w:pPr>
      <w:r>
        <w:tab/>
        <w:t>(i)</w:t>
      </w:r>
      <w:r>
        <w:tab/>
        <w:t>amend, repeal or replace GSI rules to confer functions on the Coordinator; or</w:t>
      </w:r>
    </w:p>
    <w:p>
      <w:pPr>
        <w:pStyle w:val="Indenti"/>
      </w:pPr>
      <w:r>
        <w:tab/>
        <w:t>(ii)</w:t>
      </w:r>
      <w:r>
        <w:tab/>
        <w:t>amend, repeal or replace GSI rules that confer functions on the Coordinator; or</w:t>
      </w:r>
    </w:p>
    <w:p>
      <w:pPr>
        <w:pStyle w:val="Indenti"/>
      </w:pPr>
      <w:r>
        <w:lastRenderedPageBreak/>
        <w:tab/>
        <w:t>(iii)</w:t>
      </w:r>
      <w:r>
        <w:tab/>
        <w:t>amend, repeal or replace GSI rules dealing with the matters referred to in regulation 8(2)(c) in relation to the Coordinator.</w:t>
      </w:r>
    </w:p>
    <w:p>
      <w:pPr>
        <w:pStyle w:val="Subsection"/>
      </w:pPr>
      <w:r>
        <w:tab/>
        <w:t>(5)</w:t>
      </w:r>
      <w:r>
        <w:tab/>
        <w:t xml:space="preserve">Despite anything in this regulation or the GSI rules, the Minister may make amending rules during the period beginning on the day on which the </w:t>
      </w:r>
      <w:r>
        <w:rPr>
          <w:i/>
        </w:rPr>
        <w:t>Gas Services Information Amendment Regulations (No. 3) 2015</w:t>
      </w:r>
      <w:r>
        <w:t xml:space="preserve"> regulation 6 comes into operation and ending on 1 July 2018.</w:t>
      </w:r>
    </w:p>
    <w:p>
      <w:pPr>
        <w:pStyle w:val="Subsection"/>
      </w:pPr>
      <w:r>
        <w:tab/>
        <w:t>(6)</w:t>
      </w:r>
      <w:r>
        <w:tab/>
        <w:t xml:space="preserve">Despite anything in this regulation or the GSI rules, the Minister may make amending rules during the period beginning on the day on which the </w:t>
      </w:r>
      <w:r>
        <w:rPr>
          <w:i/>
        </w:rPr>
        <w:t>Energy Regulations Amendment Regulations 2021</w:t>
      </w:r>
      <w:r>
        <w:t xml:space="preserve"> regulation 29 comes into operation and ending on 31 March 2023.</w:t>
      </w:r>
    </w:p>
    <w:p>
      <w:pPr>
        <w:pStyle w:val="Footnotesection"/>
      </w:pPr>
      <w:r>
        <w:tab/>
        <w:t>[Regulation 7 inserted: Gazette 14 Jun 2013 p. 2230-1; amended: Gazette 13 Nov 2015 p. 4639; 23 Nov 2016 p. 5272; 30 Jun 2017 p. 3562; SL 2021/2 r. 29</w:t>
      </w:r>
      <w:r>
        <w:rPr>
          <w:szCs w:val="24"/>
        </w:rPr>
        <w:t>; SL 2021/2 r. 37</w:t>
      </w:r>
      <w:r>
        <w:t>.]</w:t>
      </w:r>
    </w:p>
    <w:p>
      <w:pPr>
        <w:pStyle w:val="Heading5"/>
      </w:pPr>
      <w:bookmarkStart w:id="15" w:name="_Toc155081634"/>
      <w:r>
        <w:rPr>
          <w:rStyle w:val="CharSectno"/>
        </w:rPr>
        <w:t>8</w:t>
      </w:r>
      <w:r>
        <w:t>.</w:t>
      </w:r>
      <w:r>
        <w:tab/>
        <w:t>GSI rules generally</w:t>
      </w:r>
      <w:bookmarkEnd w:id="15"/>
    </w:p>
    <w:p>
      <w:pPr>
        <w:pStyle w:val="Subsection"/>
      </w:pPr>
      <w:r>
        <w:tab/>
        <w:t>(1)</w:t>
      </w:r>
      <w:r>
        <w:tab/>
        <w:t>The GSI rules may confer functions, relating to the functions referred to in section 7(2)(a) of the Act, on the operator, the 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governance matters, including financial management, relating to the performance of the functions of the operator or the Coordinator under these regulations and the GSI rules;</w:t>
      </w:r>
    </w:p>
    <w:p>
      <w:pPr>
        <w:pStyle w:val="Indenta"/>
        <w:keepNext/>
      </w:pPr>
      <w:r>
        <w:lastRenderedPageBreak/>
        <w:tab/>
        <w:t>(d)</w:t>
      </w:r>
      <w:r>
        <w:tab/>
        <w:t xml:space="preserve">fees and charges to be paid by registered gas market participants for — </w:t>
      </w:r>
    </w:p>
    <w:p>
      <w:pPr>
        <w:pStyle w:val="Indenti"/>
      </w:pPr>
      <w:r>
        <w:tab/>
        <w:t>(i)</w:t>
      </w:r>
      <w:r>
        <w:tab/>
        <w:t>the performance of the functions of the operator, the Coordinator or the ERA under these regulations and the GSI rules; and</w:t>
      </w:r>
    </w:p>
    <w:p>
      <w:pPr>
        <w:pStyle w:val="Indenti"/>
      </w:pPr>
      <w:r>
        <w:tab/>
        <w:t>(ii)</w:t>
      </w:r>
      <w:r>
        <w:tab/>
        <w:t xml:space="preserve">the performance of the functions of the AEMO under the </w:t>
      </w:r>
      <w:r>
        <w:rPr>
          <w:i/>
        </w:rPr>
        <w:t>Australian Energy Market Operator (Functions) Regulations 2015</w:t>
      </w:r>
      <w:r>
        <w:t xml:space="preserve"> to the extent to which they are functions under the Act; and</w:t>
      </w:r>
    </w:p>
    <w:p>
      <w:pPr>
        <w:pStyle w:val="Indenti"/>
      </w:pPr>
      <w:r>
        <w:tab/>
        <w:t>(iii)</w:t>
      </w:r>
      <w:r>
        <w:tab/>
        <w:t xml:space="preserve">the performance of the functions of the ERA under the </w:t>
      </w:r>
      <w:r>
        <w:rPr>
          <w:i/>
        </w:rPr>
        <w:t>Energy Industry (Rule Change Panel) Regulations 2016</w:t>
      </w:r>
      <w:r>
        <w:t xml:space="preserve"> to the extent to which they are functions under the Act;</w:t>
      </w:r>
    </w:p>
    <w:p>
      <w:pPr>
        <w:pStyle w:val="Indenta"/>
      </w:pPr>
      <w:r>
        <w:tab/>
        <w:t>(e)</w:t>
      </w:r>
      <w:r>
        <w:tab/>
        <w:t>the resolution of disputes between gas market participants and the operator;</w:t>
      </w:r>
    </w:p>
    <w:p>
      <w:pPr>
        <w:pStyle w:val="Indenta"/>
      </w:pPr>
      <w:r>
        <w:tab/>
        <w:t>(f)</w:t>
      </w:r>
      <w:r>
        <w:tab/>
        <w:t>the limiting of access to parts of the GBB;</w:t>
      </w:r>
    </w:p>
    <w:p>
      <w:pPr>
        <w:pStyle w:val="Indenta"/>
        <w:spacing w:before="60"/>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spacing w:before="60"/>
      </w:pPr>
      <w:r>
        <w:tab/>
        <w:t>(h)</w:t>
      </w:r>
      <w:r>
        <w:tab/>
        <w:t>a failure to comply with specified requests for information made during or in relation to circumstances specified under paragraph (g) is neither an offence nor a contravention of the GSI rules;</w:t>
      </w:r>
    </w:p>
    <w:p>
      <w:pPr>
        <w:pStyle w:val="Indenta"/>
        <w:spacing w:before="60"/>
      </w:pPr>
      <w:r>
        <w:tab/>
        <w:t>(i)</w:t>
      </w:r>
      <w:r>
        <w:tab/>
        <w:t>the monitoring and investigation of compliance with these regulations, the GSI rules and GSI procedures;</w:t>
      </w:r>
    </w:p>
    <w:p>
      <w:pPr>
        <w:pStyle w:val="Indenta"/>
        <w:spacing w:before="60"/>
      </w:pPr>
      <w:r>
        <w:tab/>
        <w:t>(j)</w:t>
      </w:r>
      <w:r>
        <w:tab/>
        <w:t>the giving of notices warning a gas market participant that the ERA believes that the participant has contravened a provision of the GSI rules;</w:t>
      </w:r>
    </w:p>
    <w:p>
      <w:pPr>
        <w:pStyle w:val="Indenta"/>
        <w:spacing w:before="60"/>
      </w:pPr>
      <w:r>
        <w:lastRenderedPageBreak/>
        <w:tab/>
        <w:t>(k)</w:t>
      </w:r>
      <w:r>
        <w:tab/>
        <w:t>the suspension of requirements imposed under the GSI rules or GSI procedures;</w:t>
      </w:r>
    </w:p>
    <w:p>
      <w:pPr>
        <w:pStyle w:val="Indenta"/>
        <w:spacing w:before="60"/>
      </w:pPr>
      <w:r>
        <w:tab/>
        <w:t>(l)</w:t>
      </w:r>
      <w:r>
        <w:tab/>
        <w:t>the use or disclosure of protected information by the operator or the ERA;</w:t>
      </w:r>
    </w:p>
    <w:p>
      <w:pPr>
        <w:pStyle w:val="Indenta"/>
        <w:spacing w:before="60"/>
      </w:pPr>
      <w:r>
        <w:tab/>
        <w:t>(m)</w:t>
      </w:r>
      <w:r>
        <w:tab/>
        <w:t xml:space="preserve">the delegation of powers or duties conferred or imposed by the GSI rules other than the power to — </w:t>
      </w:r>
    </w:p>
    <w:p>
      <w:pPr>
        <w:pStyle w:val="Indenti"/>
        <w:spacing w:before="60"/>
      </w:pPr>
      <w:r>
        <w:tab/>
        <w:t>(i)</w:t>
      </w:r>
      <w:r>
        <w:tab/>
        <w:t>make rules amending the GSI rules;</w:t>
      </w:r>
    </w:p>
    <w:p>
      <w:pPr>
        <w:pStyle w:val="Indenti"/>
        <w:spacing w:before="60"/>
      </w:pPr>
      <w:r>
        <w:tab/>
        <w:t>(ii)</w:t>
      </w:r>
      <w:r>
        <w:tab/>
        <w:t>formulate GSI procedures or amendments of GSI procedures;</w:t>
      </w:r>
    </w:p>
    <w:p>
      <w:pPr>
        <w:pStyle w:val="Indenta"/>
        <w:spacing w:before="60"/>
      </w:pPr>
      <w:r>
        <w:tab/>
        <w:t>(n)</w:t>
      </w:r>
      <w:r>
        <w:tab/>
        <w:t>the establishment, functions and governance of advisory committees;</w:t>
      </w:r>
    </w:p>
    <w:p>
      <w:pPr>
        <w:pStyle w:val="Indenta"/>
        <w:spacing w:before="60"/>
      </w:pPr>
      <w:r>
        <w:tab/>
        <w:t>(o)</w:t>
      </w:r>
      <w:r>
        <w:tab/>
        <w:t>transitional matters;</w:t>
      </w:r>
    </w:p>
    <w:p>
      <w:pPr>
        <w:pStyle w:val="Indenta"/>
        <w:spacing w:before="60"/>
      </w:pPr>
      <w:r>
        <w:tab/>
        <w:t>(p)</w:t>
      </w:r>
      <w:r>
        <w:tab/>
        <w:t>any other matters that are necessary or convenient to be dealt with.</w:t>
      </w:r>
    </w:p>
    <w:p>
      <w:pPr>
        <w:pStyle w:val="Subsection"/>
      </w:pPr>
      <w:r>
        <w:tab/>
        <w:t>(3)</w:t>
      </w:r>
      <w:r>
        <w:tab/>
        <w:t>For the purposes of section 8(1) of the Act, the matters referred to in subregulation (2)(a), (c), (d), (e), (i) and (j) are prescribed.</w:t>
      </w:r>
    </w:p>
    <w:p>
      <w:pPr>
        <w:pStyle w:val="Footnotesection"/>
      </w:pPr>
      <w:r>
        <w:tab/>
        <w:t xml:space="preserve">[Regulation 8 inserted: Gazette 14 Jun 2013 p. 2231-2; amended: Gazette </w:t>
      </w:r>
      <w:r>
        <w:rPr>
          <w:szCs w:val="24"/>
        </w:rPr>
        <w:t>2 Oct 2015 p. 39</w:t>
      </w:r>
      <w:r>
        <w:t>32; 13 Nov 2015 p. 4639, 4641 and 4641-2; 24 Jun 2016 p. 2304; 23 Nov 2016 p. 5272</w:t>
      </w:r>
      <w:r>
        <w:noBreakHyphen/>
        <w:t>3; 27 Jul 2018 p. 2689; SL 2021/2 r. 30.]</w:t>
      </w:r>
    </w:p>
    <w:p>
      <w:pPr>
        <w:pStyle w:val="Heading5"/>
      </w:pPr>
      <w:bookmarkStart w:id="16" w:name="_Toc155081635"/>
      <w:r>
        <w:rPr>
          <w:rStyle w:val="CharSectno"/>
        </w:rPr>
        <w:t>8A</w:t>
      </w:r>
      <w:r>
        <w:t>.</w:t>
      </w:r>
      <w:r>
        <w:tab/>
        <w:t>Transitional GSI rules for transfer of functions from IMO to ERA or Rule Change Panel</w:t>
      </w:r>
      <w:bookmarkEnd w:id="16"/>
    </w:p>
    <w:p>
      <w:pPr>
        <w:pStyle w:val="Subsection"/>
      </w:pPr>
      <w:r>
        <w:tab/>
        <w:t>(1)</w:t>
      </w:r>
      <w:r>
        <w:tab/>
        <w:t xml:space="preserve">Without limiting regulation 8(2)(o), the GSI rules may provide for transitional matters arising in connection with the transfer of a function from the IMO to the ERA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ERA or Rule Change Panel; and</w:t>
      </w:r>
    </w:p>
    <w:p>
      <w:pPr>
        <w:pStyle w:val="Indenta"/>
      </w:pPr>
      <w:r>
        <w:lastRenderedPageBreak/>
        <w:tab/>
        <w:t>(b)</w:t>
      </w:r>
      <w:r>
        <w:tab/>
        <w:t>a right or obligation of the IMO before the transfer to be taken after the transfer to be a right or obligation of the ERA or Rule Change Panel; and</w:t>
      </w:r>
    </w:p>
    <w:p>
      <w:pPr>
        <w:pStyle w:val="Indenta"/>
      </w:pPr>
      <w:r>
        <w:tab/>
        <w:t>(c)</w:t>
      </w:r>
      <w:r>
        <w:tab/>
        <w:t>a reference to the IMO in an instrument or document made or given for the purposes of these regulations or the GSI rules to be taken after the transfer to be a reference to the ERA or Rule Change Panel.</w:t>
      </w:r>
    </w:p>
    <w:p>
      <w:pPr>
        <w:pStyle w:val="Subsection"/>
      </w:pPr>
      <w:r>
        <w:tab/>
        <w:t>(2)</w:t>
      </w:r>
      <w:r>
        <w:tab/>
        <w:t xml:space="preserve">A reference in this regulation to the transfer of a function from the IMO to the ERA or Rule Change Panel is a reference to a function — </w:t>
      </w:r>
    </w:p>
    <w:p>
      <w:pPr>
        <w:pStyle w:val="Indenta"/>
      </w:pPr>
      <w:r>
        <w:tab/>
        <w:t>(a)</w:t>
      </w:r>
      <w:r>
        <w:tab/>
        <w:t>being conferred on the ERA or Rule Change Panel (whichever is relevant) under these regulations or the GSI rules; and</w:t>
      </w:r>
    </w:p>
    <w:p>
      <w:pPr>
        <w:pStyle w:val="Indenta"/>
      </w:pPr>
      <w:r>
        <w:tab/>
        <w:t>(b)</w:t>
      </w:r>
      <w:r>
        <w:tab/>
        <w:t>ceasing to be a function of the IMO under these regulations or the GSI rules.</w:t>
      </w:r>
    </w:p>
    <w:p>
      <w:pPr>
        <w:pStyle w:val="Footnotesection"/>
      </w:pPr>
      <w:r>
        <w:tab/>
        <w:t>[Regulation 8A inserted: Gazette 24 Jun 2016 p. 2304</w:t>
      </w:r>
      <w:r>
        <w:noBreakHyphen/>
        <w:t>5; amended: Gazette 23 Nov 2016 p. 5273</w:t>
      </w:r>
      <w:r>
        <w:noBreakHyphen/>
        <w:t>4.]</w:t>
      </w:r>
    </w:p>
    <w:p>
      <w:pPr>
        <w:pStyle w:val="Heading5"/>
      </w:pPr>
      <w:bookmarkStart w:id="17" w:name="_Toc155081636"/>
      <w:r>
        <w:rPr>
          <w:rStyle w:val="CharSectno"/>
        </w:rPr>
        <w:t>8B</w:t>
      </w:r>
      <w:r>
        <w:t>.</w:t>
      </w:r>
      <w:r>
        <w:tab/>
        <w:t>Transitional GSI rules for transfer of functions from Rule Change Panel to Coordinator</w:t>
      </w:r>
      <w:bookmarkEnd w:id="17"/>
    </w:p>
    <w:p>
      <w:pPr>
        <w:pStyle w:val="Subsection"/>
      </w:pPr>
      <w:r>
        <w:tab/>
        <w:t>(1)</w:t>
      </w:r>
      <w:r>
        <w:tab/>
        <w:t xml:space="preserve">In this regulation — </w:t>
      </w:r>
    </w:p>
    <w:p>
      <w:pPr>
        <w:pStyle w:val="Defstart"/>
      </w:pPr>
      <w:r>
        <w:tab/>
      </w:r>
      <w:r>
        <w:rPr>
          <w:rStyle w:val="CharDefText"/>
        </w:rPr>
        <w:t>function</w:t>
      </w:r>
      <w:r>
        <w:t xml:space="preserve"> means a function under these regulations or the GSI rules;</w:t>
      </w:r>
    </w:p>
    <w:p>
      <w:pPr>
        <w:pStyle w:val="Defstart"/>
      </w:pPr>
      <w:r>
        <w:tab/>
      </w:r>
      <w:r>
        <w:rPr>
          <w:rStyle w:val="CharDefText"/>
        </w:rPr>
        <w:t>Rule Change Panel function</w:t>
      </w:r>
      <w:r>
        <w:t xml:space="preserve"> means a function of the Rule Change Panel before 1 July 2021.</w:t>
      </w:r>
    </w:p>
    <w:p>
      <w:pPr>
        <w:pStyle w:val="Subsection"/>
      </w:pPr>
      <w:r>
        <w:tab/>
        <w:t>(2)</w:t>
      </w:r>
      <w:r>
        <w:tab/>
        <w:t>Without limiting regulation 8(2)(o), the GSI rules may provide for transitional matters arising in connection with the transfer to the Coordinator of a Rule Change Panel function.</w:t>
      </w:r>
    </w:p>
    <w:p>
      <w:pPr>
        <w:pStyle w:val="Subsection"/>
      </w:pPr>
      <w:r>
        <w:tab/>
        <w:t>(3)</w:t>
      </w:r>
      <w:r>
        <w:tab/>
        <w:t xml:space="preserve">The provision that may be made under subregulation (2) includes, without limitation, the following — </w:t>
      </w:r>
    </w:p>
    <w:p>
      <w:pPr>
        <w:pStyle w:val="Indenta"/>
      </w:pPr>
      <w:r>
        <w:tab/>
        <w:t>(a)</w:t>
      </w:r>
      <w:r>
        <w:tab/>
        <w:t xml:space="preserve">provision for a thing done or omitted to be done by, to or in relation to the Rule Change Panel before a transfer to </w:t>
      </w:r>
      <w:r>
        <w:lastRenderedPageBreak/>
        <w:t>be taken after the transfer to have been done or omitted by, to or in relation to the Coordinator;</w:t>
      </w:r>
    </w:p>
    <w:p>
      <w:pPr>
        <w:pStyle w:val="Indenta"/>
      </w:pPr>
      <w:r>
        <w:tab/>
        <w:t>(b)</w:t>
      </w:r>
      <w:r>
        <w:tab/>
        <w:t>provision for a right or obligation of the Rule Change Panel before a transfer to be taken after the transfer to be a right or obligation of the Coordinator;</w:t>
      </w:r>
    </w:p>
    <w:p>
      <w:pPr>
        <w:pStyle w:val="Indenta"/>
      </w:pPr>
      <w:r>
        <w:tab/>
        <w:t>(c)</w:t>
      </w:r>
      <w:r>
        <w:tab/>
        <w:t>provision for a reference to the Rule Change Panel in an instrument or document made or given before a transfer for the purposes of these regulations or the GSI rules to be taken after the transfer to be a reference to the Coordinator.</w:t>
      </w:r>
    </w:p>
    <w:p>
      <w:pPr>
        <w:pStyle w:val="Subsection"/>
      </w:pPr>
      <w:r>
        <w:tab/>
        <w:t>(4)</w:t>
      </w:r>
      <w:r>
        <w:tab/>
        <w:t xml:space="preserve">For the purposes of this regulation, a Rule Change Panel function is transferred to the Coordinator if — </w:t>
      </w:r>
    </w:p>
    <w:p>
      <w:pPr>
        <w:pStyle w:val="Indenta"/>
      </w:pPr>
      <w:r>
        <w:tab/>
        <w:t>(a)</w:t>
      </w:r>
      <w:r>
        <w:tab/>
        <w:t>the Rule Change Panel function becomes a function of the Coordinator (with or without modifications); or</w:t>
      </w:r>
    </w:p>
    <w:p>
      <w:pPr>
        <w:pStyle w:val="Indenta"/>
      </w:pPr>
      <w:r>
        <w:tab/>
        <w:t>(b)</w:t>
      </w:r>
      <w:r>
        <w:tab/>
        <w:t>a function that is substantially the same as, or that is similar to, or that otherwise replaces, the Rule Change Panel function is otherwise conferred on the Coordinator.</w:t>
      </w:r>
    </w:p>
    <w:p>
      <w:pPr>
        <w:pStyle w:val="Footnotesection"/>
      </w:pPr>
      <w:r>
        <w:tab/>
        <w:t xml:space="preserve">[Regulation 8B inserted: SL 2021/2 r. 31; amended: </w:t>
      </w:r>
      <w:r>
        <w:rPr>
          <w:szCs w:val="24"/>
        </w:rPr>
        <w:t>SL 2021/2 r. 38</w:t>
      </w:r>
      <w:r>
        <w:t>.]</w:t>
      </w:r>
    </w:p>
    <w:p>
      <w:pPr>
        <w:pStyle w:val="Heading5"/>
      </w:pPr>
      <w:bookmarkStart w:id="18" w:name="_Toc155081637"/>
      <w:r>
        <w:rPr>
          <w:rStyle w:val="CharSectno"/>
        </w:rPr>
        <w:t>9</w:t>
      </w:r>
      <w:r>
        <w:t>.</w:t>
      </w:r>
      <w:r>
        <w:tab/>
        <w:t>Availability of copies of GSI rules</w:t>
      </w:r>
      <w:bookmarkEnd w:id="18"/>
    </w:p>
    <w:p>
      <w:pPr>
        <w:pStyle w:val="Subsection"/>
      </w:pPr>
      <w:r>
        <w:tab/>
      </w:r>
      <w:r>
        <w:tab/>
        <w:t xml:space="preserve">The Coordinator must — </w:t>
      </w:r>
    </w:p>
    <w:p>
      <w:pPr>
        <w:pStyle w:val="Indenta"/>
      </w:pPr>
      <w:r>
        <w:tab/>
        <w:t>(a)</w:t>
      </w:r>
      <w:r>
        <w:tab/>
        <w:t>make a copy of the GSI rules, as in force for the time being, available on a website maintained by, or on behalf of, the Coordinator; and</w:t>
      </w:r>
    </w:p>
    <w:p>
      <w:pPr>
        <w:pStyle w:val="Indenta"/>
      </w:pPr>
      <w:r>
        <w:tab/>
        <w:t>(b)</w:t>
      </w:r>
      <w:r>
        <w:tab/>
        <w:t>if the GSI rules adopt a text of a published document, either as that text exists at a particular time or as it may from time to time be amended — make that text available on that website or specify on that website a place where the text may be obtained.</w:t>
      </w:r>
    </w:p>
    <w:p>
      <w:pPr>
        <w:pStyle w:val="Footnotesection"/>
      </w:pPr>
      <w:r>
        <w:tab/>
        <w:t xml:space="preserve">[Regulation 9 inserted: </w:t>
      </w:r>
      <w:r>
        <w:rPr>
          <w:szCs w:val="24"/>
        </w:rPr>
        <w:t>SL 2021/2 r. 39</w:t>
      </w:r>
      <w:r>
        <w:t>.]</w:t>
      </w:r>
    </w:p>
    <w:p>
      <w:pPr>
        <w:pStyle w:val="Heading5"/>
      </w:pPr>
      <w:bookmarkStart w:id="19" w:name="_Toc155081638"/>
      <w:r>
        <w:rPr>
          <w:rStyle w:val="CharSectno"/>
        </w:rPr>
        <w:lastRenderedPageBreak/>
        <w:t>10</w:t>
      </w:r>
      <w:r>
        <w:t>.</w:t>
      </w:r>
      <w:r>
        <w:tab/>
        <w:t>GSI procedures</w:t>
      </w:r>
      <w:bookmarkEnd w:id="19"/>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keepNext/>
      </w:pPr>
      <w:r>
        <w:tab/>
        <w:t>(b)</w:t>
      </w:r>
      <w:r>
        <w:tab/>
        <w:t>continue to have effect after GSI rules referred to in subregulation (1) are in operation as if they had been published under those GSI rules.</w:t>
      </w:r>
    </w:p>
    <w:p>
      <w:pPr>
        <w:pStyle w:val="Footnotesection"/>
      </w:pPr>
      <w:r>
        <w:tab/>
        <w:t>[Regulation 10 inserted: Gazette 14 Jun 2013 p. 2232-3.]</w:t>
      </w:r>
    </w:p>
    <w:p>
      <w:pPr>
        <w:pStyle w:val="Heading5"/>
      </w:pPr>
      <w:bookmarkStart w:id="20" w:name="_Toc155081639"/>
      <w:r>
        <w:rPr>
          <w:rStyle w:val="CharSectno"/>
        </w:rPr>
        <w:t>11</w:t>
      </w:r>
      <w:r>
        <w:t>.</w:t>
      </w:r>
      <w:r>
        <w:tab/>
        <w:t>Administration of GSI rules and GSI procedures</w:t>
      </w:r>
      <w:bookmarkEnd w:id="20"/>
    </w:p>
    <w:p>
      <w:pPr>
        <w:pStyle w:val="Subsection"/>
      </w:pPr>
      <w:r>
        <w:tab/>
        <w:t>(1)</w:t>
      </w:r>
      <w:r>
        <w:tab/>
        <w:t>The operator is responsible for the development, in accordance with the GSI rules, of amendments of and replacements for the GSI procedures, to the extent to which the procedures relate to its functions.</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Ednotesubsection"/>
      </w:pPr>
      <w:r>
        <w:tab/>
        <w:t>[(3)</w:t>
      </w:r>
      <w:r>
        <w:tab/>
        <w:t>deleted]</w:t>
      </w:r>
    </w:p>
    <w:p>
      <w:pPr>
        <w:pStyle w:val="Subsection"/>
      </w:pPr>
      <w:r>
        <w:lastRenderedPageBreak/>
        <w:tab/>
        <w:t>(4)</w:t>
      </w:r>
      <w:r>
        <w:tab/>
        <w:t>The ERA is responsible for the development, in accordance with the GSI rules, of amendments of and replacements for the GSI procedures, to the extent to which the procedures relate to its functions.</w:t>
      </w:r>
    </w:p>
    <w:p>
      <w:pPr>
        <w:pStyle w:val="Ednotesubsection"/>
      </w:pPr>
      <w:r>
        <w:tab/>
        <w:t>[(5)</w:t>
      </w:r>
      <w:r>
        <w:tab/>
        <w:t>deleted]</w:t>
      </w:r>
    </w:p>
    <w:p>
      <w:pPr>
        <w:pStyle w:val="Subsection"/>
      </w:pPr>
      <w:r>
        <w:tab/>
        <w:t>(6)</w:t>
      </w:r>
      <w:r>
        <w:tab/>
        <w:t>The Coordinator is responsible for the development, in accordance with the GSI rules, of amendments of and replacements for the GSI procedures, to the extent to which the procedures relate to the Coordinator’s functions.</w:t>
      </w:r>
    </w:p>
    <w:p>
      <w:pPr>
        <w:pStyle w:val="Subsection"/>
      </w:pPr>
      <w:r>
        <w:tab/>
        <w:t>(7)</w:t>
      </w:r>
      <w:r>
        <w:tab/>
        <w:t>The Coordinator is responsible for the development, in accordance with the GSI rules, of amendments of and replacements for the GSI rules.</w:t>
      </w:r>
    </w:p>
    <w:p>
      <w:pPr>
        <w:pStyle w:val="Footnotesection"/>
      </w:pPr>
      <w:r>
        <w:tab/>
        <w:t xml:space="preserve">[Regulation 11 inserted: Gazette 14 Jun 2013 p. 2233; amended: Gazette 13 Nov 2015 p. 4639; 24 Jun 2016 p. 2305; 23 Nov 2016 p. 5275; 27 Jul 2018 p. 2689; SL 2021/2 r. 33; </w:t>
      </w:r>
      <w:r>
        <w:rPr>
          <w:szCs w:val="24"/>
        </w:rPr>
        <w:t>SL 2021/2 r. 40</w:t>
      </w:r>
      <w:r>
        <w:t>.]</w:t>
      </w:r>
    </w:p>
    <w:p>
      <w:pPr>
        <w:pStyle w:val="Heading5"/>
      </w:pPr>
      <w:bookmarkStart w:id="21" w:name="_Toc155081640"/>
      <w:r>
        <w:rPr>
          <w:rStyle w:val="CharSectno"/>
        </w:rPr>
        <w:t>11A</w:t>
      </w:r>
      <w:r>
        <w:t>.</w:t>
      </w:r>
      <w:r>
        <w:tab/>
        <w:t>Use of information by Coordinator</w:t>
      </w:r>
      <w:bookmarkEnd w:id="21"/>
    </w:p>
    <w:p>
      <w:pPr>
        <w:pStyle w:val="Subsection"/>
      </w:pPr>
      <w:r>
        <w:tab/>
        <w:t>(1)</w:t>
      </w:r>
      <w:r>
        <w:tab/>
        <w:t>The Coordinator may, directly or indirectly, record, disclose or make use of any information obtained in the course of duty (whether under these regulations, the GSI rules or any other written law or rules) if the recording, disclosing or making use of the information is for the purpose of performing functions under these regulations or the GSI rules.</w:t>
      </w:r>
    </w:p>
    <w:p>
      <w:pPr>
        <w:pStyle w:val="Subsection"/>
      </w:pPr>
      <w:r>
        <w:tab/>
        <w:t>(2)</w:t>
      </w:r>
      <w:r>
        <w:tab/>
        <w:t>The GSI rules may impose restrictions or conditions on the Coordinator’s authority to record, disclose or make use of information under subregulation (1).</w:t>
      </w:r>
    </w:p>
    <w:p>
      <w:pPr>
        <w:pStyle w:val="Footnotesection"/>
      </w:pPr>
      <w:r>
        <w:tab/>
        <w:t>[Regulation 11A inserted: SL 2021/2 r. 34.]</w:t>
      </w:r>
    </w:p>
    <w:p>
      <w:pPr>
        <w:pStyle w:val="Heading2"/>
      </w:pPr>
      <w:bookmarkStart w:id="22" w:name="_Toc155081641"/>
      <w:r>
        <w:rPr>
          <w:rStyle w:val="CharPartNo"/>
        </w:rPr>
        <w:lastRenderedPageBreak/>
        <w:t>Part 4</w:t>
      </w:r>
      <w:r>
        <w:rPr>
          <w:rStyle w:val="CharDivNo"/>
          <w:snapToGrid/>
          <w:sz w:val="26"/>
        </w:rPr>
        <w:t> </w:t>
      </w:r>
      <w:r>
        <w:t>—</w:t>
      </w:r>
      <w:r>
        <w:rPr>
          <w:rStyle w:val="CharDivText"/>
        </w:rPr>
        <w:t> </w:t>
      </w:r>
      <w:r>
        <w:rPr>
          <w:rStyle w:val="CharPartText"/>
        </w:rPr>
        <w:t>Obligations to provide information</w:t>
      </w:r>
      <w:bookmarkEnd w:id="22"/>
    </w:p>
    <w:p>
      <w:pPr>
        <w:pStyle w:val="Footnoteheading"/>
      </w:pPr>
      <w:r>
        <w:tab/>
        <w:t>[Heading inserted: Gazette 28 Jun 2013 p. 2934.]</w:t>
      </w:r>
    </w:p>
    <w:p>
      <w:pPr>
        <w:pStyle w:val="Heading5"/>
      </w:pPr>
      <w:bookmarkStart w:id="23" w:name="_Toc155081642"/>
      <w:r>
        <w:rPr>
          <w:rStyle w:val="CharSectno"/>
        </w:rPr>
        <w:t>12</w:t>
      </w:r>
      <w:r>
        <w:t>.</w:t>
      </w:r>
      <w:r>
        <w:tab/>
        <w:t>Ongoing requirement to provide information</w:t>
      </w:r>
      <w:bookmarkEnd w:id="23"/>
    </w:p>
    <w:p>
      <w:pPr>
        <w:pStyle w:val="Subsection"/>
      </w:pPr>
      <w:r>
        <w:tab/>
        <w:t>(1)</w:t>
      </w:r>
      <w:r>
        <w:tab/>
        <w:t>A gas market participant of a particular class must give to the operator or the ERA the information specified in the GSI rules in relation to that class of gas market participant.</w:t>
      </w:r>
    </w:p>
    <w:p>
      <w:pPr>
        <w:pStyle w:val="Penstart"/>
      </w:pPr>
      <w:r>
        <w:tab/>
        <w:t>Penalty: a fine of $20 000 and a daily penalty of $2 000.</w:t>
      </w:r>
    </w:p>
    <w:p>
      <w:pPr>
        <w:pStyle w:val="Subsection"/>
      </w:pPr>
      <w:r>
        <w:tab/>
        <w:t>(2)</w:t>
      </w:r>
      <w:r>
        <w:tab/>
        <w:t>The operator or the ERA may, in accordance with the GSI rules, exempt a gas market participant from the requirement in subregulation (1) in relation to some or all of the information the participant would otherwise be required to give.</w:t>
      </w:r>
    </w:p>
    <w:p>
      <w:pPr>
        <w:pStyle w:val="Footnotesection"/>
      </w:pPr>
      <w:r>
        <w:tab/>
        <w:t>[Regulation 12 inserted: Gazette 28 Jun 2013 p. 2934; amended: Gazette 13 Nov 2015 p. 4641; 24 Jun 2016 p. 2305; 27 Jul 2018 p. 2689.]</w:t>
      </w:r>
    </w:p>
    <w:p>
      <w:pPr>
        <w:pStyle w:val="Heading5"/>
      </w:pPr>
      <w:bookmarkStart w:id="24" w:name="_Toc155081643"/>
      <w:r>
        <w:rPr>
          <w:rStyle w:val="CharSectno"/>
        </w:rPr>
        <w:t>13</w:t>
      </w:r>
      <w:r>
        <w:t>.</w:t>
      </w:r>
      <w:r>
        <w:tab/>
        <w:t>Operator may request information</w:t>
      </w:r>
      <w:bookmarkEnd w:id="24"/>
    </w:p>
    <w:p>
      <w:pPr>
        <w:pStyle w:val="Subsection"/>
      </w:pPr>
      <w:r>
        <w:tab/>
        <w:t>(1)</w:t>
      </w:r>
      <w:r>
        <w:tab/>
        <w:t>The operator may, for the purposes of the performance of its function, request a gas market participant to give specified information to the operator.</w:t>
      </w:r>
    </w:p>
    <w:p>
      <w:pPr>
        <w:pStyle w:val="Ednotesubsection"/>
      </w:pPr>
      <w:r>
        <w:tab/>
        <w:t>[(2A)</w:t>
      </w:r>
      <w:r>
        <w:tab/>
        <w:t>deleted]</w:t>
      </w:r>
    </w:p>
    <w:p>
      <w:pPr>
        <w:pStyle w:val="Subsection"/>
      </w:pPr>
      <w:r>
        <w:tab/>
        <w:t>(2B)</w:t>
      </w:r>
      <w:r>
        <w:tab/>
        <w:t>The ERA may, for the purposes of the performance of its function, request a gas market participant to give specified information to the ERA.</w:t>
      </w:r>
    </w:p>
    <w:p>
      <w:pPr>
        <w:pStyle w:val="Subsection"/>
      </w:pPr>
      <w:r>
        <w:tab/>
        <w:t>(2)</w:t>
      </w:r>
      <w:r>
        <w:tab/>
        <w:t xml:space="preserve">The request must — </w:t>
      </w:r>
    </w:p>
    <w:p>
      <w:pPr>
        <w:pStyle w:val="Indenta"/>
      </w:pPr>
      <w:r>
        <w:tab/>
        <w:t>(a)</w:t>
      </w:r>
      <w:r>
        <w:tab/>
        <w:t>be in writing; and</w:t>
      </w:r>
    </w:p>
    <w:p>
      <w:pPr>
        <w:pStyle w:val="Indenta"/>
      </w:pPr>
      <w:r>
        <w:tab/>
        <w:t>(b)</w:t>
      </w:r>
      <w:r>
        <w:tab/>
        <w:t>specify the information; and</w:t>
      </w:r>
    </w:p>
    <w:p>
      <w:pPr>
        <w:pStyle w:val="Indenta"/>
      </w:pPr>
      <w:r>
        <w:tab/>
        <w:t>(c)</w:t>
      </w:r>
      <w:r>
        <w:tab/>
        <w:t>specify the occasion or occasions on which, or the frequency at which, the information is to be given; and</w:t>
      </w:r>
    </w:p>
    <w:p>
      <w:pPr>
        <w:pStyle w:val="Indenta"/>
      </w:pPr>
      <w:r>
        <w:tab/>
        <w:t>(d)</w:t>
      </w:r>
      <w:r>
        <w:tab/>
        <w:t>specify the time within which the information must be given.</w:t>
      </w:r>
    </w:p>
    <w:p>
      <w:pPr>
        <w:pStyle w:val="Subsection"/>
      </w:pPr>
      <w:r>
        <w:lastRenderedPageBreak/>
        <w:tab/>
        <w:t>(3)</w:t>
      </w:r>
      <w:r>
        <w:tab/>
        <w:t>A person given a request must comply with it.</w:t>
      </w:r>
    </w:p>
    <w:p>
      <w:pPr>
        <w:pStyle w:val="Penstart"/>
      </w:pPr>
      <w:r>
        <w:tab/>
        <w:t>Penalty: a fine of $20 000 and a daily penalty of $2 000.</w:t>
      </w:r>
    </w:p>
    <w:p>
      <w:pPr>
        <w:pStyle w:val="Subsection"/>
      </w:pPr>
      <w:r>
        <w:tab/>
        <w:t>(4)</w:t>
      </w:r>
      <w:r>
        <w:tab/>
        <w:t xml:space="preserve">Subregulation (5) has effect in relation to a request, in effect immediately before the time at which the </w:t>
      </w:r>
      <w:r>
        <w:rPr>
          <w:i/>
        </w:rPr>
        <w:t>Gas Services Information Amendment Regulations (No. 3) 2015</w:t>
      </w:r>
      <w:r>
        <w:t xml:space="preserve"> regulation 9(2) comes into operation (</w:t>
      </w:r>
      <w:r>
        <w:rPr>
          <w:rStyle w:val="CharDefText"/>
        </w:rPr>
        <w:t>commencement time</w:t>
      </w:r>
      <w:r>
        <w:t>), that was made by the IMO for the purposes of the performance of a function under these regulations or the GSI rules that, at commencement time, becomes a function of the AEMO.</w:t>
      </w:r>
    </w:p>
    <w:p>
      <w:pPr>
        <w:pStyle w:val="Subsection"/>
      </w:pPr>
      <w:r>
        <w:tab/>
        <w:t>(5)</w:t>
      </w:r>
      <w:r>
        <w:tab/>
        <w:t>The request becomes, at commencement time, a request made by the AEMO (as the operator) and has effect after commencement time according to its terms.</w:t>
      </w:r>
    </w:p>
    <w:p>
      <w:pPr>
        <w:pStyle w:val="Footnotesection"/>
      </w:pPr>
      <w:r>
        <w:tab/>
        <w:t>[Regulation 13 inserted: Gazette 28 Jun 2013 p. 2934-5; amended: Gazette 13 Nov 2015 p. 4639-40; 24 Jun 2016 p. 2305; 27 Jul 2018 p. 2689.]</w:t>
      </w:r>
    </w:p>
    <w:p>
      <w:pPr>
        <w:pStyle w:val="Heading2"/>
      </w:pPr>
      <w:bookmarkStart w:id="25" w:name="_Toc155081644"/>
      <w:r>
        <w:rPr>
          <w:rStyle w:val="CharPartNo"/>
        </w:rPr>
        <w:lastRenderedPageBreak/>
        <w:t>Part 5</w:t>
      </w:r>
      <w:r>
        <w:rPr>
          <w:b w:val="0"/>
        </w:rPr>
        <w:t> </w:t>
      </w:r>
      <w:r>
        <w:t>—</w:t>
      </w:r>
      <w:r>
        <w:rPr>
          <w:b w:val="0"/>
        </w:rPr>
        <w:t> </w:t>
      </w:r>
      <w:r>
        <w:rPr>
          <w:rStyle w:val="CharPartText"/>
        </w:rPr>
        <w:t>Enforcement of GSI rules</w:t>
      </w:r>
      <w:bookmarkEnd w:id="25"/>
    </w:p>
    <w:p>
      <w:pPr>
        <w:pStyle w:val="Footnoteheading"/>
      </w:pPr>
      <w:r>
        <w:tab/>
        <w:t>[Heading inserted: Gazette 28 Jun 2013 p. 2935.]</w:t>
      </w:r>
    </w:p>
    <w:p>
      <w:pPr>
        <w:pStyle w:val="Heading3"/>
        <w:spacing w:before="280"/>
      </w:pPr>
      <w:bookmarkStart w:id="26" w:name="_Toc155081645"/>
      <w:r>
        <w:rPr>
          <w:rStyle w:val="CharDivNo"/>
        </w:rPr>
        <w:t>Division 1</w:t>
      </w:r>
      <w:r>
        <w:t> — </w:t>
      </w:r>
      <w:r>
        <w:rPr>
          <w:rStyle w:val="CharDivText"/>
        </w:rPr>
        <w:t>Preliminary</w:t>
      </w:r>
      <w:bookmarkEnd w:id="26"/>
    </w:p>
    <w:p>
      <w:pPr>
        <w:pStyle w:val="Footnoteheading"/>
      </w:pPr>
      <w:r>
        <w:tab/>
        <w:t>[Heading inserted: Gazette 28 Jun 2013 p. 2935.]</w:t>
      </w:r>
    </w:p>
    <w:p>
      <w:pPr>
        <w:pStyle w:val="Heading5"/>
        <w:spacing w:before="240"/>
      </w:pPr>
      <w:bookmarkStart w:id="27" w:name="_Toc155081646"/>
      <w:r>
        <w:rPr>
          <w:rStyle w:val="CharSectno"/>
        </w:rPr>
        <w:t>14</w:t>
      </w:r>
      <w:r>
        <w:t>.</w:t>
      </w:r>
      <w:r>
        <w:tab/>
        <w:t>Terms used</w:t>
      </w:r>
      <w:bookmarkEnd w:id="27"/>
    </w:p>
    <w:p>
      <w:pPr>
        <w:pStyle w:val="Subsection"/>
        <w:spacing w:before="180"/>
      </w:pPr>
      <w:r>
        <w:tab/>
      </w:r>
      <w:r>
        <w:tab/>
        <w:t xml:space="preserve">In this Part — </w:t>
      </w:r>
    </w:p>
    <w:p>
      <w:pPr>
        <w:pStyle w:val="Defstart"/>
        <w:spacing w:before="100"/>
      </w:pPr>
      <w:r>
        <w:tab/>
      </w:r>
      <w:r>
        <w:rPr>
          <w:rStyle w:val="CharDefText"/>
        </w:rPr>
        <w:t>civil penalty</w:t>
      </w:r>
      <w:r>
        <w:t xml:space="preserve"> means a penalty demanded by the ERA under regulation 16(1) or imposed by the Board under regulation 18(1);</w:t>
      </w:r>
    </w:p>
    <w:p>
      <w:pPr>
        <w:pStyle w:val="Defstart"/>
        <w:spacing w:before="100"/>
      </w:pPr>
      <w:r>
        <w:tab/>
      </w:r>
      <w:r>
        <w:rPr>
          <w:rStyle w:val="CharDefText"/>
        </w:rPr>
        <w:t>civil penalty provision</w:t>
      </w:r>
      <w:r>
        <w:t xml:space="preserve"> has the meaning given in regulation 15(1).</w:t>
      </w:r>
    </w:p>
    <w:p>
      <w:pPr>
        <w:pStyle w:val="Footnotesection"/>
      </w:pPr>
      <w:r>
        <w:tab/>
        <w:t>[Regulation 14 inserted: Gazette 28 Jun 2013 p. 2935; amended: Gazette 13 Nov 2015 p. 4641</w:t>
      </w:r>
      <w:r>
        <w:noBreakHyphen/>
        <w:t>2; 24 Jun 2016 p. 2308.]</w:t>
      </w:r>
    </w:p>
    <w:p>
      <w:pPr>
        <w:pStyle w:val="Heading3"/>
        <w:spacing w:before="280"/>
      </w:pPr>
      <w:bookmarkStart w:id="28" w:name="_Toc155081647"/>
      <w:r>
        <w:rPr>
          <w:rStyle w:val="CharDivNo"/>
        </w:rPr>
        <w:t>Division 2</w:t>
      </w:r>
      <w:r>
        <w:t> — </w:t>
      </w:r>
      <w:r>
        <w:rPr>
          <w:rStyle w:val="CharDivText"/>
        </w:rPr>
        <w:t>Orders and penalties</w:t>
      </w:r>
      <w:bookmarkEnd w:id="28"/>
    </w:p>
    <w:p>
      <w:pPr>
        <w:pStyle w:val="Footnoteheading"/>
      </w:pPr>
      <w:r>
        <w:tab/>
        <w:t>[Heading inserted: Gazette 28 Jun 2013 p. 2935.]</w:t>
      </w:r>
    </w:p>
    <w:p>
      <w:pPr>
        <w:pStyle w:val="Heading5"/>
        <w:spacing w:before="240"/>
      </w:pPr>
      <w:bookmarkStart w:id="29" w:name="_Toc155081648"/>
      <w:r>
        <w:rPr>
          <w:rStyle w:val="CharSectno"/>
        </w:rPr>
        <w:t>15</w:t>
      </w:r>
      <w:r>
        <w:t>.</w:t>
      </w:r>
      <w:r>
        <w:tab/>
        <w:t>Civil penalty provisions and civil penalties</w:t>
      </w:r>
      <w:bookmarkEnd w:id="29"/>
    </w:p>
    <w:p>
      <w:pPr>
        <w:pStyle w:val="Subsection"/>
        <w:spacing w:before="180"/>
      </w:pPr>
      <w:r>
        <w:tab/>
        <w:t>(1)</w:t>
      </w:r>
      <w:r>
        <w:tab/>
        <w:t xml:space="preserve">The provisions of the GSI rules specified in Schedule 1 are </w:t>
      </w:r>
      <w:r>
        <w:rPr>
          <w:rStyle w:val="CharDefText"/>
        </w:rPr>
        <w:t>civil penalty provisions</w:t>
      </w:r>
      <w:r>
        <w:t xml:space="preserve"> for the purposes of these regulations.</w:t>
      </w:r>
    </w:p>
    <w:p>
      <w:pPr>
        <w:pStyle w:val="Subsection"/>
        <w:spacing w:before="180"/>
      </w:pPr>
      <w:r>
        <w:tab/>
        <w:t>(2)</w:t>
      </w:r>
      <w:r>
        <w:tab/>
        <w:t>The category of a civil penalty provision is the category specified for the provision in Schedule 1.</w:t>
      </w:r>
    </w:p>
    <w:p>
      <w:pPr>
        <w:pStyle w:val="PermNoteHeading"/>
      </w:pPr>
      <w:r>
        <w:tab/>
        <w:t>Note for this subregulation:</w:t>
      </w:r>
    </w:p>
    <w:p>
      <w:pPr>
        <w:pStyle w:val="PermNoteText"/>
      </w:pPr>
      <w:r>
        <w:tab/>
      </w:r>
      <w:r>
        <w:tab/>
        <w:t>Categories A, B and C are specified in Schedule 1 for the purposes of the GSI rules.</w:t>
      </w:r>
    </w:p>
    <w:p>
      <w:pPr>
        <w:pStyle w:val="Ednotesubsection"/>
      </w:pPr>
      <w:r>
        <w:tab/>
        <w:t>[(3)-(5)</w:t>
      </w:r>
      <w:r>
        <w:tab/>
        <w:t>deleted]</w:t>
      </w:r>
    </w:p>
    <w:p>
      <w:pPr>
        <w:pStyle w:val="Footnotesection"/>
      </w:pPr>
      <w:r>
        <w:tab/>
        <w:t>[Regulation 15 inserted: Gazette 28 Jun 2013 p. 2935-6; amended: SL 2023/32 r. 24.]</w:t>
      </w:r>
    </w:p>
    <w:p>
      <w:pPr>
        <w:pStyle w:val="Heading5"/>
      </w:pPr>
      <w:bookmarkStart w:id="30" w:name="_Toc155081649"/>
      <w:r>
        <w:rPr>
          <w:rStyle w:val="CharSectno"/>
        </w:rPr>
        <w:lastRenderedPageBreak/>
        <w:t>16</w:t>
      </w:r>
      <w:r>
        <w:t>.</w:t>
      </w:r>
      <w:r>
        <w:tab/>
        <w:t>Contravention of civil penalty provision: ERA may demand civil penalty</w:t>
      </w:r>
      <w:bookmarkEnd w:id="30"/>
    </w:p>
    <w:p>
      <w:pPr>
        <w:pStyle w:val="Subsection"/>
      </w:pPr>
      <w:r>
        <w:tab/>
        <w:t>(1)</w:t>
      </w:r>
      <w:r>
        <w:tab/>
        <w:t>If the ERA considers that a gas market participant has contravened a civil penalty provision, the ERA may, by notice given to the participant, demand that the participant pay to the operator a civil penalty.</w:t>
      </w:r>
    </w:p>
    <w:p>
      <w:pPr>
        <w:pStyle w:val="Subsection"/>
      </w:pPr>
      <w:r>
        <w:tab/>
        <w:t>(1A)</w:t>
      </w:r>
      <w:r>
        <w:tab/>
        <w:t xml:space="preserve">If the ERA considers that a gas market participant has contravened a civil penalty provision, the ERA may, by notice given to the participant, demand that the participant pay to the operator a civil penalty of a daily amount that does not exceed the maximum daily amount prescribed for the contravention in Schedule 1 if the ERA considers it is appropriate considering the following — </w:t>
      </w:r>
    </w:p>
    <w:p>
      <w:pPr>
        <w:pStyle w:val="Indenta"/>
      </w:pPr>
      <w:r>
        <w:tab/>
        <w:t>(a)</w:t>
      </w:r>
      <w:r>
        <w:tab/>
        <w:t>the circumstances of the contravention;</w:t>
      </w:r>
    </w:p>
    <w:p>
      <w:pPr>
        <w:pStyle w:val="Indenta"/>
      </w:pPr>
      <w:r>
        <w:tab/>
        <w:t>(b)</w:t>
      </w:r>
      <w:r>
        <w:tab/>
        <w:t>the annual turnover of the participant;</w:t>
      </w:r>
    </w:p>
    <w:p>
      <w:pPr>
        <w:pStyle w:val="Indenta"/>
      </w:pPr>
      <w:r>
        <w:tab/>
        <w:t>(c)</w:t>
      </w:r>
      <w:r>
        <w:tab/>
        <w:t>the benefit gained from the contravention by the participant.</w:t>
      </w:r>
    </w:p>
    <w:p>
      <w:pPr>
        <w:pStyle w:val="Subsection"/>
      </w:pPr>
      <w:r>
        <w:tab/>
        <w:t>(1B)</w:t>
      </w:r>
      <w:r>
        <w:tab/>
        <w:t xml:space="preserve">The daily amount referred to in subregulation (1A) applies for each day or part of a day that the contravention continues after — </w:t>
      </w:r>
    </w:p>
    <w:p>
      <w:pPr>
        <w:pStyle w:val="Indenta"/>
      </w:pPr>
      <w:r>
        <w:tab/>
        <w:t>(a)</w:t>
      </w:r>
      <w:r>
        <w:tab/>
        <w:t>if a day or time by which the contravention was to be rectified is specified in a warning notice given to the gas market participant — the day by which the contravention was to be rectified; or</w:t>
      </w:r>
    </w:p>
    <w:p>
      <w:pPr>
        <w:pStyle w:val="Indenta"/>
      </w:pPr>
      <w:r>
        <w:tab/>
        <w:t>(b)</w:t>
      </w:r>
      <w:r>
        <w:tab/>
        <w:t>in any other case — the day on which the gas market participant is given a warning notice.</w:t>
      </w:r>
    </w:p>
    <w:p>
      <w:pPr>
        <w:pStyle w:val="Subsection"/>
      </w:pPr>
      <w:r>
        <w:tab/>
        <w:t>(1C)</w:t>
      </w:r>
      <w:r>
        <w:tab/>
        <w:t>For the purposes of subregulation (1B),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Subsection"/>
      </w:pPr>
      <w:r>
        <w:lastRenderedPageBreak/>
        <w:tab/>
        <w:t>(1D)</w:t>
      </w:r>
      <w:r>
        <w:tab/>
        <w:t xml:space="preserve">A civil penalty comprising an amount under subregulation (1), a daily amount under subregulation (1A) or a combination of amounts under subregulation (1) and (1A) must not exceed the lesser of — </w:t>
      </w:r>
    </w:p>
    <w:p>
      <w:pPr>
        <w:pStyle w:val="Indenta"/>
      </w:pPr>
      <w:r>
        <w:tab/>
        <w:t>(a)</w:t>
      </w:r>
      <w:r>
        <w:tab/>
        <w:t>the maximum civil penalty amount prescribed for the contravention in Schedule 1; and</w:t>
      </w:r>
    </w:p>
    <w:p>
      <w:pPr>
        <w:pStyle w:val="Indenta"/>
      </w:pPr>
      <w:r>
        <w:tab/>
        <w:t>(b)</w:t>
      </w:r>
      <w:r>
        <w:tab/>
        <w:t>$20 000.</w:t>
      </w:r>
    </w:p>
    <w:p>
      <w:pPr>
        <w:pStyle w:val="Subsection"/>
      </w:pPr>
      <w:r>
        <w:tab/>
        <w:t>(2)</w:t>
      </w:r>
      <w:r>
        <w:tab/>
        <w:t>The ERA cannot demand that the participant pay a civil penalty under subregulation (1) or (1A) unless the ERA has already given the participant a warning notice.</w:t>
      </w:r>
    </w:p>
    <w:p>
      <w:pPr>
        <w:pStyle w:val="Subsection"/>
      </w:pPr>
      <w:r>
        <w:tab/>
        <w:t>(3)</w:t>
      </w:r>
      <w:r>
        <w:tab/>
        <w:t>A demand under subregulation (1) or (1A) must be made within 6 years after the day on which the participant is considered by the ERA to have contravened the provision.</w:t>
      </w:r>
    </w:p>
    <w:p>
      <w:pPr>
        <w:pStyle w:val="Subsection"/>
        <w:keepNext/>
      </w:pPr>
      <w:r>
        <w:tab/>
        <w:t>(4)</w:t>
      </w:r>
      <w:r>
        <w:tab/>
        <w:t xml:space="preserve">A notice under subregulation (1) or (1A) must — </w:t>
      </w:r>
    </w:p>
    <w:p>
      <w:pPr>
        <w:pStyle w:val="Indenta"/>
      </w:pPr>
      <w:r>
        <w:tab/>
        <w:t>(a)</w:t>
      </w:r>
      <w:r>
        <w:tab/>
        <w:t>be in writing; and</w:t>
      </w:r>
    </w:p>
    <w:p>
      <w:pPr>
        <w:pStyle w:val="Indenta"/>
      </w:pPr>
      <w:r>
        <w:tab/>
        <w:t>(b)</w:t>
      </w:r>
      <w:r>
        <w:tab/>
        <w:t>state the name and address of the participant; and</w:t>
      </w:r>
    </w:p>
    <w:p>
      <w:pPr>
        <w:pStyle w:val="Indenta"/>
      </w:pPr>
      <w:r>
        <w:tab/>
        <w:t>(c)</w:t>
      </w:r>
      <w:r>
        <w:tab/>
        <w:t xml:space="preserve">state that the notice is given under the </w:t>
      </w:r>
      <w:r>
        <w:rPr>
          <w:i/>
        </w:rPr>
        <w:t>Gas Services Information Regulations 2012</w:t>
      </w:r>
      <w:r>
        <w:t xml:space="preserve"> regulation 16; and</w:t>
      </w:r>
    </w:p>
    <w:p>
      <w:pPr>
        <w:pStyle w:val="Indenta"/>
      </w:pPr>
      <w:r>
        <w:tab/>
        <w:t>(d)</w:t>
      </w:r>
      <w:r>
        <w:tab/>
        <w:t>specify the civil penalty provision that the ERA considers the participant has contravened; and</w:t>
      </w:r>
    </w:p>
    <w:p>
      <w:pPr>
        <w:pStyle w:val="Indenta"/>
      </w:pPr>
      <w:r>
        <w:tab/>
        <w:t>(e)</w:t>
      </w:r>
      <w:r>
        <w:tab/>
        <w:t>provide details of the contravention, including the act or omission that the ERA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ERA’s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lastRenderedPageBreak/>
        <w:tab/>
        <w:t>(ii)</w:t>
      </w:r>
      <w:r>
        <w:tab/>
        <w:t>apply to the Board for review of the ERA’s decision to demand the penalty,</w:t>
      </w:r>
    </w:p>
    <w:p>
      <w:pPr>
        <w:pStyle w:val="Indenta"/>
      </w:pPr>
      <w:r>
        <w:tab/>
      </w:r>
      <w:r>
        <w:tab/>
        <w:t>the ERA may apply to the Board for an order for the payment of the penalty.</w:t>
      </w:r>
    </w:p>
    <w:p>
      <w:pPr>
        <w:pStyle w:val="Subsection"/>
      </w:pPr>
      <w:r>
        <w:tab/>
        <w:t>(5)</w:t>
      </w:r>
      <w:r>
        <w:tab/>
        <w:t xml:space="preserve">If the participant does not, within 28 days after the day on which the participant received the notice — </w:t>
      </w:r>
    </w:p>
    <w:p>
      <w:pPr>
        <w:pStyle w:val="Indenta"/>
      </w:pPr>
      <w:r>
        <w:tab/>
        <w:t>(a)</w:t>
      </w:r>
      <w:r>
        <w:tab/>
        <w:t>pay to the operator the penalty demanded in the notice; or</w:t>
      </w:r>
    </w:p>
    <w:p>
      <w:pPr>
        <w:pStyle w:val="Indenta"/>
      </w:pPr>
      <w:r>
        <w:tab/>
        <w:t>(b)</w:t>
      </w:r>
      <w:r>
        <w:tab/>
        <w:t>apply to the Board for review of the ERA’s decision to demand the penalty,</w:t>
      </w:r>
    </w:p>
    <w:p>
      <w:pPr>
        <w:pStyle w:val="Subsection"/>
      </w:pPr>
      <w:r>
        <w:tab/>
      </w:r>
      <w:r>
        <w:tab/>
        <w:t>the ERA may, within a further 28 days, apply to the Board for an order for the payment of the penalty demanded in the notice.</w:t>
      </w:r>
    </w:p>
    <w:p>
      <w:pPr>
        <w:pStyle w:val="Subsection"/>
        <w:keepNext/>
      </w:pPr>
      <w:r>
        <w:tab/>
        <w:t>(6)</w:t>
      </w:r>
      <w:r>
        <w:tab/>
        <w:t xml:space="preserve">The Board may make an order that the participant pay the civil penalty demanded of the participant if — </w:t>
      </w:r>
    </w:p>
    <w:p>
      <w:pPr>
        <w:pStyle w:val="Indenta"/>
        <w:spacing w:before="60"/>
      </w:pPr>
      <w:r>
        <w:tab/>
        <w:t>(a)</w:t>
      </w:r>
      <w:r>
        <w:tab/>
        <w:t>the ERA made the demand in accordance with this regulation; and</w:t>
      </w:r>
    </w:p>
    <w:p>
      <w:pPr>
        <w:pStyle w:val="Indenta"/>
        <w:spacing w:before="60"/>
      </w:pPr>
      <w:r>
        <w:tab/>
        <w:t>(b)</w:t>
      </w:r>
      <w:r>
        <w:tab/>
        <w:t>the participant has not paid the civil penalty to the operator; and</w:t>
      </w:r>
    </w:p>
    <w:p>
      <w:pPr>
        <w:pStyle w:val="Indenta"/>
        <w:spacing w:before="60"/>
      </w:pPr>
      <w:r>
        <w:tab/>
        <w:t>(c)</w:t>
      </w:r>
      <w:r>
        <w:tab/>
        <w:t>the participant has not applied to the Board for review of the ERA’s decision to demand the amount.</w:t>
      </w:r>
    </w:p>
    <w:p>
      <w:pPr>
        <w:pStyle w:val="Subsection"/>
        <w:spacing w:before="140"/>
      </w:pPr>
      <w:r>
        <w:tab/>
        <w:t>(7)</w:t>
      </w:r>
      <w:r>
        <w:tab/>
        <w:t xml:space="preserve">If the Board has made an order under regulation 18 that a gas market participant pay a civil penalty in respect of a contravention of a civil penalty provision — </w:t>
      </w:r>
    </w:p>
    <w:p>
      <w:pPr>
        <w:pStyle w:val="Indenta"/>
        <w:spacing w:before="60"/>
      </w:pPr>
      <w:r>
        <w:tab/>
        <w:t>(a)</w:t>
      </w:r>
      <w:r>
        <w:tab/>
        <w:t>the ERA may not demand that the participant pay the operator a civil penalty in respect of the contravention; and</w:t>
      </w:r>
    </w:p>
    <w:p>
      <w:pPr>
        <w:pStyle w:val="Indenta"/>
        <w:spacing w:before="60"/>
      </w:pPr>
      <w:r>
        <w:tab/>
        <w:t>(b)</w:t>
      </w:r>
      <w:r>
        <w:tab/>
        <w:t>the Board may not make an order that the participant pay the civil penalty demanded of the participant.</w:t>
      </w:r>
    </w:p>
    <w:p>
      <w:pPr>
        <w:pStyle w:val="Subsection"/>
        <w:spacing w:before="140"/>
      </w:pPr>
      <w:r>
        <w:tab/>
        <w:t>(8)</w:t>
      </w:r>
      <w:r>
        <w:tab/>
        <w:t>The ERA cannot make a demand under subregulation (1) in relation to a contravention that occurs before 1 November 2013.</w:t>
      </w:r>
    </w:p>
    <w:p>
      <w:pPr>
        <w:pStyle w:val="Footnotesection"/>
        <w:spacing w:before="100"/>
      </w:pPr>
      <w:r>
        <w:lastRenderedPageBreak/>
        <w:tab/>
        <w:t>[Regulation 16 inserted: Gazette 28 Jun 2013 p. 2936-8; amended: Gazette 13 Nov 2015 p. 4641</w:t>
      </w:r>
      <w:r>
        <w:noBreakHyphen/>
        <w:t>2; 24 Jun 2016 p. 2305-7 and 2308; SL 2023/32 r. 25.]</w:t>
      </w:r>
    </w:p>
    <w:p>
      <w:pPr>
        <w:pStyle w:val="Heading5"/>
        <w:spacing w:before="200"/>
      </w:pPr>
      <w:bookmarkStart w:id="31" w:name="_Toc155081650"/>
      <w:r>
        <w:rPr>
          <w:rStyle w:val="CharSectno"/>
        </w:rPr>
        <w:t>17</w:t>
      </w:r>
      <w:r>
        <w:t>.</w:t>
      </w:r>
      <w:r>
        <w:tab/>
        <w:t>Contraventions of provisions of GSI rules: applications for orders from Board</w:t>
      </w:r>
      <w:bookmarkEnd w:id="31"/>
    </w:p>
    <w:p>
      <w:pPr>
        <w:pStyle w:val="Subsection"/>
        <w:spacing w:before="140"/>
      </w:pPr>
      <w:r>
        <w:tab/>
        <w:t>(1)</w:t>
      </w:r>
      <w:r>
        <w:tab/>
        <w:t>If the ERA considers that a gas market participant has contravened a provision of the GSI rules, the ERA may apply to the Board for one or more orders under regulation 18.</w:t>
      </w:r>
    </w:p>
    <w:p>
      <w:pPr>
        <w:pStyle w:val="Subsection"/>
        <w:spacing w:before="140"/>
      </w:pPr>
      <w:r>
        <w:tab/>
        <w:t>(2)</w:t>
      </w:r>
      <w:r>
        <w:tab/>
        <w:t>The application must be made within 6 years after the day on which the participant is considered by the ERA to have contravened the provision.</w:t>
      </w:r>
    </w:p>
    <w:p>
      <w:pPr>
        <w:pStyle w:val="Subsection"/>
        <w:spacing w:before="140"/>
      </w:pPr>
      <w:r>
        <w:tab/>
        <w:t>(3)</w:t>
      </w:r>
      <w:r>
        <w:tab/>
        <w:t>No other person may apply for an order under regulation 18.</w:t>
      </w:r>
    </w:p>
    <w:p>
      <w:pPr>
        <w:pStyle w:val="Subsection"/>
        <w:spacing w:before="140"/>
      </w:pPr>
      <w:r>
        <w:tab/>
        <w:t>(4)</w:t>
      </w:r>
      <w:r>
        <w:tab/>
        <w:t>The ERA cannot make an application for an order under regulation 18 in relation to a contravention that occurs before 1 November 2013.</w:t>
      </w:r>
    </w:p>
    <w:p>
      <w:pPr>
        <w:pStyle w:val="Footnotesection"/>
        <w:spacing w:before="100"/>
      </w:pPr>
      <w:r>
        <w:tab/>
        <w:t>[Regulation 17 inserted: Gazette 28 Jun 2013 p. 2938-9; amended: Gazette 13 Nov 2015 p. 4641</w:t>
      </w:r>
      <w:r>
        <w:noBreakHyphen/>
        <w:t>2; 24 Jun 2016 p. 2308.]</w:t>
      </w:r>
    </w:p>
    <w:p>
      <w:pPr>
        <w:pStyle w:val="Heading5"/>
      </w:pPr>
      <w:bookmarkStart w:id="32" w:name="_Toc155081651"/>
      <w:r>
        <w:rPr>
          <w:rStyle w:val="CharSectno"/>
        </w:rPr>
        <w:t>18</w:t>
      </w:r>
      <w:r>
        <w:t>.</w:t>
      </w:r>
      <w:r>
        <w:tab/>
        <w:t>Contraventions of provisions of GSI rules: orders Board may make</w:t>
      </w:r>
      <w:bookmarkEnd w:id="32"/>
    </w:p>
    <w:p>
      <w:pPr>
        <w:pStyle w:val="Subsection"/>
      </w:pPr>
      <w:r>
        <w:tab/>
        <w:t>(1)</w:t>
      </w:r>
      <w:r>
        <w:tab/>
        <w:t xml:space="preserve">If the Board determines that a gas market participant has contravened a provision of the GSI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lastRenderedPageBreak/>
        <w:tab/>
        <w:t>(c)</w:t>
      </w:r>
      <w:r>
        <w:tab/>
        <w:t>an order that the participant take the action, or adopt the practice, that the Board requires for remedying the contravention or preventing a recurrence of the contravention;</w:t>
      </w:r>
    </w:p>
    <w:p>
      <w:pPr>
        <w:pStyle w:val="Indenta"/>
      </w:pPr>
      <w:r>
        <w:tab/>
        <w:t>(d)</w:t>
      </w:r>
      <w:r>
        <w:tab/>
        <w:t>an order that the participant implement a specified programme for compliance with the GSI rules.</w:t>
      </w:r>
    </w:p>
    <w:p>
      <w:pPr>
        <w:pStyle w:val="Subsection"/>
      </w:pPr>
      <w:r>
        <w:tab/>
        <w:t>(2)</w:t>
      </w:r>
      <w:r>
        <w:tab/>
        <w:t xml:space="preserve">Before making an order, the Board must have regard to all relevant matters, including the following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w:t>
      </w:r>
    </w:p>
    <w:p>
      <w:pPr>
        <w:pStyle w:val="Indenta"/>
      </w:pPr>
      <w:r>
        <w:tab/>
        <w:t>(e)</w:t>
      </w:r>
      <w:r>
        <w:tab/>
        <w:t>the consequences of making the order.</w:t>
      </w:r>
    </w:p>
    <w:p>
      <w:pPr>
        <w:pStyle w:val="Subsection"/>
      </w:pPr>
      <w:r>
        <w:tab/>
        <w:t>(3)</w:t>
      </w:r>
      <w:r>
        <w:tab/>
        <w:t>If the ERA has demanded that a gas market participant pay to the operator a civil penalty in respect of the contravention of a civil penalty provision, the Board may not make an order under this regulation that the participant pay a civil penalty in respect of the contravention.</w:t>
      </w:r>
    </w:p>
    <w:p>
      <w:pPr>
        <w:pStyle w:val="Footnotesection"/>
      </w:pPr>
      <w:r>
        <w:tab/>
        <w:t>[Regulation 18 inserted: Gazette 28 Jun 2013 p. 2939-40; amended: Gazette 13 Nov 2015 p. 4641</w:t>
      </w:r>
      <w:r>
        <w:noBreakHyphen/>
        <w:t>2; 24 Jun 2016 p. 2307.]</w:t>
      </w:r>
    </w:p>
    <w:p>
      <w:pPr>
        <w:pStyle w:val="Heading5"/>
      </w:pPr>
      <w:bookmarkStart w:id="33" w:name="_Toc155081652"/>
      <w:r>
        <w:rPr>
          <w:rStyle w:val="CharSectno"/>
        </w:rPr>
        <w:t>19</w:t>
      </w:r>
      <w:r>
        <w:t>.</w:t>
      </w:r>
      <w:r>
        <w:tab/>
        <w:t>Enforcement of orders of Board</w:t>
      </w:r>
      <w:bookmarkEnd w:id="33"/>
    </w:p>
    <w:p>
      <w:pPr>
        <w:pStyle w:val="Subsection"/>
      </w:pPr>
      <w:r>
        <w:tab/>
        <w:t>(1)</w:t>
      </w:r>
      <w:r>
        <w:tab/>
        <w:t>The ERA may enforce an order of the Board made under regulation 16(6) or 18(1)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lastRenderedPageBreak/>
        <w:tab/>
        <w:t>[Regulation 19 inserted: Gazette 28 Jun 2013 p. 2940; amended: Gazette 13 Nov 2015 p. 4641</w:t>
      </w:r>
      <w:r>
        <w:noBreakHyphen/>
        <w:t>2; 24 Jun 2016 p. 2308-9.]</w:t>
      </w:r>
    </w:p>
    <w:p>
      <w:pPr>
        <w:pStyle w:val="Heading5"/>
      </w:pPr>
      <w:bookmarkStart w:id="34" w:name="_Toc155081653"/>
      <w:r>
        <w:rPr>
          <w:rStyle w:val="CharSectno"/>
        </w:rPr>
        <w:t>20</w:t>
      </w:r>
      <w:r>
        <w:t>.</w:t>
      </w:r>
      <w:r>
        <w:tab/>
        <w:t>Contravention of provision of GSI rules not an offence</w:t>
      </w:r>
      <w:bookmarkEnd w:id="34"/>
    </w:p>
    <w:p>
      <w:pPr>
        <w:pStyle w:val="Subsection"/>
      </w:pPr>
      <w:r>
        <w:tab/>
      </w:r>
      <w:r>
        <w:tab/>
        <w:t>A contravention of a provision of the GSI rules is not an offence.</w:t>
      </w:r>
    </w:p>
    <w:p>
      <w:pPr>
        <w:pStyle w:val="Footnotesection"/>
      </w:pPr>
      <w:r>
        <w:tab/>
        <w:t>[Regulation 20 inserted: Gazette 28 Jun 2013 p. 2940.]</w:t>
      </w:r>
    </w:p>
    <w:p>
      <w:pPr>
        <w:pStyle w:val="Heading5"/>
      </w:pPr>
      <w:bookmarkStart w:id="35" w:name="_Toc155081654"/>
      <w:r>
        <w:rPr>
          <w:rStyle w:val="CharSectno"/>
        </w:rPr>
        <w:t>21</w:t>
      </w:r>
      <w:r>
        <w:t>.</w:t>
      </w:r>
      <w:r>
        <w:tab/>
        <w:t>Conduct contravening more than one civil penalty provision</w:t>
      </w:r>
      <w:bookmarkEnd w:id="35"/>
    </w:p>
    <w:p>
      <w:pPr>
        <w:pStyle w:val="Subsection"/>
      </w:pPr>
      <w:r>
        <w:tab/>
        <w:t>(1)</w:t>
      </w:r>
      <w:r>
        <w:tab/>
        <w:t>If the conduct of a gas market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for more than one civil penalty in respect of the same conduct.</w:t>
      </w:r>
    </w:p>
    <w:p>
      <w:pPr>
        <w:pStyle w:val="Footnotesection"/>
      </w:pPr>
      <w:r>
        <w:tab/>
        <w:t>[Regulation 21 inserted: Gazette 28 Jun 2013 p. 2940-1.]</w:t>
      </w:r>
    </w:p>
    <w:p>
      <w:pPr>
        <w:pStyle w:val="Heading5"/>
      </w:pPr>
      <w:bookmarkStart w:id="36" w:name="_Toc155081655"/>
      <w:r>
        <w:rPr>
          <w:rStyle w:val="CharSectno"/>
        </w:rPr>
        <w:t>22</w:t>
      </w:r>
      <w:r>
        <w:t>.</w:t>
      </w:r>
      <w:r>
        <w:tab/>
        <w:t>Application of civil penalties received by operator</w:t>
      </w:r>
      <w:bookmarkEnd w:id="36"/>
    </w:p>
    <w:p>
      <w:pPr>
        <w:pStyle w:val="Subsection"/>
      </w:pPr>
      <w:r>
        <w:tab/>
      </w:r>
      <w:r>
        <w:tab/>
        <w:t>A civil penalty received by the operator must be credited to the Consolidated Account.</w:t>
      </w:r>
    </w:p>
    <w:p>
      <w:pPr>
        <w:pStyle w:val="Footnotesection"/>
      </w:pPr>
      <w:r>
        <w:tab/>
        <w:t>[Regulation 22 inserted: Gazette 28 Jun 2013 p. 2941; amended: Gazette 13 Nov 2015 p. 4641</w:t>
      </w:r>
      <w:r>
        <w:noBreakHyphen/>
        <w:t>2; 24 Jun 2016 p. 2307.]</w:t>
      </w:r>
    </w:p>
    <w:p>
      <w:pPr>
        <w:pStyle w:val="Heading5"/>
      </w:pPr>
      <w:bookmarkStart w:id="37" w:name="_Toc155081656"/>
      <w:r>
        <w:rPr>
          <w:rStyle w:val="CharSectno"/>
        </w:rPr>
        <w:t>23</w:t>
      </w:r>
      <w:r>
        <w:t>.</w:t>
      </w:r>
      <w:r>
        <w:tab/>
        <w:t>ERA to notify certain persons of decision not to take action</w:t>
      </w:r>
      <w:bookmarkEnd w:id="37"/>
    </w:p>
    <w:p>
      <w:pPr>
        <w:pStyle w:val="Subsection"/>
      </w:pPr>
      <w:r>
        <w:tab/>
        <w:t>(1)</w:t>
      </w:r>
      <w:r>
        <w:tab/>
        <w:t xml:space="preserve">If the operator is given information by a person in relation to a contravention or possible contravention of a provision of the GSI rules by a gas market participant — </w:t>
      </w:r>
    </w:p>
    <w:p>
      <w:pPr>
        <w:pStyle w:val="Indenta"/>
      </w:pPr>
      <w:r>
        <w:tab/>
        <w:t>(a)</w:t>
      </w:r>
      <w:r>
        <w:tab/>
        <w:t>the operator must give the information to the ERA; and</w:t>
      </w:r>
    </w:p>
    <w:p>
      <w:pPr>
        <w:pStyle w:val="Indenta"/>
      </w:pPr>
      <w:r>
        <w:tab/>
        <w:t>(b)</w:t>
      </w:r>
      <w:r>
        <w:tab/>
        <w:t>if authorised by the person to do so, the operator must give the person’s contact details to the ERA.</w:t>
      </w:r>
    </w:p>
    <w:p>
      <w:pPr>
        <w:pStyle w:val="Subsection"/>
      </w:pPr>
      <w:r>
        <w:lastRenderedPageBreak/>
        <w:tab/>
        <w:t>(2)</w:t>
      </w:r>
      <w:r>
        <w:tab/>
        <w:t xml:space="preserve">Subregulation (3) applies if the ERA is given information in relation to a contravention or possible contravention of a provision of the GSI rules by a gas market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ERA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16 or seek an order from the Board under regulation 18,</w:t>
      </w:r>
    </w:p>
    <w:p>
      <w:pPr>
        <w:pStyle w:val="Subsection"/>
      </w:pPr>
      <w:r>
        <w:tab/>
      </w:r>
      <w:r>
        <w:tab/>
        <w:t>the ERA must, in writing, notify the person who gave the information to the ERA or to the operator (whichever is relevant) of the decision.</w:t>
      </w:r>
    </w:p>
    <w:p>
      <w:pPr>
        <w:pStyle w:val="Footnotesection"/>
      </w:pPr>
      <w:r>
        <w:tab/>
        <w:t>[Regulation 23 inserted: Gazette 24 Jun 2016 p. 2308.]</w:t>
      </w:r>
    </w:p>
    <w:p>
      <w:pPr>
        <w:pStyle w:val="Heading5"/>
      </w:pPr>
      <w:bookmarkStart w:id="38" w:name="_Toc155081657"/>
      <w:r>
        <w:rPr>
          <w:rStyle w:val="CharSectno"/>
        </w:rPr>
        <w:t>24</w:t>
      </w:r>
      <w:r>
        <w:t>.</w:t>
      </w:r>
      <w:r>
        <w:tab/>
        <w:t>Applications for orders from Board: procedure</w:t>
      </w:r>
      <w:bookmarkEnd w:id="38"/>
    </w:p>
    <w:p>
      <w:pPr>
        <w:pStyle w:val="Subsection"/>
      </w:pPr>
      <w:r>
        <w:tab/>
      </w:r>
      <w:r>
        <w:tab/>
        <w:t xml:space="preserve">An application by the ERA to the Board for an order under regulation 16(6) or 18(1) must — </w:t>
      </w:r>
    </w:p>
    <w:p>
      <w:pPr>
        <w:pStyle w:val="Indenta"/>
      </w:pPr>
      <w:r>
        <w:tab/>
        <w:t>(a)</w:t>
      </w:r>
      <w:r>
        <w:tab/>
        <w:t>be in writing; and</w:t>
      </w:r>
    </w:p>
    <w:p>
      <w:pPr>
        <w:pStyle w:val="Indenta"/>
      </w:pPr>
      <w:r>
        <w:tab/>
        <w:t>(b)</w:t>
      </w:r>
      <w:r>
        <w:tab/>
        <w:t>state that the applicant is the ERA; and</w:t>
      </w:r>
    </w:p>
    <w:p>
      <w:pPr>
        <w:pStyle w:val="Indenta"/>
      </w:pPr>
      <w:r>
        <w:tab/>
        <w:t>(c)</w:t>
      </w:r>
      <w:r>
        <w:tab/>
        <w:t>specify the provision of these regulations under which the ERA is seeking the order; and</w:t>
      </w:r>
    </w:p>
    <w:p>
      <w:pPr>
        <w:pStyle w:val="Indenta"/>
      </w:pPr>
      <w:r>
        <w:tab/>
        <w:t>(d)</w:t>
      </w:r>
      <w:r>
        <w:tab/>
        <w:t>provide details of the contravention of the GSI rules that the ERA considers has occurred, including the name and address of the gas market participant alleged to have contravened the GSI rules; and</w:t>
      </w:r>
    </w:p>
    <w:p>
      <w:pPr>
        <w:pStyle w:val="Indenta"/>
      </w:pPr>
      <w:r>
        <w:tab/>
        <w:t>(e)</w:t>
      </w:r>
      <w:r>
        <w:tab/>
        <w:t>specify the nature of the order sought.</w:t>
      </w:r>
    </w:p>
    <w:p>
      <w:pPr>
        <w:pStyle w:val="Footnotesection"/>
      </w:pPr>
      <w:r>
        <w:tab/>
        <w:t>[Regulation 24 inserted: Gazette 28 Jun 2013 p. 2941-2; amended: Gazette 13 Nov 2015 p. 4641</w:t>
      </w:r>
      <w:r>
        <w:noBreakHyphen/>
        <w:t>2; 24 Jun 2016 p. 2308-9.]</w:t>
      </w:r>
    </w:p>
    <w:p>
      <w:pPr>
        <w:pStyle w:val="Heading2"/>
      </w:pPr>
      <w:bookmarkStart w:id="39" w:name="_Toc155081658"/>
      <w:r>
        <w:rPr>
          <w:rStyle w:val="CharPartNo"/>
        </w:rPr>
        <w:lastRenderedPageBreak/>
        <w:t>Part 6</w:t>
      </w:r>
      <w:r>
        <w:rPr>
          <w:b w:val="0"/>
        </w:rPr>
        <w:t> </w:t>
      </w:r>
      <w:r>
        <w:t>—</w:t>
      </w:r>
      <w:r>
        <w:rPr>
          <w:b w:val="0"/>
        </w:rPr>
        <w:t> </w:t>
      </w:r>
      <w:r>
        <w:rPr>
          <w:rStyle w:val="CharPartText"/>
        </w:rPr>
        <w:t>Review by the Board</w:t>
      </w:r>
      <w:bookmarkEnd w:id="39"/>
    </w:p>
    <w:p>
      <w:pPr>
        <w:pStyle w:val="Footnoteheading"/>
      </w:pPr>
      <w:r>
        <w:tab/>
        <w:t>[Heading inserted: Gazette 28 Jun 2013 p. 2942.]</w:t>
      </w:r>
    </w:p>
    <w:p>
      <w:pPr>
        <w:pStyle w:val="Heading3"/>
      </w:pPr>
      <w:bookmarkStart w:id="40" w:name="_Toc155081659"/>
      <w:r>
        <w:rPr>
          <w:rStyle w:val="CharDivNo"/>
        </w:rPr>
        <w:t>Division 1</w:t>
      </w:r>
      <w:r>
        <w:t> — </w:t>
      </w:r>
      <w:r>
        <w:rPr>
          <w:rStyle w:val="CharDivText"/>
        </w:rPr>
        <w:t>Review by the Board</w:t>
      </w:r>
      <w:bookmarkEnd w:id="40"/>
    </w:p>
    <w:p>
      <w:pPr>
        <w:pStyle w:val="Footnoteheading"/>
      </w:pPr>
      <w:r>
        <w:tab/>
        <w:t>[Heading inserted: Gazette 28 Jun 2013 p. 2942.]</w:t>
      </w:r>
    </w:p>
    <w:p>
      <w:pPr>
        <w:pStyle w:val="Heading5"/>
      </w:pPr>
      <w:bookmarkStart w:id="41" w:name="_Toc155081660"/>
      <w:r>
        <w:rPr>
          <w:rStyle w:val="CharSectno"/>
        </w:rPr>
        <w:t>25</w:t>
      </w:r>
      <w:r>
        <w:t>.</w:t>
      </w:r>
      <w:r>
        <w:tab/>
        <w:t>Reviewable decisions and procedural decisions</w:t>
      </w:r>
      <w:bookmarkEnd w:id="41"/>
    </w:p>
    <w:p>
      <w:pPr>
        <w:pStyle w:val="Subsection"/>
      </w:pPr>
      <w:r>
        <w:tab/>
        <w:t>(1)</w:t>
      </w:r>
      <w:r>
        <w:tab/>
        <w:t xml:space="preserve">In this Part — </w:t>
      </w:r>
    </w:p>
    <w:p>
      <w:pPr>
        <w:pStyle w:val="Defstart"/>
      </w:pPr>
      <w:r>
        <w:tab/>
      </w:r>
      <w:r>
        <w:rPr>
          <w:rStyle w:val="CharDefText"/>
        </w:rPr>
        <w:t>procedural decision</w:t>
      </w:r>
      <w:r>
        <w:t xml:space="preserve"> means a reviewable decision made under a provision listed in the Table to Schedule 2 clause 2;</w:t>
      </w:r>
    </w:p>
    <w:p>
      <w:pPr>
        <w:pStyle w:val="Defstart"/>
      </w:pPr>
      <w:r>
        <w:tab/>
      </w:r>
      <w:r>
        <w:rPr>
          <w:rStyle w:val="CharDefText"/>
        </w:rPr>
        <w:t>reviewable decision</w:t>
      </w:r>
      <w:r>
        <w:t xml:space="preserve"> means a decision that is reviewable under section 12(1) of the Act.</w:t>
      </w:r>
    </w:p>
    <w:p>
      <w:pPr>
        <w:pStyle w:val="Subsection"/>
      </w:pPr>
      <w:r>
        <w:tab/>
        <w:t>(2)</w:t>
      </w:r>
      <w:r>
        <w:tab/>
        <w:t>For the purposes of section 12(1) of the Act, the decisions made under provisions of these regulations or the GSI rules not listed in the Table to Schedule 2 clause 1 are specified.</w:t>
      </w:r>
    </w:p>
    <w:p>
      <w:pPr>
        <w:pStyle w:val="Footnotesection"/>
      </w:pPr>
      <w:r>
        <w:tab/>
        <w:t>[Regulation 25 inserted: Gazette 28 Jun 2013 p. 2942.]</w:t>
      </w:r>
    </w:p>
    <w:p>
      <w:pPr>
        <w:pStyle w:val="Heading5"/>
      </w:pPr>
      <w:bookmarkStart w:id="42" w:name="_Toc155081661"/>
      <w:r>
        <w:rPr>
          <w:rStyle w:val="CharSectno"/>
        </w:rPr>
        <w:t>26</w:t>
      </w:r>
      <w:r>
        <w:t>.</w:t>
      </w:r>
      <w:r>
        <w:tab/>
        <w:t>Review by Board: all reviewable decisions</w:t>
      </w:r>
      <w:bookmarkEnd w:id="42"/>
    </w:p>
    <w:p>
      <w:pPr>
        <w:pStyle w:val="Subsection"/>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tab/>
        <w:t>(3)</w:t>
      </w:r>
      <w:r>
        <w:tab/>
        <w:t>The Board may refuse to review a reviewable decision if it considers that the application for review is trivial or vexatious.</w:t>
      </w:r>
    </w:p>
    <w:p>
      <w:pPr>
        <w:pStyle w:val="Subsection"/>
      </w:pPr>
      <w:r>
        <w:tab/>
        <w:t>(4)</w:t>
      </w:r>
      <w:r>
        <w:tab/>
        <w:t>A determination by the Board on the review of a reviewable decision has the same effect as if it were made by the person who made the decision.</w:t>
      </w:r>
    </w:p>
    <w:p>
      <w:pPr>
        <w:pStyle w:val="Subsection"/>
      </w:pPr>
      <w:r>
        <w:lastRenderedPageBreak/>
        <w:tab/>
        <w:t>(5)</w:t>
      </w:r>
      <w:r>
        <w:tab/>
        <w:t>If the Board decides that a person’s interests are not adversely affected by a reviewable decision, the Board must give the person written reasons for its decision.</w:t>
      </w:r>
    </w:p>
    <w:p>
      <w:pPr>
        <w:pStyle w:val="Subsection"/>
      </w:pPr>
      <w:r>
        <w:tab/>
        <w:t>(6)</w:t>
      </w:r>
      <w:r>
        <w:tab/>
        <w:t>This regulation is subject to regulation 27.</w:t>
      </w:r>
    </w:p>
    <w:p>
      <w:pPr>
        <w:pStyle w:val="Footnotesection"/>
      </w:pPr>
      <w:r>
        <w:tab/>
        <w:t>[Regulation 26 inserted: Gazette 28 Jun 2013 p. 2942-3.]</w:t>
      </w:r>
    </w:p>
    <w:p>
      <w:pPr>
        <w:pStyle w:val="Heading5"/>
      </w:pPr>
      <w:bookmarkStart w:id="43" w:name="_Toc155081662"/>
      <w:r>
        <w:rPr>
          <w:rStyle w:val="CharSectno"/>
        </w:rPr>
        <w:t>27</w:t>
      </w:r>
      <w:r>
        <w:t>.</w:t>
      </w:r>
      <w:r>
        <w:tab/>
        <w:t>Review by Board: procedural decisions</w:t>
      </w:r>
      <w:bookmarkEnd w:id="43"/>
    </w:p>
    <w:p>
      <w:pPr>
        <w:pStyle w:val="Subsection"/>
      </w:pPr>
      <w:r>
        <w:tab/>
        <w:t>(1)</w:t>
      </w:r>
      <w:r>
        <w:tab/>
        <w:t>In reviewing a procedural decision, the Board is to consider only the question of whether the decision maker followed the procedure required to be followed under these regulations, the GSI rules or the GSI procedures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w:t>
      </w:r>
    </w:p>
    <w:p>
      <w:pPr>
        <w:pStyle w:val="Subsection"/>
      </w:pPr>
      <w:r>
        <w:tab/>
        <w:t>(4)</w:t>
      </w:r>
      <w:r>
        <w:tab/>
        <w:t>If the Board remits a matter to the decision maker under subregulation (3)(b), the Board may make recommendations as to how the decision maker should go about making the decision.</w:t>
      </w:r>
    </w:p>
    <w:p>
      <w:pPr>
        <w:pStyle w:val="Footnotesection"/>
      </w:pPr>
      <w:r>
        <w:tab/>
        <w:t>[Regulation 27 inserted: Gazette 28 Jun 2013 p. 2943-4.]</w:t>
      </w:r>
    </w:p>
    <w:p>
      <w:pPr>
        <w:pStyle w:val="Heading5"/>
      </w:pPr>
      <w:bookmarkStart w:id="44" w:name="_Toc155081663"/>
      <w:r>
        <w:rPr>
          <w:rStyle w:val="CharSectno"/>
        </w:rPr>
        <w:t>28</w:t>
      </w:r>
      <w:r>
        <w:t>.</w:t>
      </w:r>
      <w:r>
        <w:tab/>
        <w:t>Application for review</w:t>
      </w:r>
      <w:bookmarkEnd w:id="44"/>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these regulations or the GSI rules to be given to a person affected by the decision — 28 days after the day on which the notice is given; or</w:t>
      </w:r>
    </w:p>
    <w:p>
      <w:pPr>
        <w:pStyle w:val="Indenta"/>
      </w:pPr>
      <w:r>
        <w:lastRenderedPageBreak/>
        <w:tab/>
        <w:t>(b)</w:t>
      </w:r>
      <w:r>
        <w:tab/>
        <w:t>in any other case — 28 days after the day on which notice of the making of the decision is published in accordance with subregulation (2).</w:t>
      </w:r>
    </w:p>
    <w:p>
      <w:pPr>
        <w:pStyle w:val="Subsection"/>
      </w:pPr>
      <w:r>
        <w:tab/>
        <w:t>(2)</w:t>
      </w:r>
      <w:r>
        <w:tab/>
        <w:t>For the purposes of subregulation (1)(b), notice of a decision is published if the notice is published on the GSI website.</w:t>
      </w:r>
    </w:p>
    <w:p>
      <w:pPr>
        <w:pStyle w:val="Subsection"/>
      </w:pPr>
      <w:r>
        <w:tab/>
        <w:t>(3)</w:t>
      </w:r>
      <w:r>
        <w:tab/>
        <w:t xml:space="preserve">An application for review of a reviewable decision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decision, including who made the decision and under which regulation or GSI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by 14 days,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28 inserted: Gazette 28 Jun 2013 p. 2944-5.]</w:t>
      </w:r>
    </w:p>
    <w:p>
      <w:pPr>
        <w:pStyle w:val="Heading5"/>
      </w:pPr>
      <w:bookmarkStart w:id="45" w:name="_Toc155081664"/>
      <w:r>
        <w:rPr>
          <w:rStyle w:val="CharSectno"/>
        </w:rPr>
        <w:t>29</w:t>
      </w:r>
      <w:r>
        <w:t>.</w:t>
      </w:r>
      <w:r>
        <w:tab/>
        <w:t>Effect of application for review</w:t>
      </w:r>
      <w:bookmarkEnd w:id="45"/>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lastRenderedPageBreak/>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29 inserted: Gazette 28 Jun 2013 p. 2945.]</w:t>
      </w:r>
    </w:p>
    <w:p>
      <w:pPr>
        <w:pStyle w:val="Heading5"/>
      </w:pPr>
      <w:bookmarkStart w:id="46" w:name="_Toc155081665"/>
      <w:r>
        <w:rPr>
          <w:rStyle w:val="CharSectno"/>
        </w:rPr>
        <w:t>30</w:t>
      </w:r>
      <w:r>
        <w:t>.</w:t>
      </w:r>
      <w:r>
        <w:tab/>
        <w:t>Procedure generally</w:t>
      </w:r>
      <w:bookmarkEnd w:id="46"/>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applicant of the extension and the reasons for it.</w:t>
      </w:r>
    </w:p>
    <w:p>
      <w:pPr>
        <w:pStyle w:val="Subsection"/>
      </w:pPr>
      <w:r>
        <w:tab/>
        <w:t>(5)</w:t>
      </w:r>
      <w:r>
        <w:tab/>
        <w:t>The Board may require the operator or the ERA to give information and other assistance, and to make reports, as specified by the Board for the purposes of the proceedings.</w:t>
      </w:r>
    </w:p>
    <w:p>
      <w:pPr>
        <w:pStyle w:val="Subsection"/>
      </w:pPr>
      <w:r>
        <w:tab/>
        <w:t>(6)</w:t>
      </w:r>
      <w:r>
        <w:tab/>
        <w:t xml:space="preserve">In the proceedings — </w:t>
      </w:r>
    </w:p>
    <w:p>
      <w:pPr>
        <w:pStyle w:val="Indenta"/>
      </w:pPr>
      <w:r>
        <w:tab/>
        <w:t>(a)</w:t>
      </w:r>
      <w:r>
        <w:tab/>
        <w:t>it is a reasonable excuse for a person to fail to answer a question if answering the question might tend to incriminate the person; and</w:t>
      </w:r>
    </w:p>
    <w:p>
      <w:pPr>
        <w:pStyle w:val="Indenta"/>
      </w:pPr>
      <w:r>
        <w:lastRenderedPageBreak/>
        <w:tab/>
        <w:t>(b)</w:t>
      </w:r>
      <w:r>
        <w:tab/>
        <w:t>it is a reasonable excuse for a person to fail to produce a document if producing the document might tend to incriminate the person.</w:t>
      </w:r>
    </w:p>
    <w:p>
      <w:pPr>
        <w:pStyle w:val="Subsection"/>
      </w:pPr>
      <w:r>
        <w:tab/>
        <w:t>(7)</w:t>
      </w:r>
      <w:r>
        <w:tab/>
        <w:t>On the application of a party to the proceedings, the Board may conduct the proceedings in the absence of the public.</w:t>
      </w:r>
    </w:p>
    <w:p>
      <w:pPr>
        <w:pStyle w:val="Subsection"/>
      </w:pPr>
      <w:r>
        <w:tab/>
        <w:t>(8)</w:t>
      </w:r>
      <w:r>
        <w:tab/>
        <w:t xml:space="preserve">If the Board is satisfied that it is desirable to do so because of the confidential nature of any evidence or matter or for any other reason, relating to the proceedings,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the proceedings, of evidence given before the Board or of matters contained in documents filed with, or received in evidence by, the Board.</w:t>
      </w:r>
    </w:p>
    <w:p>
      <w:pPr>
        <w:pStyle w:val="Subsection"/>
      </w:pPr>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p>
    <w:p>
      <w:pPr>
        <w:pStyle w:val="Subsection"/>
      </w:pPr>
      <w:r>
        <w:tab/>
        <w:t>(10)</w:t>
      </w:r>
      <w:r>
        <w:tab/>
        <w:t>A witness summoned to appear at a hearing of the Board is entitled to be paid such allowances and expenses as the Board determines.</w:t>
      </w:r>
    </w:p>
    <w:p>
      <w:pPr>
        <w:pStyle w:val="Footnotesection"/>
      </w:pPr>
      <w:r>
        <w:tab/>
        <w:t>[Regulation 30 inserted: Gazette 28 Jun 2013 p. 2945-7; amended: Gazette 13 Nov 2015 p. 4641; 24 Jun 2016 p. 2308-9.]</w:t>
      </w:r>
    </w:p>
    <w:p>
      <w:pPr>
        <w:pStyle w:val="Heading5"/>
      </w:pPr>
      <w:bookmarkStart w:id="47" w:name="_Toc155081666"/>
      <w:r>
        <w:rPr>
          <w:rStyle w:val="CharSectno"/>
        </w:rPr>
        <w:lastRenderedPageBreak/>
        <w:t>31</w:t>
      </w:r>
      <w:r>
        <w:t>.</w:t>
      </w:r>
      <w:r>
        <w:tab/>
        <w:t>Procedure: conferences</w:t>
      </w:r>
      <w:bookmarkEnd w:id="47"/>
    </w:p>
    <w:p>
      <w:pPr>
        <w:pStyle w:val="Subsection"/>
      </w:pPr>
      <w:r>
        <w:tab/>
        <w:t>(1)</w:t>
      </w:r>
      <w:r>
        <w:tab/>
        <w:t>If an application is made to the Board for review of a reviewable decision, the Board may direct that a conference of the parties to the proceedings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proceedings that would be acceptable to the parties; and</w:t>
      </w:r>
    </w:p>
    <w:p>
      <w:pPr>
        <w:pStyle w:val="Indenta"/>
      </w:pPr>
      <w:r>
        <w:tab/>
        <w:t>(c)</w:t>
      </w:r>
      <w:r>
        <w:tab/>
        <w:t>the terms of the agreement are written down, signed by the parties and given to the Board; and</w:t>
      </w:r>
    </w:p>
    <w:p>
      <w:pPr>
        <w:pStyle w:val="Indenta"/>
      </w:pPr>
      <w:r>
        <w:tab/>
        <w:t>(d)</w:t>
      </w:r>
      <w:r>
        <w:tab/>
        <w:t xml:space="preserve">the Board is satisfied that —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proceedings before the Board evidence must not be given, and statements must not be made, about anything that happened at a conference held under subregulation (1) in relation to the proceedings, unless the parties otherwise agree.</w:t>
      </w:r>
    </w:p>
    <w:p>
      <w:pPr>
        <w:pStyle w:val="Subsection"/>
      </w:pPr>
      <w:r>
        <w:tab/>
        <w:t>(4)</w:t>
      </w:r>
      <w:r>
        <w:tab/>
        <w:t xml:space="preserve">If, in relation to the hearing of proceedings before the Board — </w:t>
      </w:r>
    </w:p>
    <w:p>
      <w:pPr>
        <w:pStyle w:val="Indenta"/>
      </w:pPr>
      <w:r>
        <w:tab/>
        <w:t>(a)</w:t>
      </w:r>
      <w:r>
        <w:tab/>
        <w:t>a party to the proceedings who was present at a conference objects to the member of the Board who presided over the conference participating in the proceedings; and</w:t>
      </w:r>
    </w:p>
    <w:p>
      <w:pPr>
        <w:pStyle w:val="Indenta"/>
      </w:pPr>
      <w:r>
        <w:tab/>
        <w:t>(b)</w:t>
      </w:r>
      <w:r>
        <w:tab/>
        <w:t>that party notifies the Board of that objection before or at the start of the hearing,</w:t>
      </w:r>
    </w:p>
    <w:p>
      <w:pPr>
        <w:pStyle w:val="Subsection"/>
      </w:pPr>
      <w:r>
        <w:lastRenderedPageBreak/>
        <w:tab/>
      </w:r>
      <w:r>
        <w:tab/>
        <w:t>the member is not entitled to be a member of the Board constituted for the purposes of the proceedings.</w:t>
      </w:r>
    </w:p>
    <w:p>
      <w:pPr>
        <w:pStyle w:val="Footnotesection"/>
      </w:pPr>
      <w:r>
        <w:tab/>
        <w:t>[Regulation 31 inserted: Gazette 28 Jun 2013 p. 2947-8.]</w:t>
      </w:r>
    </w:p>
    <w:p>
      <w:pPr>
        <w:pStyle w:val="Heading5"/>
      </w:pPr>
      <w:bookmarkStart w:id="48" w:name="_Toc155081667"/>
      <w:r>
        <w:rPr>
          <w:rStyle w:val="CharSectno"/>
        </w:rPr>
        <w:t>32</w:t>
      </w:r>
      <w:r>
        <w:t>.</w:t>
      </w:r>
      <w:r>
        <w:tab/>
        <w:t>Parties to proceedings</w:t>
      </w:r>
      <w:bookmarkEnd w:id="48"/>
    </w:p>
    <w:p>
      <w:pPr>
        <w:pStyle w:val="Subsection"/>
      </w:pPr>
      <w:r>
        <w:tab/>
        <w:t>(1)</w:t>
      </w:r>
      <w:r>
        <w:tab/>
        <w:t xml:space="preserve">If a party to proceedings before the Board has had reasonable notice of the proceedings and fails, without reasonable excuse, either to appear at a conference or at the hearing of the proceedings, the Board may — </w:t>
      </w:r>
    </w:p>
    <w:p>
      <w:pPr>
        <w:pStyle w:val="Indenta"/>
      </w:pPr>
      <w:r>
        <w:tab/>
        <w:t>(a)</w:t>
      </w:r>
      <w:r>
        <w:tab/>
        <w:t>if the only other party to the proceedings is the person who made the reviewable decision — dismiss the application concerned; or</w:t>
      </w:r>
    </w:p>
    <w:p>
      <w:pPr>
        <w:pStyle w:val="Indenta"/>
      </w:pPr>
      <w:r>
        <w:tab/>
        <w:t>(b)</w:t>
      </w:r>
      <w:r>
        <w:tab/>
        <w:t>in any other case — direct that the person who failed to appear ceases to be a party to the proceedings.</w:t>
      </w:r>
    </w:p>
    <w:p>
      <w:pPr>
        <w:pStyle w:val="Subsection"/>
      </w:pPr>
      <w:r>
        <w:tab/>
        <w:t>(2)</w:t>
      </w:r>
      <w:r>
        <w:tab/>
        <w:t>If an application has been made by a person for review of a reviewable decision, any other person whose interests are adversely affected by the decision may apply to the Board to be made a party to the proceedings and the Board may, by order, make the person a party to the proceedings.</w:t>
      </w:r>
    </w:p>
    <w:p>
      <w:pPr>
        <w:pStyle w:val="Subsection"/>
      </w:pPr>
      <w:r>
        <w:tab/>
        <w:t>(3)</w:t>
      </w:r>
      <w:r>
        <w:tab/>
        <w:t xml:space="preserve">An application under subregulation (2)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proceedings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32 inserted: Gazette 28 Jun 2013 p. 2948-9.]</w:t>
      </w:r>
    </w:p>
    <w:p>
      <w:pPr>
        <w:pStyle w:val="Heading3"/>
      </w:pPr>
      <w:bookmarkStart w:id="49" w:name="_Toc155081668"/>
      <w:r>
        <w:rPr>
          <w:rStyle w:val="CharDivNo"/>
        </w:rPr>
        <w:lastRenderedPageBreak/>
        <w:t>Division 2</w:t>
      </w:r>
      <w:r>
        <w:t> — </w:t>
      </w:r>
      <w:r>
        <w:rPr>
          <w:rStyle w:val="CharDivText"/>
        </w:rPr>
        <w:t>Arbitrator and Board funding</w:t>
      </w:r>
      <w:bookmarkEnd w:id="49"/>
    </w:p>
    <w:p>
      <w:pPr>
        <w:pStyle w:val="Footnoteheading"/>
        <w:keepNext/>
      </w:pPr>
      <w:r>
        <w:tab/>
        <w:t>[Heading inserted: Gazette 28 Jun 2013 p. 2949.]</w:t>
      </w:r>
    </w:p>
    <w:p>
      <w:pPr>
        <w:pStyle w:val="Heading5"/>
      </w:pPr>
      <w:bookmarkStart w:id="50" w:name="_Toc155081669"/>
      <w:r>
        <w:rPr>
          <w:rStyle w:val="CharSectno"/>
        </w:rPr>
        <w:t>33</w:t>
      </w:r>
      <w:r>
        <w:t>.</w:t>
      </w:r>
      <w:r>
        <w:tab/>
        <w:t>Terms used</w:t>
      </w:r>
      <w:bookmarkEnd w:id="50"/>
    </w:p>
    <w:p>
      <w:pPr>
        <w:pStyle w:val="Subsection"/>
      </w:pPr>
      <w:r>
        <w:tab/>
      </w:r>
      <w:r>
        <w:tab/>
        <w:t xml:space="preserve">In this Division — </w:t>
      </w:r>
    </w:p>
    <w:p>
      <w:pPr>
        <w:pStyle w:val="Defstart"/>
      </w:pPr>
      <w:r>
        <w:tab/>
      </w:r>
      <w:r>
        <w:rPr>
          <w:rStyle w:val="CharDefText"/>
        </w:rPr>
        <w:t>assessment amount</w:t>
      </w:r>
      <w:r>
        <w:t xml:space="preserve"> means the amount payable as specified in a notice of assessment under regulation 34(3)(b);</w:t>
      </w:r>
    </w:p>
    <w:p>
      <w:pPr>
        <w:pStyle w:val="Defstart"/>
        <w:keepNext/>
      </w:pPr>
      <w:r>
        <w:tab/>
      </w:r>
      <w:r>
        <w:rPr>
          <w:rStyle w:val="CharDefText"/>
        </w:rPr>
        <w:t>core functions costs</w:t>
      </w:r>
      <w:r>
        <w:t xml:space="preserve">, for a quarter, means costs that — </w:t>
      </w:r>
    </w:p>
    <w:p>
      <w:pPr>
        <w:pStyle w:val="Defpara"/>
      </w:pPr>
      <w:r>
        <w:tab/>
        <w:t>(a)</w:t>
      </w:r>
      <w:r>
        <w:tab/>
        <w:t xml:space="preserve">are incurred in the quarter in connection with the performance by the Arbitrator of the Arbitrator’s functions under the </w:t>
      </w:r>
      <w:r>
        <w:rPr>
          <w:i/>
        </w:rPr>
        <w:t>Energy Arbitration and Review Act 1998</w:t>
      </w:r>
      <w:r>
        <w:t xml:space="preserve"> in relation to the Board’s functions under this Part; and</w:t>
      </w:r>
    </w:p>
    <w:p>
      <w:pPr>
        <w:pStyle w:val="Defpara"/>
      </w:pPr>
      <w:r>
        <w:tab/>
        <w:t>(b)</w:t>
      </w:r>
      <w:r>
        <w:tab/>
        <w:t>cannot be recovered under regulation 35;</w:t>
      </w:r>
    </w:p>
    <w:p>
      <w:pPr>
        <w:pStyle w:val="Defstart"/>
      </w:pPr>
      <w:r>
        <w:tab/>
      </w:r>
      <w:r>
        <w:rPr>
          <w:rStyle w:val="CharDefText"/>
        </w:rPr>
        <w:t>determined costs</w:t>
      </w:r>
      <w:r>
        <w:t xml:space="preserve"> means an amount determined by the Board under regulation 35 to be payable by a party to proceedings;</w:t>
      </w:r>
    </w:p>
    <w:p>
      <w:pPr>
        <w:pStyle w:val="Defstart"/>
      </w:pPr>
      <w:r>
        <w:tab/>
      </w:r>
      <w:r>
        <w:rPr>
          <w:rStyle w:val="CharDefText"/>
        </w:rPr>
        <w:t>proceedings</w:t>
      </w:r>
      <w:r>
        <w:t xml:space="preserve"> includes proceedings that are commenced but discontinued or otherwise not brought to finality;</w:t>
      </w:r>
    </w:p>
    <w:p>
      <w:pPr>
        <w:pStyle w:val="Defstart"/>
      </w:pPr>
      <w:r>
        <w:tab/>
      </w:r>
      <w:r>
        <w:rPr>
          <w:rStyle w:val="CharDefText"/>
        </w:rPr>
        <w:t>quarter</w:t>
      </w:r>
      <w:r>
        <w:t xml:space="preserve"> means a period of 3 months beginning on 1 July, 1 October, 1 January or 1 April, but does not include a quarter beginning before 1 July 2013;</w:t>
      </w:r>
    </w:p>
    <w:p>
      <w:pPr>
        <w:pStyle w:val="Defstart"/>
      </w:pPr>
      <w:r>
        <w:tab/>
      </w:r>
      <w:r>
        <w:rPr>
          <w:rStyle w:val="CharDefText"/>
        </w:rPr>
        <w:t>standing charge</w:t>
      </w:r>
      <w:r>
        <w:t xml:space="preserve"> means a charge under regulation 34.</w:t>
      </w:r>
    </w:p>
    <w:p>
      <w:pPr>
        <w:pStyle w:val="Footnotesection"/>
      </w:pPr>
      <w:r>
        <w:tab/>
        <w:t>[Regulation 33 inserted: Gazette 28 Jun 2013 p. 2949-50.]</w:t>
      </w:r>
    </w:p>
    <w:p>
      <w:pPr>
        <w:pStyle w:val="Heading5"/>
      </w:pPr>
      <w:bookmarkStart w:id="51" w:name="_Toc155081670"/>
      <w:r>
        <w:rPr>
          <w:rStyle w:val="CharSectno"/>
        </w:rPr>
        <w:t>34</w:t>
      </w:r>
      <w:r>
        <w:t>.</w:t>
      </w:r>
      <w:r>
        <w:tab/>
        <w:t>Arbitrator funding: standing charges</w:t>
      </w:r>
      <w:bookmarkEnd w:id="51"/>
    </w:p>
    <w:p>
      <w:pPr>
        <w:pStyle w:val="Subsection"/>
      </w:pPr>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functions under this Part.</w:t>
      </w:r>
    </w:p>
    <w:p>
      <w:pPr>
        <w:pStyle w:val="Subsection"/>
      </w:pPr>
      <w:r>
        <w:tab/>
        <w:t>(2)</w:t>
      </w:r>
      <w:r>
        <w:tab/>
        <w:t>The amount of the charge is the amount of the core functions costs for the quarter.</w:t>
      </w:r>
    </w:p>
    <w:p>
      <w:pPr>
        <w:pStyle w:val="Subsection"/>
      </w:pPr>
      <w:r>
        <w:lastRenderedPageBreak/>
        <w:tab/>
        <w:t>(3)</w:t>
      </w:r>
      <w:r>
        <w:tab/>
        <w:t xml:space="preserve">As soon as is practicable after the end of each quarter the Arbitrator must — </w:t>
      </w:r>
    </w:p>
    <w:p>
      <w:pPr>
        <w:pStyle w:val="Indenta"/>
      </w:pPr>
      <w:r>
        <w:tab/>
        <w:t>(a)</w:t>
      </w:r>
      <w:r>
        <w:tab/>
        <w:t>assess the standing charge payable; and</w:t>
      </w:r>
    </w:p>
    <w:p>
      <w:pPr>
        <w:pStyle w:val="Indenta"/>
      </w:pPr>
      <w:r>
        <w:tab/>
        <w:t>(b)</w:t>
      </w:r>
      <w:r>
        <w:tab/>
        <w:t xml:space="preserve">give a notice of assessment specifying — </w:t>
      </w:r>
    </w:p>
    <w:p>
      <w:pPr>
        <w:pStyle w:val="Indenti"/>
      </w:pPr>
      <w:r>
        <w:tab/>
        <w:t>(i)</w:t>
      </w:r>
      <w:r>
        <w:tab/>
        <w:t>the amount of the charge payable; and</w:t>
      </w:r>
    </w:p>
    <w:p>
      <w:pPr>
        <w:pStyle w:val="Indenti"/>
      </w:pPr>
      <w:r>
        <w:tab/>
        <w:t>(ii)</w:t>
      </w:r>
      <w:r>
        <w:tab/>
        <w:t>the core functions costs used in calculating the charge; and</w:t>
      </w:r>
    </w:p>
    <w:p>
      <w:pPr>
        <w:pStyle w:val="Indenti"/>
      </w:pPr>
      <w:r>
        <w:tab/>
        <w:t>(iii)</w:t>
      </w:r>
      <w:r>
        <w:tab/>
        <w:t>the day on which the notice of assessment was issued.</w:t>
      </w:r>
    </w:p>
    <w:p>
      <w:pPr>
        <w:pStyle w:val="Footnotesection"/>
        <w:spacing w:before="100"/>
      </w:pPr>
      <w:r>
        <w:tab/>
        <w:t>[Regulation 34 inserted: Gazette 28 Jun 2013 p. 2950.]</w:t>
      </w:r>
    </w:p>
    <w:p>
      <w:pPr>
        <w:pStyle w:val="Heading5"/>
      </w:pPr>
      <w:bookmarkStart w:id="52" w:name="_Toc155081671"/>
      <w:r>
        <w:rPr>
          <w:rStyle w:val="CharSectno"/>
        </w:rPr>
        <w:t>35</w:t>
      </w:r>
      <w:r>
        <w:t>.</w:t>
      </w:r>
      <w:r>
        <w:tab/>
        <w:t>Costs and expenses of proceedings before Board</w:t>
      </w:r>
      <w:bookmarkEnd w:id="52"/>
    </w:p>
    <w:p>
      <w:pPr>
        <w:pStyle w:val="Subsection"/>
      </w:pPr>
      <w:r>
        <w:tab/>
        <w:t>(1)</w:t>
      </w:r>
      <w:r>
        <w:tab/>
        <w:t>The Board may fix an amount that represents the cost and expenses of the hearing and determination of particular proceedings before it.</w:t>
      </w:r>
    </w:p>
    <w:p>
      <w:pPr>
        <w:pStyle w:val="Subsection"/>
      </w:pPr>
      <w:r>
        <w:tab/>
        <w:t>(2)</w:t>
      </w:r>
      <w:r>
        <w:tab/>
        <w:t xml:space="preserve">Without limiting subregulation (1), the cost and expenses of the hearing and determination of particular proceedings include — </w:t>
      </w:r>
    </w:p>
    <w:p>
      <w:pPr>
        <w:pStyle w:val="Indenta"/>
        <w:spacing w:before="70"/>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pPr>
        <w:pStyle w:val="Indenta"/>
        <w:spacing w:before="70"/>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pPr>
        <w:pStyle w:val="Subsection"/>
      </w:pPr>
      <w:r>
        <w:tab/>
        <w:t>(3)</w:t>
      </w:r>
      <w:r>
        <w:tab/>
        <w:t xml:space="preserve">The Board may determine — </w:t>
      </w:r>
    </w:p>
    <w:p>
      <w:pPr>
        <w:pStyle w:val="Indenta"/>
        <w:spacing w:before="70"/>
      </w:pPr>
      <w:r>
        <w:tab/>
        <w:t>(a)</w:t>
      </w:r>
      <w:r>
        <w:tab/>
        <w:t>which of the parties to the proceedings is liable for payment of the whole or any part of an amount fixed under subregulation (1); and</w:t>
      </w:r>
    </w:p>
    <w:p>
      <w:pPr>
        <w:pStyle w:val="Indenta"/>
        <w:spacing w:before="70"/>
      </w:pPr>
      <w:r>
        <w:tab/>
        <w:t>(b)</w:t>
      </w:r>
      <w:r>
        <w:tab/>
        <w:t>the manner in which, and time within which, payment is to be made.</w:t>
      </w:r>
    </w:p>
    <w:p>
      <w:pPr>
        <w:pStyle w:val="Subsection"/>
      </w:pPr>
      <w:r>
        <w:lastRenderedPageBreak/>
        <w:tab/>
        <w:t>(4)</w:t>
      </w:r>
      <w:r>
        <w:tab/>
        <w:t>A party to proceedings must pay any amount determined by the Board to be payable by the person in the manner and within the time determined by the Board.</w:t>
      </w:r>
    </w:p>
    <w:p>
      <w:pPr>
        <w:pStyle w:val="Footnotesection"/>
        <w:spacing w:before="100"/>
      </w:pPr>
      <w:r>
        <w:tab/>
        <w:t>[Regulation 35 inserted: Gazette 28 Jun 2013 p. 2950-1.]</w:t>
      </w:r>
    </w:p>
    <w:p>
      <w:pPr>
        <w:pStyle w:val="Heading5"/>
      </w:pPr>
      <w:bookmarkStart w:id="53" w:name="_Toc155081672"/>
      <w:r>
        <w:rPr>
          <w:rStyle w:val="CharSectno"/>
        </w:rPr>
        <w:t>36</w:t>
      </w:r>
      <w:r>
        <w:t>.</w:t>
      </w:r>
      <w:r>
        <w:tab/>
        <w:t>Recovery of unpaid amounts</w:t>
      </w:r>
      <w:bookmarkEnd w:id="53"/>
    </w:p>
    <w:p>
      <w:pPr>
        <w:pStyle w:val="Subsection"/>
      </w:pPr>
      <w:r>
        <w:tab/>
        <w:t>(1)</w:t>
      </w:r>
      <w:r>
        <w:tab/>
        <w:t xml:space="preserve">The Arbitrator may recover — </w:t>
      </w:r>
    </w:p>
    <w:p>
      <w:pPr>
        <w:pStyle w:val="Indenta"/>
        <w:spacing w:before="70"/>
      </w:pPr>
      <w:r>
        <w:tab/>
        <w:t>(a)</w:t>
      </w:r>
      <w:r>
        <w:tab/>
        <w:t>any unpaid assessment amount; or</w:t>
      </w:r>
    </w:p>
    <w:p>
      <w:pPr>
        <w:pStyle w:val="Indenta"/>
      </w:pPr>
      <w:r>
        <w:tab/>
        <w:t>(b)</w:t>
      </w:r>
      <w:r>
        <w:tab/>
        <w:t>any unpaid determined costs,</w:t>
      </w:r>
    </w:p>
    <w:p>
      <w:pPr>
        <w:pStyle w:val="Subsection"/>
      </w:pPr>
      <w:r>
        <w:tab/>
      </w:r>
      <w:r>
        <w:tab/>
        <w:t>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or determined costs; and</w:t>
      </w:r>
    </w:p>
    <w:p>
      <w:pPr>
        <w:pStyle w:val="Indenta"/>
      </w:pPr>
      <w:r>
        <w:tab/>
        <w:t>(c)</w:t>
      </w:r>
      <w:r>
        <w:tab/>
        <w:t>specifying a person as being liable to pay the specified amount; and</w:t>
      </w:r>
    </w:p>
    <w:p>
      <w:pPr>
        <w:pStyle w:val="Indenta"/>
      </w:pPr>
      <w:r>
        <w:tab/>
        <w:t>(d)</w:t>
      </w:r>
      <w:r>
        <w:tab/>
        <w:t>stating that the specified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36 inserted: Gazette 28 Jun 2013 p. 2951-2.]</w:t>
      </w:r>
    </w:p>
    <w:p>
      <w:pPr>
        <w:pStyle w:val="Heading5"/>
      </w:pPr>
      <w:bookmarkStart w:id="54" w:name="_Toc155081673"/>
      <w:r>
        <w:rPr>
          <w:rStyle w:val="CharSectno"/>
        </w:rPr>
        <w:t>37</w:t>
      </w:r>
      <w:r>
        <w:t>.</w:t>
      </w:r>
      <w:r>
        <w:tab/>
        <w:t>Matters to be included in Arbitrator’s annual report</w:t>
      </w:r>
      <w:bookmarkEnd w:id="54"/>
    </w:p>
    <w:p>
      <w:pPr>
        <w:pStyle w:val="Subsection"/>
      </w:pPr>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core functions costs;</w:t>
      </w:r>
    </w:p>
    <w:p>
      <w:pPr>
        <w:pStyle w:val="Indenta"/>
      </w:pPr>
      <w:r>
        <w:tab/>
        <w:t>(b)</w:t>
      </w:r>
      <w:r>
        <w:tab/>
        <w:t>the total amount of standing charges;</w:t>
      </w:r>
    </w:p>
    <w:p>
      <w:pPr>
        <w:pStyle w:val="Indenta"/>
        <w:keepNext/>
      </w:pPr>
      <w:r>
        <w:lastRenderedPageBreak/>
        <w:tab/>
        <w:t>(c)</w:t>
      </w:r>
      <w:r>
        <w:tab/>
        <w:t>the total determined costs.</w:t>
      </w:r>
    </w:p>
    <w:p>
      <w:pPr>
        <w:pStyle w:val="Footnotesection"/>
      </w:pPr>
      <w:r>
        <w:tab/>
        <w:t>[Regulation 37 inserted: Gazette 28 Jun 2013 p. 2952.]</w:t>
      </w:r>
    </w:p>
    <w:p>
      <w:pPr>
        <w:pStyle w:val="Heading2"/>
      </w:pPr>
      <w:bookmarkStart w:id="55" w:name="_Toc155081674"/>
      <w:r>
        <w:rPr>
          <w:rStyle w:val="CharPartNo"/>
        </w:rPr>
        <w:lastRenderedPageBreak/>
        <w:t>Part 7</w:t>
      </w:r>
      <w:r>
        <w:rPr>
          <w:rStyle w:val="CharDivNo"/>
        </w:rPr>
        <w:t> </w:t>
      </w:r>
      <w:r>
        <w:t>—</w:t>
      </w:r>
      <w:r>
        <w:rPr>
          <w:rStyle w:val="CharDivText"/>
          <w:snapToGrid/>
          <w:sz w:val="26"/>
        </w:rPr>
        <w:t> </w:t>
      </w:r>
      <w:r>
        <w:rPr>
          <w:rStyle w:val="CharPartText"/>
        </w:rPr>
        <w:t>Protection of information</w:t>
      </w:r>
      <w:bookmarkEnd w:id="55"/>
    </w:p>
    <w:p>
      <w:pPr>
        <w:pStyle w:val="Footnoteheading"/>
      </w:pPr>
      <w:r>
        <w:tab/>
        <w:t>[Heading inserted: Gazette 28 Jun 2013 p. 2952.]</w:t>
      </w:r>
    </w:p>
    <w:p>
      <w:pPr>
        <w:pStyle w:val="Ednotesection"/>
      </w:pPr>
      <w:r>
        <w:t>[</w:t>
      </w:r>
      <w:r>
        <w:rPr>
          <w:b/>
        </w:rPr>
        <w:t>38A.</w:t>
      </w:r>
      <w:r>
        <w:tab/>
        <w:t>Deleted: Gazette 27 Jul 2018 p. 2689.]</w:t>
      </w:r>
    </w:p>
    <w:p>
      <w:pPr>
        <w:pStyle w:val="Heading5"/>
        <w:spacing w:before="240"/>
      </w:pPr>
      <w:bookmarkStart w:id="56" w:name="_Toc155081675"/>
      <w:r>
        <w:rPr>
          <w:rStyle w:val="CharSectno"/>
        </w:rPr>
        <w:t>38</w:t>
      </w:r>
      <w:r>
        <w:t>.</w:t>
      </w:r>
      <w:r>
        <w:tab/>
        <w:t>Protection of protected information</w:t>
      </w:r>
      <w:bookmarkEnd w:id="56"/>
    </w:p>
    <w:p>
      <w:pPr>
        <w:pStyle w:val="Subsection"/>
      </w:pPr>
      <w:r>
        <w:tab/>
        <w:t>(1)</w:t>
      </w:r>
      <w:r>
        <w:tab/>
        <w:t>The operator must take all reasonable measures to protect protected information from unauthorised use or disclosure.</w:t>
      </w:r>
    </w:p>
    <w:p>
      <w:pPr>
        <w:pStyle w:val="Subsection"/>
      </w:pPr>
      <w:r>
        <w:tab/>
        <w:t>(2)</w:t>
      </w:r>
      <w:r>
        <w:tab/>
        <w:t>The operator may use or disclose protected information if the use or disclosure is authorised or required under the Act.</w:t>
      </w:r>
    </w:p>
    <w:p>
      <w:pPr>
        <w:pStyle w:val="Subsection"/>
      </w:pPr>
      <w:r>
        <w:tab/>
        <w:t>(3)</w:t>
      </w:r>
      <w:r>
        <w:tab/>
        <w:t>Regulations 39 to 42 do not limit subregulation (2).</w:t>
      </w:r>
    </w:p>
    <w:p>
      <w:pPr>
        <w:pStyle w:val="Footnotesection"/>
      </w:pPr>
      <w:r>
        <w:tab/>
        <w:t>[Regulation 38 inserted: Gazette 28 Jun 2013 p. 2952.]</w:t>
      </w:r>
    </w:p>
    <w:p>
      <w:pPr>
        <w:pStyle w:val="Heading5"/>
        <w:spacing w:before="240"/>
      </w:pPr>
      <w:bookmarkStart w:id="57" w:name="_Toc155081676"/>
      <w:r>
        <w:rPr>
          <w:rStyle w:val="CharSectno"/>
        </w:rPr>
        <w:t>39</w:t>
      </w:r>
      <w:r>
        <w:t>.</w:t>
      </w:r>
      <w:r>
        <w:tab/>
        <w:t>Disclosure with prior written consent</w:t>
      </w:r>
      <w:bookmarkEnd w:id="57"/>
    </w:p>
    <w:p>
      <w:pPr>
        <w:pStyle w:val="Subsection"/>
      </w:pPr>
      <w:r>
        <w:tab/>
      </w:r>
      <w:r>
        <w:tab/>
        <w:t>The operator is authorised to disclose protected information if it has the written consent of the person from whom the information was obtained.</w:t>
      </w:r>
    </w:p>
    <w:p>
      <w:pPr>
        <w:pStyle w:val="Footnotesection"/>
      </w:pPr>
      <w:r>
        <w:tab/>
        <w:t>[Regulation 39 inserted: Gazette 28 Jun 2013 p. 2953.]</w:t>
      </w:r>
    </w:p>
    <w:p>
      <w:pPr>
        <w:pStyle w:val="Heading5"/>
        <w:spacing w:before="240"/>
      </w:pPr>
      <w:bookmarkStart w:id="58" w:name="_Toc155081677"/>
      <w:r>
        <w:rPr>
          <w:rStyle w:val="CharSectno"/>
        </w:rPr>
        <w:t>40</w:t>
      </w:r>
      <w:r>
        <w:t>.</w:t>
      </w:r>
      <w:r>
        <w:tab/>
        <w:t>Disclosure authorised or required by law</w:t>
      </w:r>
      <w:bookmarkEnd w:id="58"/>
    </w:p>
    <w:p>
      <w:pPr>
        <w:pStyle w:val="Subsection"/>
      </w:pPr>
      <w:r>
        <w:tab/>
        <w:t>(1)</w:t>
      </w:r>
      <w:r>
        <w:tab/>
        <w:t>The operator is authorised to disclose protected information as authorised or required under a written law, or a law of the Commonwealth, a State or a Territory.</w:t>
      </w:r>
    </w:p>
    <w:p>
      <w:pPr>
        <w:pStyle w:val="Subsection"/>
      </w:pPr>
      <w:r>
        <w:tab/>
        <w:t>(2)</w:t>
      </w:r>
      <w:r>
        <w:tab/>
        <w:t>A person or body to whom protected information is disclosed under subregulation (1) is, to the extent consistent with the law, limited to using the information in connection with the performance of the functions, or the exercise of the powers, of the person or body for the purposes of which the information was disclosed.</w:t>
      </w:r>
    </w:p>
    <w:p>
      <w:pPr>
        <w:pStyle w:val="Footnotesection"/>
      </w:pPr>
      <w:r>
        <w:tab/>
        <w:t>[Regulation 40 inserted: Gazette 28 Jun 2013 p. 2953.]</w:t>
      </w:r>
    </w:p>
    <w:p>
      <w:pPr>
        <w:pStyle w:val="Heading5"/>
      </w:pPr>
      <w:bookmarkStart w:id="59" w:name="_Toc155081678"/>
      <w:r>
        <w:rPr>
          <w:rStyle w:val="CharSectno"/>
        </w:rPr>
        <w:lastRenderedPageBreak/>
        <w:t>41</w:t>
      </w:r>
      <w:r>
        <w:t>.</w:t>
      </w:r>
      <w:r>
        <w:tab/>
        <w:t>Disclosure for purposes of proceedings before court or tribunal</w:t>
      </w:r>
      <w:bookmarkEnd w:id="59"/>
    </w:p>
    <w:p>
      <w:pPr>
        <w:pStyle w:val="Subsection"/>
      </w:pPr>
      <w:r>
        <w:tab/>
      </w:r>
      <w:r>
        <w:tab/>
        <w:t xml:space="preserve">The operator is authorised to disclose protected information for the purposes of — </w:t>
      </w:r>
    </w:p>
    <w:p>
      <w:pPr>
        <w:pStyle w:val="Indenta"/>
      </w:pPr>
      <w:r>
        <w:tab/>
        <w:t>(a)</w:t>
      </w:r>
      <w:r>
        <w:tab/>
        <w:t>civil or criminal proceedings; or</w:t>
      </w:r>
    </w:p>
    <w:p>
      <w:pPr>
        <w:pStyle w:val="Indenta"/>
      </w:pPr>
      <w:r>
        <w:tab/>
        <w:t>(b)</w:t>
      </w:r>
      <w:r>
        <w:tab/>
        <w:t>proceedings before a tribunal established by or under a written law or a law of the Commonwealth, a State or a Territory.</w:t>
      </w:r>
    </w:p>
    <w:p>
      <w:pPr>
        <w:pStyle w:val="Footnotesection"/>
      </w:pPr>
      <w:r>
        <w:tab/>
        <w:t>[Regulation 41 inserted: Gazette 28 Jun 2013 p. 2953.]</w:t>
      </w:r>
    </w:p>
    <w:p>
      <w:pPr>
        <w:pStyle w:val="Heading5"/>
      </w:pPr>
      <w:bookmarkStart w:id="60" w:name="_Toc155081679"/>
      <w:r>
        <w:rPr>
          <w:rStyle w:val="CharSectno"/>
        </w:rPr>
        <w:t>42</w:t>
      </w:r>
      <w:r>
        <w:t>.</w:t>
      </w:r>
      <w:r>
        <w:tab/>
        <w:t>Other grounds for disclosure</w:t>
      </w:r>
      <w:bookmarkEnd w:id="60"/>
    </w:p>
    <w:p>
      <w:pPr>
        <w:pStyle w:val="Subsection"/>
      </w:pPr>
      <w:r>
        <w:tab/>
        <w:t>(1)</w:t>
      </w:r>
      <w:r>
        <w:tab/>
        <w:t>If a document contains both protected information and other information, the operator is authorised to disclose the document if the protected information is omitted.</w:t>
      </w:r>
    </w:p>
    <w:p>
      <w:pPr>
        <w:pStyle w:val="Subsection"/>
      </w:pPr>
      <w:r>
        <w:tab/>
        <w:t>(2)</w:t>
      </w:r>
      <w:r>
        <w:tab/>
        <w:t>The operator must include a note at the place in the document from which the protected information is omitted to the effect that protected information has been omitted from the document.</w:t>
      </w:r>
    </w:p>
    <w:p>
      <w:pPr>
        <w:pStyle w:val="Subsection"/>
      </w:pPr>
      <w:r>
        <w:tab/>
        <w:t>(3)</w:t>
      </w:r>
      <w:r>
        <w:tab/>
        <w:t xml:space="preserve">The operator is authorised to disclose protected information if — </w:t>
      </w:r>
    </w:p>
    <w:p>
      <w:pPr>
        <w:pStyle w:val="Indenta"/>
      </w:pPr>
      <w:r>
        <w:tab/>
        <w:t>(a)</w:t>
      </w:r>
      <w:r>
        <w:tab/>
        <w:t>it does not disclose any elements of the information that could lead to the identification of the person to whom the information relates; or</w:t>
      </w:r>
    </w:p>
    <w:p>
      <w:pPr>
        <w:pStyle w:val="Indenta"/>
      </w:pPr>
      <w:r>
        <w:tab/>
        <w:t>(b)</w:t>
      </w:r>
      <w:r>
        <w:tab/>
        <w:t>the manner in which it discloses the information does not identify the person to whom that information relates and could not reasonably be expected to lead to the person being identified.</w:t>
      </w:r>
    </w:p>
    <w:p>
      <w:pPr>
        <w:pStyle w:val="Subsection"/>
      </w:pPr>
      <w:r>
        <w:tab/>
        <w:t>(4)</w:t>
      </w:r>
      <w:r>
        <w:tab/>
        <w:t>The operator is authorised to disclose protected information if the information is in the public domain.</w:t>
      </w:r>
    </w:p>
    <w:p>
      <w:pPr>
        <w:pStyle w:val="Footnotesection"/>
      </w:pPr>
      <w:r>
        <w:tab/>
        <w:t>[Regulation 42 inserted: Gazette 28 Jun 2013 p. 2953-4.]</w:t>
      </w:r>
    </w:p>
    <w:p>
      <w:pPr>
        <w:pStyle w:val="Heading2"/>
      </w:pPr>
      <w:bookmarkStart w:id="61" w:name="_Toc155081680"/>
      <w:r>
        <w:rPr>
          <w:rStyle w:val="CharPartNo"/>
        </w:rPr>
        <w:lastRenderedPageBreak/>
        <w:t>Part 8</w:t>
      </w:r>
      <w:r>
        <w:rPr>
          <w:rStyle w:val="CharDivNo"/>
        </w:rPr>
        <w:t> </w:t>
      </w:r>
      <w:r>
        <w:t>—</w:t>
      </w:r>
      <w:r>
        <w:rPr>
          <w:rStyle w:val="CharDivText"/>
          <w:snapToGrid/>
          <w:sz w:val="26"/>
        </w:rPr>
        <w:t> </w:t>
      </w:r>
      <w:r>
        <w:rPr>
          <w:rStyle w:val="CharPartText"/>
        </w:rPr>
        <w:t>Accountability and review of operations</w:t>
      </w:r>
      <w:bookmarkEnd w:id="61"/>
    </w:p>
    <w:p>
      <w:pPr>
        <w:pStyle w:val="Footnoteheading"/>
        <w:spacing w:before="100"/>
      </w:pPr>
      <w:r>
        <w:tab/>
        <w:t>[Heading inserted: Gazette 28 Jun 2013 p. 2954.]</w:t>
      </w:r>
    </w:p>
    <w:p>
      <w:pPr>
        <w:pStyle w:val="Ednotesection"/>
      </w:pPr>
      <w:r>
        <w:t>[</w:t>
      </w:r>
      <w:r>
        <w:rPr>
          <w:b/>
        </w:rPr>
        <w:t>43</w:t>
      </w:r>
      <w:r>
        <w:rPr>
          <w:b/>
        </w:rPr>
        <w:noBreakHyphen/>
        <w:t>47.</w:t>
      </w:r>
      <w:r>
        <w:tab/>
        <w:t>Deleted: Gazette 27 Jul 2018 p. 2689.]</w:t>
      </w:r>
    </w:p>
    <w:p>
      <w:pPr>
        <w:pStyle w:val="Heading5"/>
      </w:pPr>
      <w:bookmarkStart w:id="62" w:name="_Toc155081681"/>
      <w:r>
        <w:rPr>
          <w:rStyle w:val="CharSectno"/>
        </w:rPr>
        <w:t>48A</w:t>
      </w:r>
      <w:r>
        <w:t>.</w:t>
      </w:r>
      <w:r>
        <w:tab/>
        <w:t>Provision of information and advice to Minister: operator’s functions</w:t>
      </w:r>
      <w:bookmarkEnd w:id="62"/>
    </w:p>
    <w:p>
      <w:pPr>
        <w:pStyle w:val="Subsection"/>
      </w:pPr>
      <w:r>
        <w:tab/>
        <w:t>(1)</w:t>
      </w:r>
      <w:r>
        <w:tab/>
        <w:t xml:space="preserve">The Minister may request the operator to — </w:t>
      </w:r>
    </w:p>
    <w:p>
      <w:pPr>
        <w:pStyle w:val="Indenta"/>
      </w:pPr>
      <w:r>
        <w:tab/>
        <w:t>(a)</w:t>
      </w:r>
      <w:r>
        <w:tab/>
        <w:t>provide information about the performance of its functions; or</w:t>
      </w:r>
    </w:p>
    <w:p>
      <w:pPr>
        <w:pStyle w:val="Indenta"/>
      </w:pPr>
      <w:r>
        <w:tab/>
        <w:t>(b)</w:t>
      </w:r>
      <w:r>
        <w:tab/>
        <w:t>provide advice, including advice in the nature of feasibility studies and consultancy services.</w:t>
      </w:r>
    </w:p>
    <w:p>
      <w:pPr>
        <w:pStyle w:val="Subsection"/>
      </w:pPr>
      <w:r>
        <w:tab/>
        <w:t>(2)</w:t>
      </w:r>
      <w:r>
        <w:tab/>
        <w:t>The operator must comply with a request.</w:t>
      </w:r>
    </w:p>
    <w:p>
      <w:pPr>
        <w:pStyle w:val="Subsection"/>
      </w:pPr>
      <w:r>
        <w:tab/>
        <w:t>(3)</w:t>
      </w:r>
      <w:r>
        <w:tab/>
        <w:t>Protected information provided in response to a request under subregulation (1) must be identified as such by the operator at the time of providing the information.</w:t>
      </w:r>
    </w:p>
    <w:p>
      <w:pPr>
        <w:pStyle w:val="Subsection"/>
      </w:pPr>
      <w:r>
        <w:tab/>
        <w:t>(4)</w:t>
      </w:r>
      <w:r>
        <w:tab/>
        <w:t>The costs of the operator in complying with a request under subregulation (1)(a) are not recoverable by way of fees and charges to be paid by registered gas market participants under the GSI rules.</w:t>
      </w:r>
    </w:p>
    <w:p>
      <w:pPr>
        <w:pStyle w:val="Footnotesection"/>
      </w:pPr>
      <w:r>
        <w:tab/>
        <w:t>[Regulation 48A inserted: Gazette 13 Nov 2015 p. 4641.]</w:t>
      </w:r>
    </w:p>
    <w:p>
      <w:pPr>
        <w:pStyle w:val="Heading5"/>
      </w:pPr>
      <w:bookmarkStart w:id="63" w:name="_Toc155081682"/>
      <w:r>
        <w:rPr>
          <w:rStyle w:val="CharSectno"/>
        </w:rPr>
        <w:t>48</w:t>
      </w:r>
      <w:r>
        <w:t>.</w:t>
      </w:r>
      <w:r>
        <w:tab/>
        <w:t>Review of GBB and GSOO</w:t>
      </w:r>
      <w:bookmarkEnd w:id="63"/>
    </w:p>
    <w:p>
      <w:pPr>
        <w:pStyle w:val="Subsection"/>
      </w:pPr>
      <w:r>
        <w:tab/>
        <w:t>(1)</w:t>
      </w:r>
      <w:r>
        <w:tab/>
        <w:t>The Minister may, after consulting with the operator, appoint a person to conduct a strategic review of the operation and content of the GBB and the preparation and content of the GSOO.</w:t>
      </w:r>
    </w:p>
    <w:p>
      <w:pPr>
        <w:pStyle w:val="Subsection"/>
      </w:pPr>
      <w:r>
        <w:tab/>
        <w:t>(2)</w:t>
      </w:r>
      <w:r>
        <w:tab/>
        <w:t xml:space="preserve">The operator must, for the purposes of subregulation (1) — </w:t>
      </w:r>
    </w:p>
    <w:p>
      <w:pPr>
        <w:pStyle w:val="Indenta"/>
      </w:pPr>
      <w:r>
        <w:tab/>
        <w:t>(a)</w:t>
      </w:r>
      <w:r>
        <w:tab/>
        <w:t>give the person access to information, including protected information, in the possession of the operator; and</w:t>
      </w:r>
    </w:p>
    <w:p>
      <w:pPr>
        <w:pStyle w:val="Indenta"/>
      </w:pPr>
      <w:r>
        <w:tab/>
        <w:t>(b)</w:t>
      </w:r>
      <w:r>
        <w:tab/>
        <w:t>give the person all reasonable assistance; and</w:t>
      </w:r>
    </w:p>
    <w:p>
      <w:pPr>
        <w:pStyle w:val="Indenta"/>
      </w:pPr>
      <w:r>
        <w:lastRenderedPageBreak/>
        <w:tab/>
        <w:t>(c)</w:t>
      </w:r>
      <w:r>
        <w:tab/>
        <w:t>make staff and facilities available to the person.</w:t>
      </w:r>
    </w:p>
    <w:p>
      <w:pPr>
        <w:pStyle w:val="Subsection"/>
      </w:pPr>
      <w:r>
        <w:tab/>
        <w:t>(3)</w:t>
      </w:r>
      <w:r>
        <w:tab/>
        <w:t xml:space="preserve">A person who conducts a strategic review cannot use or disclose protected information obtained during the course of the review other than — </w:t>
      </w:r>
    </w:p>
    <w:p>
      <w:pPr>
        <w:pStyle w:val="Indenta"/>
      </w:pPr>
      <w:r>
        <w:tab/>
        <w:t>(a)</w:t>
      </w:r>
      <w:r>
        <w:tab/>
        <w:t>for the purposes of the review; or</w:t>
      </w:r>
    </w:p>
    <w:p>
      <w:pPr>
        <w:pStyle w:val="Indenta"/>
      </w:pPr>
      <w:r>
        <w:tab/>
        <w:t>(b)</w:t>
      </w:r>
      <w:r>
        <w:tab/>
        <w:t>under regulation 40 or 41, which apply to the person as if references in those regulations to the operator were references to the person.</w:t>
      </w:r>
    </w:p>
    <w:p>
      <w:pPr>
        <w:pStyle w:val="Subsection"/>
      </w:pPr>
      <w:r>
        <w:tab/>
        <w:t>(4)</w:t>
      </w:r>
      <w:r>
        <w:tab/>
        <w:t xml:space="preserve">In the report to the Minister on a strategic review, the person conducting the review must not include protected information unless — </w:t>
      </w:r>
    </w:p>
    <w:p>
      <w:pPr>
        <w:pStyle w:val="Indenta"/>
      </w:pPr>
      <w:r>
        <w:tab/>
        <w:t>(a)</w:t>
      </w:r>
      <w:r>
        <w:tab/>
        <w:t>the person from whom the information was obtained has consented to the inclusion of the information in the report; or</w:t>
      </w:r>
    </w:p>
    <w:p>
      <w:pPr>
        <w:pStyle w:val="Indenta"/>
      </w:pPr>
      <w:r>
        <w:tab/>
        <w:t>(b)</w:t>
      </w:r>
      <w:r>
        <w:tab/>
        <w:t>it is included in such a way that the identity of the person to whom it relates is not apparent and could not reasonably be worked out; or</w:t>
      </w:r>
    </w:p>
    <w:p>
      <w:pPr>
        <w:pStyle w:val="Indenta"/>
      </w:pPr>
      <w:r>
        <w:tab/>
        <w:t>(c)</w:t>
      </w:r>
      <w:r>
        <w:tab/>
        <w:t>it is in the public domain.</w:t>
      </w:r>
    </w:p>
    <w:p>
      <w:pPr>
        <w:pStyle w:val="Subsection"/>
      </w:pPr>
      <w:r>
        <w:tab/>
        <w:t>(5)</w:t>
      </w:r>
      <w:r>
        <w:tab/>
        <w:t xml:space="preserve">The Minister may direct the operator to conduct a review of the operation and content of the GBB and the preparation and content of the GSOO and, as part of that, may direct the operator as to — </w:t>
      </w:r>
    </w:p>
    <w:p>
      <w:pPr>
        <w:pStyle w:val="Indenta"/>
      </w:pPr>
      <w:r>
        <w:tab/>
        <w:t>(a)</w:t>
      </w:r>
      <w:r>
        <w:tab/>
        <w:t>the scope of the review; and</w:t>
      </w:r>
    </w:p>
    <w:p>
      <w:pPr>
        <w:pStyle w:val="Indenta"/>
      </w:pPr>
      <w:r>
        <w:tab/>
        <w:t>(b)</w:t>
      </w:r>
      <w:r>
        <w:tab/>
        <w:t>consulting with gas market participants and other persons and entities; and</w:t>
      </w:r>
    </w:p>
    <w:p>
      <w:pPr>
        <w:pStyle w:val="Indenta"/>
      </w:pPr>
      <w:r>
        <w:tab/>
        <w:t>(c)</w:t>
      </w:r>
      <w:r>
        <w:tab/>
        <w:t>when the review should be undertaken; and</w:t>
      </w:r>
    </w:p>
    <w:p>
      <w:pPr>
        <w:pStyle w:val="Indenta"/>
      </w:pPr>
      <w:r>
        <w:tab/>
        <w:t>(d)</w:t>
      </w:r>
      <w:r>
        <w:tab/>
        <w:t>reporting to the Minister on the results of the review.</w:t>
      </w:r>
    </w:p>
    <w:p>
      <w:pPr>
        <w:pStyle w:val="Footnotesection"/>
      </w:pPr>
      <w:r>
        <w:tab/>
        <w:t>[Regulation 48 inserted: Gazette 28 Jun 2013 p. 2958-9.]</w:t>
      </w:r>
    </w:p>
    <w:p>
      <w:pPr>
        <w:pStyle w:val="Heading2"/>
      </w:pPr>
      <w:bookmarkStart w:id="64" w:name="_Toc155081683"/>
      <w:r>
        <w:rPr>
          <w:rStyle w:val="CharPartNo"/>
        </w:rPr>
        <w:lastRenderedPageBreak/>
        <w:t>Part 9</w:t>
      </w:r>
      <w:r>
        <w:rPr>
          <w:rStyle w:val="CharDivNo"/>
        </w:rPr>
        <w:t> </w:t>
      </w:r>
      <w:r>
        <w:t>—</w:t>
      </w:r>
      <w:r>
        <w:rPr>
          <w:rStyle w:val="CharDivText"/>
          <w:snapToGrid/>
          <w:sz w:val="26"/>
        </w:rPr>
        <w:t> </w:t>
      </w:r>
      <w:r>
        <w:rPr>
          <w:rStyle w:val="CharPartText"/>
        </w:rPr>
        <w:t>Miscellaneous</w:t>
      </w:r>
      <w:bookmarkEnd w:id="64"/>
    </w:p>
    <w:p>
      <w:pPr>
        <w:pStyle w:val="Footnoteheading"/>
      </w:pPr>
      <w:r>
        <w:tab/>
        <w:t>[Heading inserted: Gazette 28 Jun 2013 p. 2959.]</w:t>
      </w:r>
    </w:p>
    <w:p>
      <w:pPr>
        <w:pStyle w:val="Heading5"/>
      </w:pPr>
      <w:bookmarkStart w:id="65" w:name="_Toc155081684"/>
      <w:r>
        <w:rPr>
          <w:rStyle w:val="CharSectno"/>
        </w:rPr>
        <w:t>49</w:t>
      </w:r>
      <w:r>
        <w:t>.</w:t>
      </w:r>
      <w:r>
        <w:tab/>
        <w:t>Maximum civil monetary liabilities</w:t>
      </w:r>
      <w:bookmarkEnd w:id="65"/>
    </w:p>
    <w:p>
      <w:pPr>
        <w:pStyle w:val="Subsection"/>
      </w:pPr>
      <w:r>
        <w:tab/>
        <w:t>(1)</w:t>
      </w:r>
      <w:r>
        <w:tab/>
        <w:t xml:space="preserve">For the purposes of section 14(3) of the Act, the following maximum amounts are prescribed — </w:t>
      </w:r>
    </w:p>
    <w:p>
      <w:pPr>
        <w:pStyle w:val="Indenta"/>
      </w:pPr>
      <w:r>
        <w:tab/>
        <w:t>(a)</w:t>
      </w:r>
      <w:r>
        <w:tab/>
        <w:t xml:space="preserve">in relation to the civil monetary liability of a gas market participant to a person who suffers loss as a result of an act or omission, the lesser of — </w:t>
      </w:r>
    </w:p>
    <w:p>
      <w:pPr>
        <w:pStyle w:val="Indenti"/>
      </w:pPr>
      <w:r>
        <w:tab/>
        <w:t>(i)</w:t>
      </w:r>
      <w:r>
        <w:tab/>
        <w:t>$400 000; and</w:t>
      </w:r>
    </w:p>
    <w:p>
      <w:pPr>
        <w:pStyle w:val="Indenti"/>
      </w:pPr>
      <w:r>
        <w:tab/>
        <w:t>(ii)</w:t>
      </w:r>
      <w:r>
        <w:tab/>
        <w:t>the maximum amount worked out under subregulation (2);</w:t>
      </w:r>
    </w:p>
    <w:p>
      <w:pPr>
        <w:pStyle w:val="Indenta"/>
      </w:pPr>
      <w:r>
        <w:tab/>
        <w:t>(b)</w:t>
      </w:r>
      <w:r>
        <w:tab/>
        <w:t>in relation to the civil monetary liability of the operator or the IMO, or an officer or employee of the operator or the IMO, to a person who suffers loss as a result of an act or omission — $1.</w:t>
      </w:r>
    </w:p>
    <w:p>
      <w:pPr>
        <w:pStyle w:val="Subsection"/>
      </w:pPr>
      <w:r>
        <w:tab/>
        <w:t>(2)</w:t>
      </w:r>
      <w:r>
        <w:tab/>
        <w:t>The maximum amount of a person’s civil monetary liability under subregulation (1)(a) is worked out by deducting from $20 million the aggregate of the amounts already paid by the person in the discharge of the person’s civil monetary liabilities to persons suffering losses as a result of acts or omissions occurring during the financial year in which the relevant act or omission occurred.</w:t>
      </w:r>
    </w:p>
    <w:p>
      <w:pPr>
        <w:pStyle w:val="Footnotesection"/>
      </w:pPr>
      <w:r>
        <w:tab/>
        <w:t>[Regulation 49 inserted: Gazette 28 Jun 2013 p. 2959; amended: Gazette 13 Nov 2015 p. 4641.]</w:t>
      </w:r>
    </w:p>
    <w:p>
      <w:pPr>
        <w:pStyle w:val="Heading5"/>
      </w:pPr>
      <w:bookmarkStart w:id="66" w:name="_Toc155081685"/>
      <w:r>
        <w:rPr>
          <w:rStyle w:val="CharSectno"/>
        </w:rPr>
        <w:t>50</w:t>
      </w:r>
      <w:r>
        <w:t>.</w:t>
      </w:r>
      <w:r>
        <w:tab/>
        <w:t>Continuing offences: daily penalties</w:t>
      </w:r>
      <w:bookmarkEnd w:id="66"/>
    </w:p>
    <w:p>
      <w:pPr>
        <w:pStyle w:val="Subsection"/>
      </w:pPr>
      <w:r>
        <w:tab/>
        <w:t>(1)</w:t>
      </w:r>
      <w:r>
        <w:tab/>
        <w:t>If, in addition to a penalty specified for an offence under these regulations, a daily penalty is specified for the offence, a person convicted of the offence is also liable to a daily penalty, not exceeding the amount specified, for each day or part of a day during which the offence continues after notice of the alleged offence has been given to the offender.</w:t>
      </w:r>
    </w:p>
    <w:p>
      <w:pPr>
        <w:pStyle w:val="Subsection"/>
      </w:pPr>
      <w:r>
        <w:lastRenderedPageBreak/>
        <w:tab/>
        <w:t>(2)</w:t>
      </w:r>
      <w:r>
        <w:tab/>
        <w:t xml:space="preserve">A notice referred to in subregulation (1)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w:t>
      </w:r>
    </w:p>
    <w:p>
      <w:pPr>
        <w:pStyle w:val="Footnotesection"/>
      </w:pPr>
      <w:r>
        <w:tab/>
        <w:t>[Regulation 50 inserted: Gazette 28 Jun 2013 p. 2960.]</w:t>
      </w:r>
    </w:p>
    <w:p>
      <w:pPr>
        <w:pStyle w:val="Heading5"/>
      </w:pPr>
      <w:bookmarkStart w:id="67" w:name="_Toc155081686"/>
      <w:r>
        <w:rPr>
          <w:rStyle w:val="CharSectno"/>
        </w:rPr>
        <w:t>51</w:t>
      </w:r>
      <w:r>
        <w:t>.</w:t>
      </w:r>
      <w:r>
        <w:tab/>
        <w:t>Supplementary provision for laying documents before Parliament</w:t>
      </w:r>
      <w:bookmarkEnd w:id="67"/>
    </w:p>
    <w:p>
      <w:pPr>
        <w:pStyle w:val="Subsection"/>
      </w:pPr>
      <w:r>
        <w:tab/>
        <w:t>(1)</w:t>
      </w:r>
      <w:r>
        <w:tab/>
        <w:t xml:space="preserve">If — </w:t>
      </w:r>
    </w:p>
    <w:p>
      <w:pPr>
        <w:pStyle w:val="Indenta"/>
      </w:pPr>
      <w:r>
        <w:tab/>
        <w:t>(a)</w:t>
      </w:r>
      <w:r>
        <w:tab/>
        <w:t>at the commencement of a period referred to in regulation 43(3)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subregulation (2) must be recorded in the Minutes, or Votes and Proceedings, of the House on the first sitting day of the House after the Clerk received the copy.</w:t>
      </w:r>
    </w:p>
    <w:p>
      <w:pPr>
        <w:pStyle w:val="Footnotesection"/>
      </w:pPr>
      <w:r>
        <w:tab/>
        <w:t>[Regulation 51 inserted: Gazette 28 Jun 2013 p. 2960-1.]</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68" w:name="_Toc155081687"/>
      <w:r>
        <w:rPr>
          <w:rStyle w:val="CharSchNo"/>
        </w:rPr>
        <w:lastRenderedPageBreak/>
        <w:t>Schedule 1</w:t>
      </w:r>
      <w:r>
        <w:rPr>
          <w:sz w:val="24"/>
        </w:rPr>
        <w:t> </w:t>
      </w:r>
      <w:r>
        <w:t>—</w:t>
      </w:r>
      <w:r>
        <w:rPr>
          <w:sz w:val="24"/>
        </w:rPr>
        <w:t> </w:t>
      </w:r>
      <w:r>
        <w:rPr>
          <w:rStyle w:val="CharSchText"/>
        </w:rPr>
        <w:t>Civil penalty provisions and amounts</w:t>
      </w:r>
      <w:bookmarkEnd w:id="68"/>
    </w:p>
    <w:p>
      <w:pPr>
        <w:pStyle w:val="yShoulderClause"/>
      </w:pPr>
      <w:r>
        <w:t>[r. 15 and 16]</w:t>
      </w:r>
    </w:p>
    <w:p>
      <w:pPr>
        <w:pStyle w:val="yFootnoteheading"/>
      </w:pPr>
      <w:r>
        <w:tab/>
        <w:t>[Heading inserted: SL 2023/32 r. 26.]</w:t>
      </w:r>
    </w:p>
    <w:tbl>
      <w:tblPr>
        <w:tblW w:w="7088" w:type="dxa"/>
        <w:tblInd w:w="108" w:type="dxa"/>
        <w:tblLayout w:type="fixed"/>
        <w:tblCellMar>
          <w:bottom w:w="57" w:type="dxa"/>
        </w:tblCellMar>
        <w:tblLook w:val="0000" w:firstRow="0" w:lastRow="0" w:firstColumn="0" w:lastColumn="0" w:noHBand="0" w:noVBand="0"/>
      </w:tblPr>
      <w:tblGrid>
        <w:gridCol w:w="1418"/>
        <w:gridCol w:w="1276"/>
        <w:gridCol w:w="4394"/>
      </w:tblGrid>
      <w:tr>
        <w:trPr>
          <w:cantSplit/>
          <w:tblHeader/>
        </w:trPr>
        <w:tc>
          <w:tcPr>
            <w:tcW w:w="1418" w:type="dxa"/>
            <w:tcBorders>
              <w:top w:val="single" w:sz="4" w:space="0" w:color="auto"/>
              <w:bottom w:val="single" w:sz="4" w:space="0" w:color="auto"/>
            </w:tcBorders>
            <w:noWrap/>
          </w:tcPr>
          <w:p>
            <w:pPr>
              <w:pStyle w:val="yTableNAm"/>
              <w:spacing w:before="60"/>
              <w:rPr>
                <w:b/>
              </w:rPr>
            </w:pPr>
            <w:r>
              <w:rPr>
                <w:b/>
              </w:rPr>
              <w:t>Rule</w:t>
            </w:r>
          </w:p>
        </w:tc>
        <w:tc>
          <w:tcPr>
            <w:tcW w:w="1276" w:type="dxa"/>
            <w:tcBorders>
              <w:top w:val="single" w:sz="4" w:space="0" w:color="auto"/>
              <w:bottom w:val="single" w:sz="4" w:space="0" w:color="auto"/>
            </w:tcBorders>
            <w:noWrap/>
          </w:tcPr>
          <w:p>
            <w:pPr>
              <w:pStyle w:val="yTableNAm"/>
              <w:spacing w:before="60"/>
              <w:rPr>
                <w:b/>
              </w:rPr>
            </w:pPr>
            <w:r>
              <w:rPr>
                <w:b/>
              </w:rPr>
              <w:t>Category</w:t>
            </w:r>
          </w:p>
        </w:tc>
        <w:tc>
          <w:tcPr>
            <w:tcW w:w="4394" w:type="dxa"/>
            <w:tcBorders>
              <w:top w:val="single" w:sz="4" w:space="0" w:color="auto"/>
              <w:bottom w:val="single" w:sz="4" w:space="0" w:color="auto"/>
            </w:tcBorders>
            <w:noWrap/>
          </w:tcPr>
          <w:p>
            <w:pPr>
              <w:pStyle w:val="yTableNAm"/>
              <w:spacing w:before="60"/>
              <w:rPr>
                <w:b/>
              </w:rPr>
            </w:pPr>
            <w:r>
              <w:rPr>
                <w:b/>
              </w:rPr>
              <w:t>Maximum civil penalty amount</w:t>
            </w:r>
          </w:p>
        </w:tc>
      </w:tr>
      <w:tr>
        <w:trPr>
          <w:cantSplit/>
        </w:trPr>
        <w:tc>
          <w:tcPr>
            <w:tcW w:w="1418" w:type="dxa"/>
            <w:tcBorders>
              <w:top w:val="single" w:sz="4" w:space="0" w:color="auto"/>
            </w:tcBorders>
            <w:noWrap/>
          </w:tcPr>
          <w:p>
            <w:pPr>
              <w:pStyle w:val="yTableNAm"/>
              <w:spacing w:before="60"/>
            </w:pPr>
            <w:r>
              <w:t>r. 18(5)</w:t>
            </w:r>
          </w:p>
        </w:tc>
        <w:tc>
          <w:tcPr>
            <w:tcW w:w="1276" w:type="dxa"/>
            <w:tcBorders>
              <w:top w:val="single" w:sz="4" w:space="0" w:color="auto"/>
            </w:tcBorders>
            <w:noWrap/>
          </w:tcPr>
          <w:p>
            <w:pPr>
              <w:pStyle w:val="yTableNAm"/>
              <w:spacing w:before="60"/>
            </w:pPr>
            <w:r>
              <w:t>A</w:t>
            </w:r>
          </w:p>
        </w:tc>
        <w:tc>
          <w:tcPr>
            <w:tcW w:w="4394" w:type="dxa"/>
            <w:tcBorders>
              <w:top w:val="single" w:sz="4" w:space="0" w:color="auto"/>
            </w:tcBorders>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18(6)</w:t>
            </w:r>
          </w:p>
        </w:tc>
        <w:tc>
          <w:tcPr>
            <w:tcW w:w="1276" w:type="dxa"/>
            <w:noWrap/>
          </w:tcPr>
          <w:p>
            <w:pPr>
              <w:pStyle w:val="yTableNAm"/>
              <w:spacing w:before="60"/>
            </w:pPr>
            <w:r>
              <w:t>B</w:t>
            </w:r>
          </w:p>
        </w:tc>
        <w:tc>
          <w:tcPr>
            <w:tcW w:w="4394" w:type="dxa"/>
            <w:noWrap/>
          </w:tcPr>
          <w:p>
            <w:pPr>
              <w:pStyle w:val="yTableNAm"/>
              <w:spacing w:before="60"/>
            </w:pPr>
            <w:r>
              <w:rPr>
                <w:szCs w:val="22"/>
              </w:rPr>
              <w:t>first contravention: $50 000 plus a daily amount of $10 000</w:t>
            </w:r>
            <w:r>
              <w:rPr>
                <w:szCs w:val="22"/>
              </w:rPr>
              <w:br/>
              <w:t>subsequent contraventions: $75 000 plus a daily amount of $10 000</w:t>
            </w:r>
          </w:p>
        </w:tc>
      </w:tr>
      <w:tr>
        <w:trPr>
          <w:cantSplit/>
        </w:trPr>
        <w:tc>
          <w:tcPr>
            <w:tcW w:w="1418" w:type="dxa"/>
            <w:noWrap/>
          </w:tcPr>
          <w:p>
            <w:pPr>
              <w:pStyle w:val="yTableNAm"/>
              <w:spacing w:before="60"/>
            </w:pPr>
            <w:r>
              <w:t>r. 22</w:t>
            </w:r>
          </w:p>
        </w:tc>
        <w:tc>
          <w:tcPr>
            <w:tcW w:w="1276" w:type="dxa"/>
            <w:noWrap/>
          </w:tcPr>
          <w:p>
            <w:pPr>
              <w:pStyle w:val="yTableNAm"/>
              <w:spacing w:before="60"/>
            </w:pPr>
            <w:r>
              <w:t>B</w:t>
            </w:r>
          </w:p>
        </w:tc>
        <w:tc>
          <w:tcPr>
            <w:tcW w:w="4394" w:type="dxa"/>
            <w:noWrap/>
          </w:tcPr>
          <w:p>
            <w:pPr>
              <w:pStyle w:val="yTableNAm"/>
              <w:spacing w:before="60"/>
            </w:pPr>
            <w:r>
              <w:rPr>
                <w:szCs w:val="22"/>
              </w:rPr>
              <w:t>first contravention: $50 000 plus a daily amount of $10 000</w:t>
            </w:r>
            <w:r>
              <w:rPr>
                <w:szCs w:val="22"/>
              </w:rPr>
              <w:br/>
              <w:t>subsequent contraventions: $75 000 plus a daily amount of $10 000</w:t>
            </w:r>
          </w:p>
        </w:tc>
      </w:tr>
      <w:tr>
        <w:trPr>
          <w:cantSplit/>
        </w:trPr>
        <w:tc>
          <w:tcPr>
            <w:tcW w:w="1418" w:type="dxa"/>
            <w:noWrap/>
          </w:tcPr>
          <w:p>
            <w:pPr>
              <w:pStyle w:val="yTableNAm"/>
              <w:spacing w:before="60"/>
            </w:pPr>
            <w:r>
              <w:t>r. 23</w:t>
            </w:r>
          </w:p>
        </w:tc>
        <w:tc>
          <w:tcPr>
            <w:tcW w:w="1276" w:type="dxa"/>
            <w:noWrap/>
          </w:tcPr>
          <w:p>
            <w:pPr>
              <w:pStyle w:val="yTableNAm"/>
              <w:spacing w:before="60"/>
            </w:pPr>
            <w:r>
              <w:t>B</w:t>
            </w:r>
          </w:p>
        </w:tc>
        <w:tc>
          <w:tcPr>
            <w:tcW w:w="4394" w:type="dxa"/>
            <w:noWrap/>
          </w:tcPr>
          <w:p>
            <w:pPr>
              <w:pStyle w:val="yTableNAm"/>
              <w:spacing w:before="60"/>
            </w:pPr>
            <w:r>
              <w:rPr>
                <w:szCs w:val="22"/>
              </w:rPr>
              <w:t>first contravention: $50 000 plus a daily amount of $10 000</w:t>
            </w:r>
            <w:r>
              <w:rPr>
                <w:szCs w:val="22"/>
              </w:rPr>
              <w:br/>
              <w:t>subsequent contraventions: $75 000 plus a daily amount of $10 000</w:t>
            </w:r>
          </w:p>
        </w:tc>
      </w:tr>
      <w:tr>
        <w:trPr>
          <w:cantSplit/>
        </w:trPr>
        <w:tc>
          <w:tcPr>
            <w:tcW w:w="1418" w:type="dxa"/>
            <w:noWrap/>
          </w:tcPr>
          <w:p>
            <w:pPr>
              <w:pStyle w:val="yTableNAm"/>
              <w:spacing w:before="60"/>
            </w:pPr>
            <w:r>
              <w:t>r. 27(4)</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32(6)</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34(3)</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lastRenderedPageBreak/>
              <w:t>r. 36(3)</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39(4)</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49(1)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49(2)</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53(1)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53(2)</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54(1)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54(2)</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lastRenderedPageBreak/>
              <w:t>r. 54(3)</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55(1)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55(2)</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56(1)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56(4)</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57(1)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57(2)</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58(1)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lastRenderedPageBreak/>
              <w:t>r. 58(2)</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59(1)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59(2)</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59(3)</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60</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61(1)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61(2)</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62(1)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lastRenderedPageBreak/>
              <w:t>r. 62(2)</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63(1)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63(2)</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64(1)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64(4)</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65(1)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65(2)</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66(1)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lastRenderedPageBreak/>
              <w:t>r. 66(2)</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67(1)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67(2)</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68(1)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69(1)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69(2)</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70(1)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70(2)</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lastRenderedPageBreak/>
              <w:t>r. 71(1)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71(4)</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72(1)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72(2)</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73(1)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73A</w:t>
            </w:r>
          </w:p>
        </w:tc>
        <w:tc>
          <w:tcPr>
            <w:tcW w:w="1276" w:type="dxa"/>
            <w:noWrap/>
          </w:tcPr>
          <w:p>
            <w:pPr>
              <w:pStyle w:val="yTableNAm"/>
              <w:spacing w:before="60"/>
            </w:pPr>
            <w:r>
              <w:t>A</w:t>
            </w:r>
          </w:p>
        </w:tc>
        <w:tc>
          <w:tcPr>
            <w:tcW w:w="4394" w:type="dxa"/>
            <w:noWrap/>
          </w:tcPr>
          <w:p>
            <w:pPr>
              <w:pStyle w:val="yTableNAm"/>
              <w:spacing w:before="60"/>
              <w:rPr>
                <w:szCs w:val="22"/>
              </w:rPr>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74(1)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74(3)</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lastRenderedPageBreak/>
              <w:t>r. 74(4)</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75(5)</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76(1)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76(2)</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77(1)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77(2)</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78(1)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98(1)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lastRenderedPageBreak/>
              <w:t>r. 98(2)</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99(1)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99(2)</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100(1)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100(2)</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101(1)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101(2)</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106(2)</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lastRenderedPageBreak/>
              <w:t>r. 115(1)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115(3)</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115A(3)</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118(1)</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118(3)</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119(5)</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166</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$5 000</w:t>
            </w:r>
            <w:r>
              <w:rPr>
                <w:szCs w:val="22"/>
              </w:rPr>
              <w:br/>
              <w:t>subsequent contraventions: $20 000 plus a daily amount of $5 000</w:t>
            </w:r>
          </w:p>
        </w:tc>
      </w:tr>
      <w:tr>
        <w:trPr>
          <w:cantSplit/>
        </w:trPr>
        <w:tc>
          <w:tcPr>
            <w:tcW w:w="1418" w:type="dxa"/>
            <w:noWrap/>
          </w:tcPr>
          <w:p>
            <w:pPr>
              <w:pStyle w:val="yTableNAm"/>
              <w:spacing w:before="60"/>
            </w:pPr>
            <w:r>
              <w:t>r. 169(3)</w:t>
            </w:r>
          </w:p>
        </w:tc>
        <w:tc>
          <w:tcPr>
            <w:tcW w:w="1276" w:type="dxa"/>
            <w:noWrap/>
          </w:tcPr>
          <w:p>
            <w:pPr>
              <w:pStyle w:val="yTableNAm"/>
              <w:spacing w:before="60"/>
            </w:pPr>
            <w:r>
              <w:t>B</w:t>
            </w:r>
          </w:p>
        </w:tc>
        <w:tc>
          <w:tcPr>
            <w:tcW w:w="4394" w:type="dxa"/>
            <w:noWrap/>
          </w:tcPr>
          <w:p>
            <w:pPr>
              <w:pStyle w:val="yTableNAm"/>
              <w:spacing w:before="60"/>
            </w:pPr>
            <w:r>
              <w:rPr>
                <w:szCs w:val="22"/>
              </w:rPr>
              <w:t>first contravention: $50 000 plus a daily amount of $10 000</w:t>
            </w:r>
            <w:r>
              <w:rPr>
                <w:szCs w:val="22"/>
              </w:rPr>
              <w:br/>
              <w:t>subsequent contraventions: $75 000 plus a daily amount of $10 000</w:t>
            </w:r>
          </w:p>
        </w:tc>
      </w:tr>
      <w:tr>
        <w:trPr>
          <w:cantSplit/>
        </w:trPr>
        <w:tc>
          <w:tcPr>
            <w:tcW w:w="1418" w:type="dxa"/>
            <w:noWrap/>
          </w:tcPr>
          <w:p>
            <w:pPr>
              <w:pStyle w:val="yTableNAm"/>
              <w:spacing w:before="60"/>
            </w:pPr>
            <w:r>
              <w:lastRenderedPageBreak/>
              <w:t>r. 169(5)</w:t>
            </w:r>
          </w:p>
        </w:tc>
        <w:tc>
          <w:tcPr>
            <w:tcW w:w="1276" w:type="dxa"/>
            <w:noWrap/>
          </w:tcPr>
          <w:p>
            <w:pPr>
              <w:pStyle w:val="yTableNAm"/>
              <w:spacing w:before="60"/>
            </w:pPr>
            <w:r>
              <w:t>B</w:t>
            </w:r>
          </w:p>
        </w:tc>
        <w:tc>
          <w:tcPr>
            <w:tcW w:w="4394" w:type="dxa"/>
            <w:noWrap/>
          </w:tcPr>
          <w:p>
            <w:pPr>
              <w:pStyle w:val="yTableNAm"/>
              <w:spacing w:before="60"/>
            </w:pPr>
            <w:r>
              <w:rPr>
                <w:szCs w:val="22"/>
              </w:rPr>
              <w:t>first contravention: $50 000 plus a daily amount of $10 000</w:t>
            </w:r>
            <w:r>
              <w:rPr>
                <w:szCs w:val="22"/>
              </w:rPr>
              <w:br/>
              <w:t>subsequent contraventions: $75 000 plus a daily amount of $10 000</w:t>
            </w:r>
          </w:p>
        </w:tc>
      </w:tr>
      <w:tr>
        <w:trPr>
          <w:cantSplit/>
        </w:trPr>
        <w:tc>
          <w:tcPr>
            <w:tcW w:w="1418" w:type="dxa"/>
            <w:tcBorders>
              <w:bottom w:val="single" w:sz="4" w:space="0" w:color="auto"/>
            </w:tcBorders>
            <w:noWrap/>
          </w:tcPr>
          <w:p>
            <w:pPr>
              <w:pStyle w:val="yTableNAm"/>
              <w:spacing w:before="60"/>
            </w:pPr>
            <w:r>
              <w:t>r. 173(2)</w:t>
            </w:r>
          </w:p>
        </w:tc>
        <w:tc>
          <w:tcPr>
            <w:tcW w:w="1276" w:type="dxa"/>
            <w:tcBorders>
              <w:bottom w:val="single" w:sz="4" w:space="0" w:color="auto"/>
            </w:tcBorders>
            <w:noWrap/>
          </w:tcPr>
          <w:p>
            <w:pPr>
              <w:pStyle w:val="yTableNAm"/>
              <w:spacing w:before="60"/>
            </w:pPr>
            <w:r>
              <w:t>B</w:t>
            </w:r>
          </w:p>
        </w:tc>
        <w:tc>
          <w:tcPr>
            <w:tcW w:w="4394" w:type="dxa"/>
            <w:tcBorders>
              <w:bottom w:val="single" w:sz="4" w:space="0" w:color="auto"/>
            </w:tcBorders>
            <w:noWrap/>
          </w:tcPr>
          <w:p>
            <w:pPr>
              <w:pStyle w:val="yTableNAm"/>
              <w:spacing w:before="60"/>
            </w:pPr>
            <w:r>
              <w:rPr>
                <w:szCs w:val="22"/>
              </w:rPr>
              <w:t>first contravention: $50 000 plus a daily amount of $10 000</w:t>
            </w:r>
            <w:r>
              <w:rPr>
                <w:szCs w:val="22"/>
              </w:rPr>
              <w:br/>
              <w:t>subsequent contraventions: $75 000 plus a daily amount of $10 000</w:t>
            </w:r>
          </w:p>
        </w:tc>
      </w:tr>
    </w:tbl>
    <w:p>
      <w:pPr>
        <w:pStyle w:val="yFootnotesection"/>
      </w:pPr>
      <w:r>
        <w:tab/>
        <w:t>[Schedule 1 inserted: SL 2023/32 r. 26.]</w:t>
      </w:r>
    </w:p>
    <w:p>
      <w:pPr>
        <w:pStyle w:val="yFootnotesection"/>
      </w:pPr>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yScheduleHeading"/>
      </w:pPr>
      <w:bookmarkStart w:id="70" w:name="_Toc155081688"/>
      <w:r>
        <w:rPr>
          <w:rStyle w:val="CharSchNo"/>
        </w:rPr>
        <w:lastRenderedPageBreak/>
        <w:t>Schedule 2</w:t>
      </w:r>
      <w:r>
        <w:t> — </w:t>
      </w:r>
      <w:r>
        <w:rPr>
          <w:rStyle w:val="CharSchText"/>
        </w:rPr>
        <w:t>Reviewable decisions and procedural decisions</w:t>
      </w:r>
      <w:bookmarkEnd w:id="70"/>
    </w:p>
    <w:p>
      <w:pPr>
        <w:pStyle w:val="yShoulderClause"/>
      </w:pPr>
      <w:r>
        <w:t>[r. 25]</w:t>
      </w:r>
    </w:p>
    <w:p>
      <w:pPr>
        <w:pStyle w:val="yFootnoteheading"/>
        <w:spacing w:before="80" w:after="120"/>
      </w:pPr>
      <w:r>
        <w:tab/>
        <w:t>[Heading inserted: Gazette 28 Jun 2013 p. 2966.]</w:t>
      </w:r>
    </w:p>
    <w:p>
      <w:pPr>
        <w:pStyle w:val="yHeading5"/>
      </w:pPr>
      <w:bookmarkStart w:id="71" w:name="_Toc155081689"/>
      <w:r>
        <w:rPr>
          <w:rStyle w:val="CharSClsNo"/>
        </w:rPr>
        <w:t>1</w:t>
      </w:r>
      <w:r>
        <w:t>.</w:t>
      </w:r>
      <w:r>
        <w:tab/>
        <w:t>Reviewable decisions</w:t>
      </w:r>
      <w:bookmarkEnd w:id="71"/>
    </w:p>
    <w:p>
      <w:pPr>
        <w:pStyle w:val="ySubsection"/>
      </w:pPr>
      <w:r>
        <w:tab/>
      </w:r>
      <w:r>
        <w:tab/>
        <w:t>For the purposes of regulation 25(2), the following provisions are listed: reg. indicates a provision of these regulations and r. indicates a provision of the GSI rules.</w:t>
      </w:r>
    </w:p>
    <w:p>
      <w:pPr>
        <w:pStyle w:val="yTHeadingNAm"/>
      </w:pPr>
      <w:r>
        <w:t>Table</w:t>
      </w:r>
    </w:p>
    <w:tbl>
      <w:tblPr>
        <w:tblW w:w="5562" w:type="dxa"/>
        <w:tblInd w:w="1526" w:type="dxa"/>
        <w:tblLayout w:type="fixed"/>
        <w:tblLook w:val="0000" w:firstRow="0" w:lastRow="0" w:firstColumn="0" w:lastColumn="0" w:noHBand="0" w:noVBand="0"/>
      </w:tblPr>
      <w:tblGrid>
        <w:gridCol w:w="1834"/>
        <w:gridCol w:w="1848"/>
        <w:gridCol w:w="1880"/>
      </w:tblGrid>
      <w:tr>
        <w:trPr>
          <w:cantSplit/>
        </w:trPr>
        <w:tc>
          <w:tcPr>
            <w:tcW w:w="1834" w:type="dxa"/>
            <w:noWrap/>
          </w:tcPr>
          <w:p>
            <w:pPr>
              <w:pStyle w:val="yTableNAm"/>
              <w:spacing w:before="20" w:after="20"/>
            </w:pPr>
            <w:r>
              <w:t>r. 13(1)</w:t>
            </w:r>
          </w:p>
        </w:tc>
        <w:tc>
          <w:tcPr>
            <w:tcW w:w="1848" w:type="dxa"/>
            <w:noWrap/>
          </w:tcPr>
          <w:p>
            <w:pPr>
              <w:pStyle w:val="yTableNAm"/>
              <w:spacing w:before="20" w:after="20"/>
            </w:pPr>
            <w:r>
              <w:t>r. 16(1)</w:t>
            </w:r>
          </w:p>
        </w:tc>
        <w:tc>
          <w:tcPr>
            <w:tcW w:w="1880" w:type="dxa"/>
            <w:noWrap/>
          </w:tcPr>
          <w:p>
            <w:pPr>
              <w:pStyle w:val="yTableNAm"/>
              <w:spacing w:before="20" w:after="20"/>
            </w:pPr>
            <w:r>
              <w:t>r. 16(1A)</w:t>
            </w:r>
          </w:p>
        </w:tc>
      </w:tr>
      <w:tr>
        <w:trPr>
          <w:cantSplit/>
        </w:trPr>
        <w:tc>
          <w:tcPr>
            <w:tcW w:w="1834" w:type="dxa"/>
            <w:noWrap/>
          </w:tcPr>
          <w:p>
            <w:pPr>
              <w:pStyle w:val="yTableNAm"/>
              <w:spacing w:before="20" w:after="20"/>
            </w:pPr>
            <w:r>
              <w:t>r. 28(2)</w:t>
            </w:r>
          </w:p>
        </w:tc>
        <w:tc>
          <w:tcPr>
            <w:tcW w:w="1848" w:type="dxa"/>
            <w:noWrap/>
          </w:tcPr>
          <w:p>
            <w:pPr>
              <w:pStyle w:val="yTableNAm"/>
              <w:spacing w:before="20" w:after="20"/>
            </w:pPr>
            <w:r>
              <w:t>r. 34(2)</w:t>
            </w:r>
          </w:p>
        </w:tc>
        <w:tc>
          <w:tcPr>
            <w:tcW w:w="1880" w:type="dxa"/>
            <w:noWrap/>
          </w:tcPr>
          <w:p>
            <w:pPr>
              <w:pStyle w:val="yTableNAm"/>
              <w:spacing w:before="20" w:after="20"/>
            </w:pPr>
            <w:r>
              <w:t>r. 36(2)</w:t>
            </w:r>
          </w:p>
        </w:tc>
      </w:tr>
      <w:tr>
        <w:trPr>
          <w:cantSplit/>
        </w:trPr>
        <w:tc>
          <w:tcPr>
            <w:tcW w:w="1834" w:type="dxa"/>
            <w:shd w:val="clear" w:color="auto" w:fill="auto"/>
            <w:noWrap/>
          </w:tcPr>
          <w:p>
            <w:pPr>
              <w:pStyle w:val="yTableNAm"/>
              <w:spacing w:before="20" w:after="20"/>
            </w:pPr>
            <w:r>
              <w:t>r. 39(3)</w:t>
            </w:r>
          </w:p>
        </w:tc>
        <w:tc>
          <w:tcPr>
            <w:tcW w:w="1848" w:type="dxa"/>
            <w:shd w:val="clear" w:color="auto" w:fill="auto"/>
            <w:noWrap/>
          </w:tcPr>
          <w:p>
            <w:pPr>
              <w:pStyle w:val="yTableNAm"/>
              <w:spacing w:before="20" w:after="20"/>
            </w:pPr>
            <w:r>
              <w:t>r. 43(2)</w:t>
            </w:r>
          </w:p>
        </w:tc>
        <w:tc>
          <w:tcPr>
            <w:tcW w:w="1880" w:type="dxa"/>
            <w:shd w:val="clear" w:color="auto" w:fill="auto"/>
            <w:noWrap/>
          </w:tcPr>
          <w:p>
            <w:pPr>
              <w:pStyle w:val="yTableNAm"/>
              <w:spacing w:before="20" w:after="20"/>
            </w:pPr>
            <w:r>
              <w:t>r. 46(3)</w:t>
            </w:r>
          </w:p>
        </w:tc>
      </w:tr>
      <w:tr>
        <w:trPr>
          <w:cantSplit/>
        </w:trPr>
        <w:tc>
          <w:tcPr>
            <w:tcW w:w="1834" w:type="dxa"/>
            <w:shd w:val="clear" w:color="auto" w:fill="auto"/>
            <w:noWrap/>
          </w:tcPr>
          <w:p>
            <w:pPr>
              <w:pStyle w:val="yTableNAm"/>
              <w:spacing w:before="20" w:after="20"/>
            </w:pPr>
            <w:r>
              <w:t>r. 48(2)</w:t>
            </w:r>
          </w:p>
        </w:tc>
        <w:tc>
          <w:tcPr>
            <w:tcW w:w="1848" w:type="dxa"/>
            <w:shd w:val="clear" w:color="auto" w:fill="auto"/>
            <w:noWrap/>
          </w:tcPr>
          <w:p>
            <w:pPr>
              <w:pStyle w:val="yTableNAm"/>
              <w:spacing w:before="20" w:after="20"/>
            </w:pPr>
            <w:r>
              <w:t>r. 67(4)</w:t>
            </w:r>
          </w:p>
        </w:tc>
        <w:tc>
          <w:tcPr>
            <w:tcW w:w="1880" w:type="dxa"/>
            <w:shd w:val="clear" w:color="auto" w:fill="auto"/>
            <w:noWrap/>
          </w:tcPr>
          <w:p>
            <w:pPr>
              <w:pStyle w:val="yTableNAm"/>
              <w:spacing w:before="20" w:after="20"/>
            </w:pPr>
            <w:r>
              <w:t>r. 68(3)</w:t>
            </w:r>
          </w:p>
        </w:tc>
      </w:tr>
      <w:tr>
        <w:trPr>
          <w:cantSplit/>
        </w:trPr>
        <w:tc>
          <w:tcPr>
            <w:tcW w:w="1834" w:type="dxa"/>
            <w:shd w:val="clear" w:color="auto" w:fill="auto"/>
            <w:noWrap/>
          </w:tcPr>
          <w:p>
            <w:pPr>
              <w:pStyle w:val="yTableNAm"/>
              <w:spacing w:before="20" w:after="20"/>
            </w:pPr>
            <w:r>
              <w:t>r. 73(3)</w:t>
            </w:r>
          </w:p>
        </w:tc>
        <w:tc>
          <w:tcPr>
            <w:tcW w:w="1848" w:type="dxa"/>
            <w:shd w:val="clear" w:color="auto" w:fill="auto"/>
            <w:noWrap/>
          </w:tcPr>
          <w:p>
            <w:pPr>
              <w:pStyle w:val="yTableNAm"/>
              <w:spacing w:before="20" w:after="20"/>
            </w:pPr>
            <w:r>
              <w:t>r. 78(3)</w:t>
            </w:r>
          </w:p>
        </w:tc>
        <w:tc>
          <w:tcPr>
            <w:tcW w:w="1880" w:type="dxa"/>
            <w:shd w:val="clear" w:color="auto" w:fill="auto"/>
            <w:noWrap/>
          </w:tcPr>
          <w:p>
            <w:pPr>
              <w:pStyle w:val="yTableNAm"/>
              <w:spacing w:before="20" w:after="20"/>
            </w:pPr>
            <w:r>
              <w:t>r. 131(1)(a)</w:t>
            </w:r>
          </w:p>
        </w:tc>
      </w:tr>
      <w:tr>
        <w:trPr>
          <w:cantSplit/>
        </w:trPr>
        <w:tc>
          <w:tcPr>
            <w:tcW w:w="1834" w:type="dxa"/>
            <w:shd w:val="clear" w:color="auto" w:fill="auto"/>
            <w:noWrap/>
          </w:tcPr>
          <w:p>
            <w:pPr>
              <w:pStyle w:val="yTableNAm"/>
              <w:spacing w:before="20" w:after="20"/>
            </w:pPr>
            <w:r>
              <w:t>r. 131(2)</w:t>
            </w:r>
          </w:p>
        </w:tc>
        <w:tc>
          <w:tcPr>
            <w:tcW w:w="1848" w:type="dxa"/>
            <w:shd w:val="clear" w:color="auto" w:fill="auto"/>
            <w:noWrap/>
          </w:tcPr>
          <w:p>
            <w:pPr>
              <w:pStyle w:val="yTableNAm"/>
              <w:spacing w:before="20" w:after="20"/>
            </w:pPr>
            <w:r>
              <w:t>r. 134(1)(a)</w:t>
            </w:r>
          </w:p>
        </w:tc>
        <w:tc>
          <w:tcPr>
            <w:tcW w:w="1880" w:type="dxa"/>
            <w:shd w:val="clear" w:color="auto" w:fill="auto"/>
            <w:noWrap/>
          </w:tcPr>
          <w:p>
            <w:pPr>
              <w:pStyle w:val="yTableNAm"/>
              <w:spacing w:before="20" w:after="20"/>
            </w:pPr>
            <w:r>
              <w:t>r. 137(1)(a)</w:t>
            </w:r>
          </w:p>
        </w:tc>
      </w:tr>
      <w:tr>
        <w:trPr>
          <w:cantSplit/>
        </w:trPr>
        <w:tc>
          <w:tcPr>
            <w:tcW w:w="1834" w:type="dxa"/>
            <w:noWrap/>
          </w:tcPr>
          <w:p>
            <w:pPr>
              <w:pStyle w:val="yTableNAm"/>
              <w:spacing w:before="20" w:after="20"/>
            </w:pPr>
            <w:r>
              <w:t>r. 156(3)(a)</w:t>
            </w:r>
          </w:p>
        </w:tc>
        <w:tc>
          <w:tcPr>
            <w:tcW w:w="1848" w:type="dxa"/>
            <w:noWrap/>
          </w:tcPr>
          <w:p>
            <w:pPr>
              <w:pStyle w:val="yTableNAm"/>
              <w:spacing w:before="20" w:after="20"/>
            </w:pPr>
            <w:r>
              <w:t>r. 160(2)</w:t>
            </w:r>
          </w:p>
        </w:tc>
        <w:tc>
          <w:tcPr>
            <w:tcW w:w="1880" w:type="dxa"/>
            <w:noWrap/>
          </w:tcPr>
          <w:p>
            <w:pPr>
              <w:pStyle w:val="yTableNAm"/>
              <w:spacing w:before="20" w:after="20"/>
            </w:pPr>
          </w:p>
        </w:tc>
      </w:tr>
    </w:tbl>
    <w:p>
      <w:pPr>
        <w:pStyle w:val="yFootnotesection"/>
        <w:spacing w:before="60"/>
      </w:pPr>
      <w:r>
        <w:tab/>
        <w:t>[Clause 1 inserted: Gazette 28 Jun 2013 p. 2966; amended: SL 2023/32 r. 27.]</w:t>
      </w:r>
    </w:p>
    <w:p>
      <w:pPr>
        <w:pStyle w:val="yHeading5"/>
      </w:pPr>
      <w:bookmarkStart w:id="72" w:name="_Toc155081690"/>
      <w:r>
        <w:rPr>
          <w:rStyle w:val="CharSClsNo"/>
        </w:rPr>
        <w:t>2</w:t>
      </w:r>
      <w:r>
        <w:t>.</w:t>
      </w:r>
      <w:r>
        <w:tab/>
        <w:t>Procedural decisions</w:t>
      </w:r>
      <w:bookmarkEnd w:id="72"/>
    </w:p>
    <w:p>
      <w:pPr>
        <w:pStyle w:val="ySubsection"/>
      </w:pPr>
      <w:r>
        <w:tab/>
      </w:r>
      <w:r>
        <w:tab/>
        <w:t xml:space="preserve">For the purposes of definition of </w:t>
      </w:r>
      <w:r>
        <w:rPr>
          <w:b/>
          <w:i/>
        </w:rPr>
        <w:t>procedural decision</w:t>
      </w:r>
      <w:r>
        <w:t xml:space="preserve"> in regulation 25(1), the following provisions of the GSI rules are listed.</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3"/>
        <w:gridCol w:w="1842"/>
        <w:gridCol w:w="1843"/>
      </w:tblGrid>
      <w:tr>
        <w:tc>
          <w:tcPr>
            <w:tcW w:w="1843" w:type="dxa"/>
          </w:tcPr>
          <w:p>
            <w:pPr>
              <w:pStyle w:val="yTableNAm"/>
              <w:spacing w:before="40"/>
            </w:pPr>
            <w:r>
              <w:t>r. 13(1)</w:t>
            </w:r>
          </w:p>
        </w:tc>
        <w:tc>
          <w:tcPr>
            <w:tcW w:w="1842" w:type="dxa"/>
          </w:tcPr>
          <w:p>
            <w:pPr>
              <w:pStyle w:val="yTableNAm"/>
              <w:spacing w:before="40"/>
            </w:pPr>
            <w:r>
              <w:t>r. 28(2)</w:t>
            </w:r>
          </w:p>
        </w:tc>
        <w:tc>
          <w:tcPr>
            <w:tcW w:w="1843" w:type="dxa"/>
          </w:tcPr>
          <w:p>
            <w:pPr>
              <w:pStyle w:val="yTableNAm"/>
              <w:spacing w:before="40"/>
            </w:pPr>
            <w:r>
              <w:t>r. 34(2)</w:t>
            </w:r>
          </w:p>
        </w:tc>
      </w:tr>
      <w:tr>
        <w:tc>
          <w:tcPr>
            <w:tcW w:w="1843" w:type="dxa"/>
          </w:tcPr>
          <w:p>
            <w:pPr>
              <w:pStyle w:val="yTableNAm"/>
              <w:spacing w:before="40"/>
            </w:pPr>
            <w:r>
              <w:t>r. 36(2)</w:t>
            </w:r>
          </w:p>
        </w:tc>
        <w:tc>
          <w:tcPr>
            <w:tcW w:w="1842" w:type="dxa"/>
          </w:tcPr>
          <w:p>
            <w:pPr>
              <w:pStyle w:val="yTableNAm"/>
              <w:spacing w:before="40"/>
            </w:pPr>
            <w:r>
              <w:t>r. 39(3)</w:t>
            </w:r>
          </w:p>
        </w:tc>
        <w:tc>
          <w:tcPr>
            <w:tcW w:w="1843" w:type="dxa"/>
          </w:tcPr>
          <w:p>
            <w:pPr>
              <w:pStyle w:val="yTableNAm"/>
              <w:spacing w:before="40"/>
            </w:pPr>
            <w:r>
              <w:t>r. 43(2)</w:t>
            </w:r>
          </w:p>
        </w:tc>
      </w:tr>
      <w:tr>
        <w:tc>
          <w:tcPr>
            <w:tcW w:w="1843" w:type="dxa"/>
          </w:tcPr>
          <w:p>
            <w:pPr>
              <w:pStyle w:val="yTableNAm"/>
              <w:spacing w:before="40"/>
            </w:pPr>
            <w:r>
              <w:t>r. 46(3)</w:t>
            </w:r>
          </w:p>
        </w:tc>
        <w:tc>
          <w:tcPr>
            <w:tcW w:w="1842" w:type="dxa"/>
          </w:tcPr>
          <w:p>
            <w:pPr>
              <w:pStyle w:val="yTableNAm"/>
              <w:spacing w:before="40"/>
            </w:pPr>
            <w:r>
              <w:t>r. 48(2)</w:t>
            </w:r>
          </w:p>
        </w:tc>
        <w:tc>
          <w:tcPr>
            <w:tcW w:w="1843" w:type="dxa"/>
          </w:tcPr>
          <w:p>
            <w:pPr>
              <w:pStyle w:val="yTableNAm"/>
              <w:spacing w:before="40"/>
            </w:pPr>
            <w:r>
              <w:t>r. 67(4)</w:t>
            </w:r>
          </w:p>
        </w:tc>
      </w:tr>
      <w:tr>
        <w:tc>
          <w:tcPr>
            <w:tcW w:w="1843" w:type="dxa"/>
          </w:tcPr>
          <w:p>
            <w:pPr>
              <w:pStyle w:val="yTableNAm"/>
              <w:spacing w:before="40"/>
            </w:pPr>
            <w:r>
              <w:t>r. 68(3)</w:t>
            </w:r>
          </w:p>
        </w:tc>
        <w:tc>
          <w:tcPr>
            <w:tcW w:w="1842" w:type="dxa"/>
          </w:tcPr>
          <w:p>
            <w:pPr>
              <w:pStyle w:val="yTableNAm"/>
              <w:spacing w:before="40"/>
            </w:pPr>
            <w:r>
              <w:t>r. 73(3)</w:t>
            </w:r>
          </w:p>
        </w:tc>
        <w:tc>
          <w:tcPr>
            <w:tcW w:w="1843" w:type="dxa"/>
          </w:tcPr>
          <w:p>
            <w:pPr>
              <w:pStyle w:val="yTableNAm"/>
              <w:spacing w:before="40"/>
            </w:pPr>
            <w:r>
              <w:t>r. 78(3)</w:t>
            </w:r>
          </w:p>
        </w:tc>
      </w:tr>
      <w:tr>
        <w:tc>
          <w:tcPr>
            <w:tcW w:w="1843" w:type="dxa"/>
          </w:tcPr>
          <w:p>
            <w:pPr>
              <w:pStyle w:val="yTableNAm"/>
              <w:spacing w:before="40"/>
            </w:pPr>
            <w:r>
              <w:t>r. 131(1)(a)</w:t>
            </w:r>
          </w:p>
        </w:tc>
        <w:tc>
          <w:tcPr>
            <w:tcW w:w="1842" w:type="dxa"/>
          </w:tcPr>
          <w:p>
            <w:pPr>
              <w:pStyle w:val="yTableNAm"/>
              <w:spacing w:before="40"/>
            </w:pPr>
            <w:r>
              <w:t>r. 131(2)</w:t>
            </w:r>
          </w:p>
        </w:tc>
        <w:tc>
          <w:tcPr>
            <w:tcW w:w="1843" w:type="dxa"/>
          </w:tcPr>
          <w:p>
            <w:pPr>
              <w:pStyle w:val="yTableNAm"/>
              <w:spacing w:before="40"/>
            </w:pPr>
            <w:r>
              <w:t>r. 134(1)(a)</w:t>
            </w:r>
          </w:p>
        </w:tc>
      </w:tr>
      <w:tr>
        <w:tc>
          <w:tcPr>
            <w:tcW w:w="1843" w:type="dxa"/>
          </w:tcPr>
          <w:p>
            <w:pPr>
              <w:pStyle w:val="yTableNAm"/>
              <w:spacing w:before="40"/>
            </w:pPr>
            <w:r>
              <w:t>r. 137(1)(a)</w:t>
            </w:r>
          </w:p>
        </w:tc>
        <w:tc>
          <w:tcPr>
            <w:tcW w:w="1842" w:type="dxa"/>
          </w:tcPr>
          <w:p>
            <w:pPr>
              <w:pStyle w:val="yTableNAm"/>
              <w:spacing w:before="40"/>
            </w:pPr>
            <w:r>
              <w:t>r. 156(3)(a)</w:t>
            </w:r>
          </w:p>
        </w:tc>
        <w:tc>
          <w:tcPr>
            <w:tcW w:w="1843" w:type="dxa"/>
          </w:tcPr>
          <w:p>
            <w:pPr>
              <w:pStyle w:val="yTableNAm"/>
              <w:spacing w:before="40"/>
            </w:pPr>
            <w:r>
              <w:t>r. 160(2)</w:t>
            </w:r>
          </w:p>
        </w:tc>
      </w:tr>
    </w:tbl>
    <w:p>
      <w:pPr>
        <w:pStyle w:val="yFootnotesection"/>
        <w:spacing w:before="60"/>
      </w:pPr>
      <w:r>
        <w:tab/>
        <w:t>[Clause 2 inserted: Gazette 28 Jun 2013 p. 2966-7.]</w:t>
      </w: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544" w:gutter="0"/>
          <w:cols w:space="720"/>
          <w:noEndnote/>
          <w:docGrid w:linePitch="326"/>
        </w:sectPr>
      </w:pPr>
    </w:p>
    <w:p>
      <w:pPr>
        <w:pStyle w:val="nHeading2"/>
      </w:pPr>
      <w:bookmarkStart w:id="73" w:name="_Toc155081691"/>
      <w:r>
        <w:lastRenderedPageBreak/>
        <w:t>Notes</w:t>
      </w:r>
      <w:bookmarkEnd w:id="73"/>
    </w:p>
    <w:p>
      <w:pPr>
        <w:pStyle w:val="nStatement"/>
      </w:pPr>
      <w:r>
        <w:t xml:space="preserve">This is a compilation of the </w:t>
      </w:r>
      <w:r>
        <w:rPr>
          <w:i/>
          <w:noProof/>
        </w:rPr>
        <w:t>Gas Services Information Regulations 2012</w:t>
      </w:r>
      <w:r>
        <w:t xml:space="preserve"> and includes amendments made by other written laws. For provisions that have come into operation, and for information about any reprints, see the compilation table.</w:t>
      </w:r>
    </w:p>
    <w:p>
      <w:pPr>
        <w:pStyle w:val="nHeading3"/>
      </w:pPr>
      <w:bookmarkStart w:id="74" w:name="_Toc155081692"/>
      <w:r>
        <w:t>Compilation table</w:t>
      </w:r>
      <w:bookmarkEnd w:id="7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tblHeader/>
        </w:trPr>
        <w:tc>
          <w:tcPr>
            <w:tcW w:w="3091"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Published</w:t>
            </w:r>
          </w:p>
        </w:tc>
        <w:tc>
          <w:tcPr>
            <w:tcW w:w="2720" w:type="dxa"/>
            <w:tcBorders>
              <w:top w:val="single" w:sz="4" w:space="0" w:color="auto"/>
              <w:bottom w:val="single" w:sz="4" w:space="0" w:color="auto"/>
            </w:tcBorders>
          </w:tcPr>
          <w:p>
            <w:pPr>
              <w:pStyle w:val="nTable"/>
              <w:spacing w:after="40"/>
              <w:rPr>
                <w:b/>
              </w:rPr>
            </w:pPr>
            <w:r>
              <w:rPr>
                <w:b/>
              </w:rPr>
              <w:t>Commencement</w:t>
            </w:r>
          </w:p>
        </w:tc>
      </w:tr>
      <w:tr>
        <w:tc>
          <w:tcPr>
            <w:tcW w:w="3091" w:type="dxa"/>
            <w:tcBorders>
              <w:top w:val="single" w:sz="4" w:space="0" w:color="auto"/>
              <w:bottom w:val="nil"/>
            </w:tcBorders>
          </w:tcPr>
          <w:p>
            <w:pPr>
              <w:pStyle w:val="nTable"/>
              <w:spacing w:after="40"/>
              <w:rPr>
                <w:i/>
              </w:rPr>
            </w:pPr>
            <w:r>
              <w:rPr>
                <w:i/>
              </w:rPr>
              <w:t>Gas Services Information Regulations 2012</w:t>
            </w:r>
          </w:p>
        </w:tc>
        <w:tc>
          <w:tcPr>
            <w:tcW w:w="1276" w:type="dxa"/>
            <w:tcBorders>
              <w:top w:val="single" w:sz="4" w:space="0" w:color="auto"/>
              <w:bottom w:val="nil"/>
            </w:tcBorders>
          </w:tcPr>
          <w:p>
            <w:pPr>
              <w:pStyle w:val="nTable"/>
              <w:spacing w:after="40"/>
            </w:pPr>
            <w:r>
              <w:t>29 Jun 2012 p. 2932-3</w:t>
            </w:r>
          </w:p>
        </w:tc>
        <w:tc>
          <w:tcPr>
            <w:tcW w:w="2720" w:type="dxa"/>
            <w:tcBorders>
              <w:top w:val="single" w:sz="4" w:space="0" w:color="auto"/>
              <w:bottom w:val="nil"/>
            </w:tcBorders>
          </w:tcPr>
          <w:p>
            <w:pPr>
              <w:pStyle w:val="nTable"/>
              <w:spacing w:after="40"/>
            </w:pPr>
            <w:r>
              <w:t>r. 1 and 2: 29 Jun 2012 (see r. 2(a));</w:t>
            </w:r>
            <w:r>
              <w:br/>
              <w:t>Regulations other than r. 1 and 2: 30 Jun 2012 (see r. 2 and </w:t>
            </w:r>
            <w:r>
              <w:rPr>
                <w:i/>
              </w:rPr>
              <w:t>Gazette</w:t>
            </w:r>
            <w:r>
              <w:t xml:space="preserve"> 29 Jun 2012 p. 2929)</w:t>
            </w:r>
          </w:p>
        </w:tc>
      </w:tr>
      <w:tr>
        <w:tc>
          <w:tcPr>
            <w:tcW w:w="3091" w:type="dxa"/>
            <w:tcBorders>
              <w:top w:val="nil"/>
              <w:bottom w:val="nil"/>
            </w:tcBorders>
          </w:tcPr>
          <w:p>
            <w:pPr>
              <w:pStyle w:val="nTable"/>
              <w:spacing w:after="40"/>
              <w:rPr>
                <w:i/>
              </w:rPr>
            </w:pPr>
            <w:r>
              <w:rPr>
                <w:i/>
              </w:rPr>
              <w:t>Gas Services Information Amendment Regulations 2013</w:t>
            </w:r>
          </w:p>
        </w:tc>
        <w:tc>
          <w:tcPr>
            <w:tcW w:w="1276" w:type="dxa"/>
            <w:tcBorders>
              <w:top w:val="nil"/>
              <w:bottom w:val="nil"/>
            </w:tcBorders>
          </w:tcPr>
          <w:p>
            <w:pPr>
              <w:pStyle w:val="nTable"/>
              <w:spacing w:after="40"/>
            </w:pPr>
            <w:r>
              <w:t>14 Jun 2013 p. 2228-33</w:t>
            </w:r>
          </w:p>
        </w:tc>
        <w:tc>
          <w:tcPr>
            <w:tcW w:w="2720" w:type="dxa"/>
            <w:tcBorders>
              <w:top w:val="nil"/>
              <w:bottom w:val="nil"/>
            </w:tcBorders>
          </w:tcPr>
          <w:p>
            <w:pPr>
              <w:pStyle w:val="nTable"/>
              <w:spacing w:after="40"/>
            </w:pPr>
            <w:r>
              <w:t>r. 1 and 2: 14 Jun 2013 (see r. 2(a));</w:t>
            </w:r>
            <w:r>
              <w:br/>
              <w:t>Regulations other than r. 1 and 2: 15 Jun 2013 (see r. 2(b))</w:t>
            </w:r>
          </w:p>
        </w:tc>
      </w:tr>
      <w:tr>
        <w:tc>
          <w:tcPr>
            <w:tcW w:w="3091" w:type="dxa"/>
            <w:tcBorders>
              <w:top w:val="nil"/>
              <w:bottom w:val="nil"/>
            </w:tcBorders>
            <w:shd w:val="clear" w:color="auto" w:fill="auto"/>
          </w:tcPr>
          <w:p>
            <w:pPr>
              <w:pStyle w:val="nTable"/>
              <w:spacing w:after="40"/>
              <w:rPr>
                <w:i/>
              </w:rPr>
            </w:pPr>
            <w:r>
              <w:rPr>
                <w:i/>
              </w:rPr>
              <w:t>Gas Services Information Amendment Regulations (No. 2) 2013</w:t>
            </w:r>
          </w:p>
        </w:tc>
        <w:tc>
          <w:tcPr>
            <w:tcW w:w="1276" w:type="dxa"/>
            <w:tcBorders>
              <w:top w:val="nil"/>
              <w:bottom w:val="nil"/>
            </w:tcBorders>
            <w:shd w:val="clear" w:color="auto" w:fill="auto"/>
          </w:tcPr>
          <w:p>
            <w:pPr>
              <w:pStyle w:val="nTable"/>
              <w:spacing w:after="40"/>
            </w:pPr>
            <w:r>
              <w:t>28 Jun 2013 p. 2933-67</w:t>
            </w:r>
          </w:p>
        </w:tc>
        <w:tc>
          <w:tcPr>
            <w:tcW w:w="2720" w:type="dxa"/>
            <w:tcBorders>
              <w:top w:val="nil"/>
              <w:bottom w:val="nil"/>
            </w:tcBorders>
            <w:shd w:val="clear" w:color="auto" w:fill="auto"/>
          </w:tcPr>
          <w:p>
            <w:pPr>
              <w:pStyle w:val="nTable"/>
              <w:spacing w:after="40"/>
            </w:pPr>
            <w:r>
              <w:t>r. 1 and 2: 28 Jun 2013 (see r. 2(a));</w:t>
            </w:r>
            <w:r>
              <w:br/>
              <w:t>Regulations other than r. 1 and 2: 29 Jun 2013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rPr>
              <w:t>Gas Services Information Regulations 2012</w:t>
            </w:r>
            <w:r>
              <w:rPr>
                <w:b/>
              </w:rPr>
              <w:t xml:space="preserve"> as at 16 Aug 2013</w:t>
            </w:r>
            <w:r>
              <w:t xml:space="preserve"> (includes amendments listed above)</w:t>
            </w:r>
          </w:p>
        </w:tc>
      </w:tr>
      <w:tr>
        <w:tc>
          <w:tcPr>
            <w:tcW w:w="3091" w:type="dxa"/>
            <w:tcBorders>
              <w:top w:val="nil"/>
              <w:bottom w:val="nil"/>
            </w:tcBorders>
            <w:shd w:val="clear" w:color="auto" w:fill="auto"/>
          </w:tcPr>
          <w:p>
            <w:pPr>
              <w:pStyle w:val="nTable"/>
              <w:spacing w:after="40"/>
              <w:rPr>
                <w:b/>
              </w:rPr>
            </w:pPr>
            <w:r>
              <w:rPr>
                <w:i/>
              </w:rPr>
              <w:t>Gas Services Information Amendment Regulations 2015</w:t>
            </w:r>
          </w:p>
        </w:tc>
        <w:tc>
          <w:tcPr>
            <w:tcW w:w="1276" w:type="dxa"/>
            <w:tcBorders>
              <w:top w:val="nil"/>
              <w:bottom w:val="nil"/>
            </w:tcBorders>
            <w:shd w:val="clear" w:color="auto" w:fill="auto"/>
          </w:tcPr>
          <w:p>
            <w:pPr>
              <w:pStyle w:val="nTable"/>
              <w:spacing w:after="40"/>
              <w:rPr>
                <w:b/>
              </w:rPr>
            </w:pPr>
            <w:r>
              <w:t>8 Sep 2015 p. 3720</w:t>
            </w:r>
          </w:p>
        </w:tc>
        <w:tc>
          <w:tcPr>
            <w:tcW w:w="2720" w:type="dxa"/>
            <w:tcBorders>
              <w:top w:val="nil"/>
              <w:bottom w:val="nil"/>
            </w:tcBorders>
            <w:shd w:val="clear" w:color="auto" w:fill="auto"/>
          </w:tcPr>
          <w:p>
            <w:pPr>
              <w:pStyle w:val="nTable"/>
              <w:spacing w:after="40"/>
              <w:rPr>
                <w:b/>
              </w:rPr>
            </w:pPr>
            <w:r>
              <w:t>r. 1 and 2: 8 Sep 2015 (see r. 2(a));</w:t>
            </w:r>
            <w:r>
              <w:br/>
              <w:t>Regulations other than r. 1 and 2: 9 Sep 2015 (see r. 2(b))</w:t>
            </w:r>
          </w:p>
        </w:tc>
      </w:tr>
      <w:tr>
        <w:tc>
          <w:tcPr>
            <w:tcW w:w="3091" w:type="dxa"/>
            <w:tcBorders>
              <w:top w:val="nil"/>
              <w:bottom w:val="nil"/>
            </w:tcBorders>
            <w:shd w:val="clear" w:color="auto" w:fill="auto"/>
          </w:tcPr>
          <w:p>
            <w:pPr>
              <w:pStyle w:val="nTable"/>
              <w:spacing w:after="40"/>
              <w:rPr>
                <w:i/>
              </w:rPr>
            </w:pPr>
            <w:r>
              <w:rPr>
                <w:i/>
              </w:rPr>
              <w:t>Gas Services Information Amendment Regulations (No. 2) 2015</w:t>
            </w:r>
          </w:p>
        </w:tc>
        <w:tc>
          <w:tcPr>
            <w:tcW w:w="1276" w:type="dxa"/>
            <w:tcBorders>
              <w:top w:val="nil"/>
              <w:bottom w:val="nil"/>
            </w:tcBorders>
            <w:shd w:val="clear" w:color="auto" w:fill="auto"/>
          </w:tcPr>
          <w:p>
            <w:pPr>
              <w:pStyle w:val="nTable"/>
              <w:spacing w:after="40"/>
            </w:pPr>
            <w:r>
              <w:t>2 Oct 2015 p. 3931-2</w:t>
            </w:r>
          </w:p>
        </w:tc>
        <w:tc>
          <w:tcPr>
            <w:tcW w:w="2720" w:type="dxa"/>
            <w:tcBorders>
              <w:top w:val="nil"/>
              <w:bottom w:val="nil"/>
            </w:tcBorders>
            <w:shd w:val="clear" w:color="auto" w:fill="auto"/>
          </w:tcPr>
          <w:p>
            <w:pPr>
              <w:pStyle w:val="nTable"/>
              <w:spacing w:after="40"/>
            </w:pPr>
            <w:r>
              <w:rPr>
                <w:snapToGrid w:val="0"/>
              </w:rPr>
              <w:t>r. 1 and 2: 2 Oct 2015 (see r. 2(a));</w:t>
            </w:r>
            <w:r>
              <w:rPr>
                <w:snapToGrid w:val="0"/>
              </w:rPr>
              <w:br/>
              <w:t>Regulations other than r. 1 and 2: 3 Oct 2015 (see r. 2(b))</w:t>
            </w:r>
          </w:p>
        </w:tc>
      </w:tr>
      <w:tr>
        <w:tc>
          <w:tcPr>
            <w:tcW w:w="3091" w:type="dxa"/>
            <w:tcBorders>
              <w:top w:val="nil"/>
              <w:bottom w:val="nil"/>
            </w:tcBorders>
            <w:shd w:val="clear" w:color="auto" w:fill="auto"/>
          </w:tcPr>
          <w:p>
            <w:pPr>
              <w:pStyle w:val="nTable"/>
              <w:spacing w:after="40"/>
              <w:rPr>
                <w:vertAlign w:val="superscript"/>
              </w:rPr>
            </w:pPr>
            <w:r>
              <w:rPr>
                <w:i/>
              </w:rPr>
              <w:t xml:space="preserve">Gas Services Information Amendment Regulations (No. 3) 2015 </w:t>
            </w:r>
          </w:p>
        </w:tc>
        <w:tc>
          <w:tcPr>
            <w:tcW w:w="1276" w:type="dxa"/>
            <w:tcBorders>
              <w:top w:val="nil"/>
              <w:bottom w:val="nil"/>
            </w:tcBorders>
            <w:shd w:val="clear" w:color="auto" w:fill="auto"/>
          </w:tcPr>
          <w:p>
            <w:pPr>
              <w:pStyle w:val="nTable"/>
              <w:spacing w:after="40"/>
            </w:pPr>
            <w:r>
              <w:t>13 Nov 2015 p. 4638</w:t>
            </w:r>
            <w:r>
              <w:noBreakHyphen/>
              <w:t>42</w:t>
            </w:r>
          </w:p>
        </w:tc>
        <w:tc>
          <w:tcPr>
            <w:tcW w:w="2720" w:type="dxa"/>
            <w:tcBorders>
              <w:top w:val="nil"/>
              <w:bottom w:val="nil"/>
            </w:tcBorders>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 xml:space="preserve">r. 4 and 6: </w:t>
            </w:r>
            <w:r>
              <w:t>14 Nov 2015</w:t>
            </w:r>
            <w:r>
              <w:rPr>
                <w:snapToGrid w:val="0"/>
              </w:rPr>
              <w:t xml:space="preserve"> (see r. 2(b));</w:t>
            </w:r>
            <w:r>
              <w:rPr>
                <w:snapToGrid w:val="0"/>
              </w:rPr>
              <w:br/>
              <w:t>Regulations other than r. 1, 2, 4 and 6: 8.00 am on 30 Nov 2015 (see r. 2(c))</w:t>
            </w:r>
          </w:p>
        </w:tc>
      </w:tr>
      <w:tr>
        <w:tc>
          <w:tcPr>
            <w:tcW w:w="3091" w:type="dxa"/>
            <w:tcBorders>
              <w:top w:val="nil"/>
              <w:bottom w:val="nil"/>
            </w:tcBorders>
            <w:shd w:val="clear" w:color="auto" w:fill="auto"/>
          </w:tcPr>
          <w:p>
            <w:pPr>
              <w:pStyle w:val="nTable"/>
              <w:spacing w:after="40"/>
              <w:rPr>
                <w:i/>
              </w:rPr>
            </w:pPr>
            <w:r>
              <w:rPr>
                <w:i/>
              </w:rPr>
              <w:t>Gas Services Information Amendment Regulations 2016</w:t>
            </w:r>
          </w:p>
        </w:tc>
        <w:tc>
          <w:tcPr>
            <w:tcW w:w="1276" w:type="dxa"/>
            <w:tcBorders>
              <w:top w:val="nil"/>
              <w:bottom w:val="nil"/>
            </w:tcBorders>
            <w:shd w:val="clear" w:color="auto" w:fill="auto"/>
          </w:tcPr>
          <w:p>
            <w:pPr>
              <w:pStyle w:val="nTable"/>
              <w:spacing w:after="40"/>
            </w:pPr>
            <w:r>
              <w:t>24 Jun 2016 p. 2303</w:t>
            </w:r>
            <w:r>
              <w:noBreakHyphen/>
              <w:t>9</w:t>
            </w:r>
          </w:p>
        </w:tc>
        <w:tc>
          <w:tcPr>
            <w:tcW w:w="2720" w:type="dxa"/>
            <w:tcBorders>
              <w:top w:val="nil"/>
              <w:bottom w:val="nil"/>
            </w:tcBorders>
            <w:shd w:val="clear" w:color="auto" w:fill="auto"/>
          </w:tcPr>
          <w:p>
            <w:pPr>
              <w:pStyle w:val="nTable"/>
              <w:spacing w:after="40"/>
              <w:rPr>
                <w:snapToGrid w:val="0"/>
              </w:rPr>
            </w:pPr>
            <w:r>
              <w:rPr>
                <w:snapToGrid w:val="0"/>
              </w:rPr>
              <w:t>r. 1 and 2: 24 Jun 2016 (see r. 2(a));</w:t>
            </w:r>
            <w:r>
              <w:rPr>
                <w:snapToGrid w:val="0"/>
              </w:rPr>
              <w:br/>
              <w:t xml:space="preserve">Regulations other than r. 1 and 2: </w:t>
            </w:r>
            <w:r>
              <w:rPr>
                <w:snapToGrid w:val="0"/>
              </w:rPr>
              <w:lastRenderedPageBreak/>
              <w:t xml:space="preserve">1 Jul 2016 (see r. 2(b) and </w:t>
            </w:r>
            <w:r>
              <w:rPr>
                <w:i/>
                <w:snapToGrid w:val="0"/>
              </w:rPr>
              <w:t>Gazette</w:t>
            </w:r>
            <w:r>
              <w:rPr>
                <w:snapToGrid w:val="0"/>
              </w:rPr>
              <w:t xml:space="preserve"> 30 Jun 2016 p. 2695)</w:t>
            </w:r>
          </w:p>
        </w:tc>
      </w:tr>
      <w:tr>
        <w:tc>
          <w:tcPr>
            <w:tcW w:w="3091" w:type="dxa"/>
            <w:tcBorders>
              <w:top w:val="nil"/>
              <w:bottom w:val="nil"/>
            </w:tcBorders>
            <w:shd w:val="clear" w:color="auto" w:fill="auto"/>
          </w:tcPr>
          <w:p>
            <w:pPr>
              <w:pStyle w:val="nTable"/>
              <w:spacing w:after="40"/>
            </w:pPr>
            <w:r>
              <w:rPr>
                <w:i/>
              </w:rPr>
              <w:lastRenderedPageBreak/>
              <w:t>Gas Services Information Amendment Regulations (No. 2) 2016</w:t>
            </w:r>
          </w:p>
        </w:tc>
        <w:tc>
          <w:tcPr>
            <w:tcW w:w="1276" w:type="dxa"/>
            <w:tcBorders>
              <w:top w:val="nil"/>
              <w:bottom w:val="nil"/>
            </w:tcBorders>
            <w:shd w:val="clear" w:color="auto" w:fill="auto"/>
          </w:tcPr>
          <w:p>
            <w:pPr>
              <w:pStyle w:val="nTable"/>
              <w:spacing w:after="40"/>
            </w:pPr>
            <w:r>
              <w:t>23 Nov 2016 p. 5271</w:t>
            </w:r>
            <w:r>
              <w:noBreakHyphen/>
              <w:t>5</w:t>
            </w:r>
          </w:p>
        </w:tc>
        <w:tc>
          <w:tcPr>
            <w:tcW w:w="2720" w:type="dxa"/>
            <w:tcBorders>
              <w:top w:val="nil"/>
              <w:bottom w:val="nil"/>
            </w:tcBorders>
            <w:shd w:val="clear" w:color="auto" w:fill="auto"/>
          </w:tcPr>
          <w:p>
            <w:pPr>
              <w:pStyle w:val="nTable"/>
              <w:spacing w:after="40"/>
              <w:rPr>
                <w:snapToGrid w:val="0"/>
              </w:rPr>
            </w:pPr>
            <w:r>
              <w:rPr>
                <w:snapToGrid w:val="0"/>
              </w:rPr>
              <w:t>r. 1 and 2: 23 Nov 2016 (see r. 2(a));</w:t>
            </w:r>
            <w:r>
              <w:rPr>
                <w:snapToGrid w:val="0"/>
              </w:rPr>
              <w:br/>
              <w:t>Regulations other than r. 1, 2 and 9(2): 24 Nov 2016 (see r. 2(c));</w:t>
            </w:r>
            <w:r>
              <w:rPr>
                <w:snapToGrid w:val="0"/>
              </w:rPr>
              <w:br/>
              <w:t xml:space="preserve">Regulation 9(2): </w:t>
            </w:r>
            <w:r>
              <w:t xml:space="preserve">3 Apr 2017 </w:t>
            </w:r>
            <w:r>
              <w:br/>
              <w:t>(see r. 2(b))</w:t>
            </w:r>
          </w:p>
        </w:tc>
      </w:tr>
      <w:tr>
        <w:tc>
          <w:tcPr>
            <w:tcW w:w="3091" w:type="dxa"/>
            <w:tcBorders>
              <w:top w:val="nil"/>
              <w:bottom w:val="nil"/>
            </w:tcBorders>
            <w:shd w:val="clear" w:color="auto" w:fill="auto"/>
          </w:tcPr>
          <w:p>
            <w:pPr>
              <w:pStyle w:val="nTable"/>
              <w:spacing w:after="40"/>
              <w:rPr>
                <w:i/>
              </w:rPr>
            </w:pPr>
            <w:r>
              <w:rPr>
                <w:i/>
              </w:rPr>
              <w:t>Gas Services Information Amendment Regulations 2017</w:t>
            </w:r>
          </w:p>
        </w:tc>
        <w:tc>
          <w:tcPr>
            <w:tcW w:w="1276" w:type="dxa"/>
            <w:tcBorders>
              <w:top w:val="nil"/>
              <w:bottom w:val="nil"/>
            </w:tcBorders>
            <w:shd w:val="clear" w:color="auto" w:fill="auto"/>
          </w:tcPr>
          <w:p>
            <w:pPr>
              <w:pStyle w:val="nTable"/>
              <w:spacing w:after="40"/>
            </w:pPr>
            <w:r>
              <w:t>30 Jun 2017 p. 3561</w:t>
            </w:r>
            <w:r>
              <w:noBreakHyphen/>
              <w:t>2</w:t>
            </w:r>
          </w:p>
        </w:tc>
        <w:tc>
          <w:tcPr>
            <w:tcW w:w="2720" w:type="dxa"/>
            <w:tcBorders>
              <w:top w:val="nil"/>
              <w:bottom w:val="nil"/>
            </w:tcBorders>
            <w:shd w:val="clear" w:color="auto" w:fill="auto"/>
          </w:tcPr>
          <w:p>
            <w:pPr>
              <w:pStyle w:val="nTable"/>
              <w:spacing w:after="40"/>
              <w:rPr>
                <w:snapToGrid w:val="0"/>
              </w:rPr>
            </w:pPr>
            <w:r>
              <w:rPr>
                <w:snapToGrid w:val="0"/>
              </w:rPr>
              <w:t>r. 1 and 2: 30 Jun 2017 (see r. 2(a));</w:t>
            </w:r>
            <w:r>
              <w:rPr>
                <w:snapToGrid w:val="0"/>
              </w:rPr>
              <w:br/>
              <w:t>Regulations other than r. 1 and 2: 1 Jul 2017 (see r. 2(b))</w:t>
            </w:r>
          </w:p>
        </w:tc>
      </w:tr>
      <w:tr>
        <w:trPr>
          <w:cantSplit/>
        </w:trPr>
        <w:tc>
          <w:tcPr>
            <w:tcW w:w="3091" w:type="dxa"/>
            <w:tcBorders>
              <w:top w:val="nil"/>
              <w:bottom w:val="nil"/>
            </w:tcBorders>
            <w:shd w:val="clear" w:color="auto" w:fill="auto"/>
          </w:tcPr>
          <w:p>
            <w:pPr>
              <w:pStyle w:val="nTable"/>
              <w:spacing w:after="40"/>
            </w:pPr>
            <w:r>
              <w:rPr>
                <w:i/>
              </w:rPr>
              <w:t>Energy Regulations Amendment (Independent Market Operator) Regulations 2018</w:t>
            </w:r>
            <w:r>
              <w:t xml:space="preserve"> Pt. 3</w:t>
            </w:r>
          </w:p>
        </w:tc>
        <w:tc>
          <w:tcPr>
            <w:tcW w:w="1276" w:type="dxa"/>
            <w:tcBorders>
              <w:top w:val="nil"/>
              <w:bottom w:val="nil"/>
            </w:tcBorders>
            <w:shd w:val="clear" w:color="auto" w:fill="auto"/>
          </w:tcPr>
          <w:p>
            <w:pPr>
              <w:pStyle w:val="nTable"/>
              <w:spacing w:after="40"/>
            </w:pPr>
            <w:r>
              <w:t>27 Jul 2018 p. 2687-9</w:t>
            </w:r>
          </w:p>
        </w:tc>
        <w:tc>
          <w:tcPr>
            <w:tcW w:w="2720" w:type="dxa"/>
            <w:tcBorders>
              <w:top w:val="nil"/>
              <w:bottom w:val="nil"/>
            </w:tcBorders>
            <w:shd w:val="clear" w:color="auto" w:fill="auto"/>
          </w:tcPr>
          <w:p>
            <w:pPr>
              <w:pStyle w:val="nTable"/>
              <w:spacing w:after="40"/>
              <w:rPr>
                <w:snapToGrid w:val="0"/>
              </w:rPr>
            </w:pPr>
            <w:r>
              <w:rPr>
                <w:snapToGrid w:val="0"/>
              </w:rPr>
              <w:t>28 Jul 2018 (see r. 2(b))</w:t>
            </w:r>
          </w:p>
        </w:tc>
      </w:tr>
      <w:tr>
        <w:tc>
          <w:tcPr>
            <w:tcW w:w="3091" w:type="dxa"/>
            <w:tcBorders>
              <w:top w:val="nil"/>
              <w:bottom w:val="nil"/>
            </w:tcBorders>
          </w:tcPr>
          <w:p>
            <w:pPr>
              <w:pStyle w:val="nTable"/>
              <w:spacing w:after="40"/>
              <w:rPr>
                <w:i/>
              </w:rPr>
            </w:pPr>
            <w:r>
              <w:rPr>
                <w:i/>
              </w:rPr>
              <w:t xml:space="preserve">Energy Regulations Amendment Regulations 2021 </w:t>
            </w:r>
            <w:r>
              <w:t xml:space="preserve">Pt. 4 </w:t>
            </w:r>
          </w:p>
        </w:tc>
        <w:tc>
          <w:tcPr>
            <w:tcW w:w="1276" w:type="dxa"/>
            <w:tcBorders>
              <w:top w:val="nil"/>
              <w:bottom w:val="nil"/>
            </w:tcBorders>
          </w:tcPr>
          <w:p>
            <w:pPr>
              <w:pStyle w:val="nTable"/>
              <w:spacing w:after="40"/>
            </w:pPr>
            <w:r>
              <w:t>SL 2021/2 15 Jan 2021</w:t>
            </w:r>
          </w:p>
        </w:tc>
        <w:tc>
          <w:tcPr>
            <w:tcW w:w="2720" w:type="dxa"/>
            <w:tcBorders>
              <w:top w:val="nil"/>
              <w:bottom w:val="nil"/>
            </w:tcBorders>
          </w:tcPr>
          <w:p>
            <w:pPr>
              <w:pStyle w:val="nTable"/>
              <w:spacing w:after="40"/>
              <w:rPr>
                <w:bCs/>
                <w:snapToGrid w:val="0"/>
                <w:spacing w:val="-2"/>
              </w:rPr>
            </w:pPr>
            <w:r>
              <w:rPr>
                <w:snapToGrid w:val="0"/>
              </w:rPr>
              <w:t>Div. 1: 16 Jan 2021 (see r. 2(d))</w:t>
            </w:r>
            <w:r>
              <w:rPr>
                <w:snapToGrid w:val="0"/>
              </w:rPr>
              <w:br/>
              <w:t>Div. 2: 1 Jul 2021 (see r. 2(e))</w:t>
            </w:r>
          </w:p>
        </w:tc>
      </w:tr>
      <w:tr>
        <w:tc>
          <w:tcPr>
            <w:tcW w:w="3091" w:type="dxa"/>
            <w:tcBorders>
              <w:top w:val="nil"/>
              <w:bottom w:val="single" w:sz="4" w:space="0" w:color="auto"/>
            </w:tcBorders>
          </w:tcPr>
          <w:p>
            <w:pPr>
              <w:pStyle w:val="nTable"/>
              <w:spacing w:after="40"/>
            </w:pPr>
            <w:r>
              <w:rPr>
                <w:i/>
              </w:rPr>
              <w:t>Energy Regulations Amendment Regulations 2023</w:t>
            </w:r>
            <w:r>
              <w:t xml:space="preserve"> Pt. 4</w:t>
            </w:r>
          </w:p>
        </w:tc>
        <w:tc>
          <w:tcPr>
            <w:tcW w:w="1276" w:type="dxa"/>
            <w:tcBorders>
              <w:top w:val="nil"/>
              <w:bottom w:val="single" w:sz="4" w:space="0" w:color="auto"/>
            </w:tcBorders>
          </w:tcPr>
          <w:p>
            <w:pPr>
              <w:pStyle w:val="nTable"/>
              <w:spacing w:after="40"/>
            </w:pPr>
            <w:r>
              <w:t>SL 2023/32 21 Apr 2023</w:t>
            </w:r>
          </w:p>
        </w:tc>
        <w:tc>
          <w:tcPr>
            <w:tcW w:w="2720" w:type="dxa"/>
            <w:tcBorders>
              <w:top w:val="nil"/>
              <w:bottom w:val="single" w:sz="4" w:space="0" w:color="auto"/>
            </w:tcBorders>
          </w:tcPr>
          <w:p>
            <w:pPr>
              <w:pStyle w:val="nTable"/>
              <w:spacing w:after="40"/>
              <w:rPr>
                <w:snapToGrid w:val="0"/>
              </w:rPr>
            </w:pPr>
            <w:r>
              <w:rPr>
                <w:snapToGrid w:val="0"/>
              </w:rPr>
              <w:t>8 am 1 Oct 2023 (see r. 2(c))</w:t>
            </w:r>
          </w:p>
        </w:tc>
      </w:tr>
    </w:tbl>
    <w:p>
      <w:pPr>
        <w:sectPr>
          <w:headerReference w:type="even" r:id="rId31"/>
          <w:headerReference w:type="default" r:id="rId32"/>
          <w:pgSz w:w="11907" w:h="16840" w:code="9"/>
          <w:pgMar w:top="2376" w:right="2404" w:bottom="3544" w:left="2404" w:header="720" w:footer="3544" w:gutter="0"/>
          <w:cols w:space="720"/>
          <w:noEndnote/>
          <w:docGrid w:linePitch="326"/>
        </w:sectPr>
      </w:pPr>
    </w:p>
    <w:p>
      <w:pPr>
        <w:pStyle w:val="nHeading2"/>
        <w:rPr>
          <w:sz w:val="28"/>
        </w:rPr>
      </w:pPr>
      <w:bookmarkStart w:id="76" w:name="_Toc155081693"/>
      <w:r>
        <w:rPr>
          <w:sz w:val="28"/>
        </w:rPr>
        <w:lastRenderedPageBreak/>
        <w:t>Defined terms</w:t>
      </w:r>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AEMO</w:t>
      </w:r>
      <w:r>
        <w:tab/>
        <w:t>3(1)</w:t>
      </w:r>
    </w:p>
    <w:p>
      <w:pPr>
        <w:pStyle w:val="DefinedTerms"/>
      </w:pPr>
      <w:r>
        <w:t>amend</w:t>
      </w:r>
      <w:r>
        <w:tab/>
        <w:t>3(1)</w:t>
      </w:r>
    </w:p>
    <w:p>
      <w:pPr>
        <w:pStyle w:val="DefinedTerms"/>
      </w:pPr>
      <w:r>
        <w:t>amending rules</w:t>
      </w:r>
      <w:r>
        <w:tab/>
        <w:t>7(1)</w:t>
      </w:r>
    </w:p>
    <w:p>
      <w:pPr>
        <w:pStyle w:val="DefinedTerms"/>
      </w:pPr>
      <w:r>
        <w:t>Arbitrator</w:t>
      </w:r>
      <w:r>
        <w:tab/>
        <w:t>3(1)</w:t>
      </w:r>
    </w:p>
    <w:p>
      <w:pPr>
        <w:pStyle w:val="DefinedTerms"/>
      </w:pPr>
      <w:r>
        <w:t>assessment amount</w:t>
      </w:r>
      <w:r>
        <w:tab/>
        <w:t>33</w:t>
      </w:r>
    </w:p>
    <w:p>
      <w:pPr>
        <w:pStyle w:val="DefinedTerms"/>
      </w:pPr>
      <w:r>
        <w:t>civil penalty</w:t>
      </w:r>
      <w:r>
        <w:tab/>
        <w:t>14</w:t>
      </w:r>
    </w:p>
    <w:p>
      <w:pPr>
        <w:pStyle w:val="DefinedTerms"/>
      </w:pPr>
      <w:r>
        <w:t>civil penalty provision</w:t>
      </w:r>
      <w:r>
        <w:tab/>
        <w:t>14</w:t>
      </w:r>
    </w:p>
    <w:p>
      <w:pPr>
        <w:pStyle w:val="DefinedTerms"/>
      </w:pPr>
      <w:r>
        <w:t>civil penalty provisions</w:t>
      </w:r>
      <w:r>
        <w:tab/>
        <w:t>15(1)</w:t>
      </w:r>
    </w:p>
    <w:p>
      <w:pPr>
        <w:pStyle w:val="DefinedTerms"/>
      </w:pPr>
      <w:r>
        <w:t>commencement time</w:t>
      </w:r>
      <w:r>
        <w:tab/>
        <w:t>13(4)</w:t>
      </w:r>
    </w:p>
    <w:p>
      <w:pPr>
        <w:pStyle w:val="DefinedTerms"/>
      </w:pPr>
      <w:r>
        <w:t>Coordinator</w:t>
      </w:r>
      <w:r>
        <w:tab/>
        <w:t>3(1)</w:t>
      </w:r>
    </w:p>
    <w:p>
      <w:pPr>
        <w:pStyle w:val="DefinedTerms"/>
      </w:pPr>
      <w:r>
        <w:t>core functions costs</w:t>
      </w:r>
      <w:r>
        <w:tab/>
        <w:t>33</w:t>
      </w:r>
    </w:p>
    <w:p>
      <w:pPr>
        <w:pStyle w:val="DefinedTerms"/>
      </w:pPr>
      <w:r>
        <w:t>determined costs</w:t>
      </w:r>
      <w:r>
        <w:tab/>
        <w:t>33</w:t>
      </w:r>
    </w:p>
    <w:p>
      <w:pPr>
        <w:pStyle w:val="DefinedTerms"/>
      </w:pPr>
      <w:r>
        <w:t>ERA</w:t>
      </w:r>
      <w:r>
        <w:tab/>
        <w:t>3(1)</w:t>
      </w:r>
    </w:p>
    <w:p>
      <w:pPr>
        <w:pStyle w:val="DefinedTerms"/>
      </w:pPr>
      <w:r>
        <w:t>function</w:t>
      </w:r>
      <w:r>
        <w:tab/>
        <w:t>8B(1)</w:t>
      </w:r>
    </w:p>
    <w:p>
      <w:pPr>
        <w:pStyle w:val="DefinedTerms"/>
      </w:pPr>
      <w:r>
        <w:t>GSI procedures</w:t>
      </w:r>
      <w:r>
        <w:tab/>
        <w:t>3(1)</w:t>
      </w:r>
    </w:p>
    <w:p>
      <w:pPr>
        <w:pStyle w:val="DefinedTerms"/>
      </w:pPr>
      <w:r>
        <w:t>GSI rules</w:t>
      </w:r>
      <w:r>
        <w:tab/>
        <w:t>3(1), 5, 6(1)</w:t>
      </w:r>
    </w:p>
    <w:p>
      <w:pPr>
        <w:pStyle w:val="DefinedTerms"/>
      </w:pPr>
      <w:r>
        <w:t>GSI website</w:t>
      </w:r>
      <w:r>
        <w:tab/>
        <w:t>3(1), 11(2)</w:t>
      </w:r>
    </w:p>
    <w:p>
      <w:pPr>
        <w:pStyle w:val="DefinedTerms"/>
      </w:pPr>
      <w:r>
        <w:t>IMO</w:t>
      </w:r>
      <w:r>
        <w:tab/>
        <w:t>3(1)</w:t>
      </w:r>
    </w:p>
    <w:p>
      <w:pPr>
        <w:pStyle w:val="DefinedTerms"/>
      </w:pPr>
      <w:r>
        <w:t>procedural decision</w:t>
      </w:r>
      <w:r>
        <w:tab/>
        <w:t>25(1)</w:t>
      </w:r>
    </w:p>
    <w:p>
      <w:pPr>
        <w:pStyle w:val="DefinedTerms"/>
      </w:pPr>
      <w:r>
        <w:t>proceedings</w:t>
      </w:r>
      <w:r>
        <w:tab/>
        <w:t>33</w:t>
      </w:r>
    </w:p>
    <w:p>
      <w:pPr>
        <w:pStyle w:val="DefinedTerms"/>
      </w:pPr>
      <w:r>
        <w:t>quarter</w:t>
      </w:r>
      <w:r>
        <w:tab/>
        <w:t>33</w:t>
      </w:r>
    </w:p>
    <w:p>
      <w:pPr>
        <w:pStyle w:val="DefinedTerms"/>
      </w:pPr>
      <w:r>
        <w:t>registered</w:t>
      </w:r>
      <w:r>
        <w:tab/>
        <w:t>3(1)</w:t>
      </w:r>
    </w:p>
    <w:p>
      <w:pPr>
        <w:pStyle w:val="DefinedTerms"/>
      </w:pPr>
      <w:r>
        <w:t>reviewable decision</w:t>
      </w:r>
      <w:r>
        <w:tab/>
        <w:t>25(1)</w:t>
      </w:r>
    </w:p>
    <w:p>
      <w:pPr>
        <w:pStyle w:val="DefinedTerms"/>
      </w:pPr>
      <w:r>
        <w:t>Rule Change Panel</w:t>
      </w:r>
      <w:r>
        <w:tab/>
        <w:t>3(1)</w:t>
      </w:r>
    </w:p>
    <w:p>
      <w:pPr>
        <w:pStyle w:val="DefinedTerms"/>
      </w:pPr>
      <w:r>
        <w:t>Rule Change Panel function</w:t>
      </w:r>
      <w:r>
        <w:tab/>
        <w:t>8B(1)</w:t>
      </w:r>
    </w:p>
    <w:p>
      <w:pPr>
        <w:pStyle w:val="DefinedTerms"/>
      </w:pPr>
      <w:r>
        <w:t>specified</w:t>
      </w:r>
      <w:r>
        <w:tab/>
        <w:t>3(1)</w:t>
      </w:r>
    </w:p>
    <w:p>
      <w:pPr>
        <w:pStyle w:val="DefinedTerms"/>
      </w:pPr>
      <w:r>
        <w:t>standing charge</w:t>
      </w:r>
      <w:r>
        <w:tab/>
        <w:t>33</w:t>
      </w:r>
    </w:p>
    <w:p>
      <w:pPr>
        <w:pStyle w:val="DefinedTerms"/>
      </w:pPr>
      <w:r>
        <w:t>warning notice</w:t>
      </w:r>
      <w:r>
        <w:tab/>
        <w:t>3(1)</w:t>
      </w:r>
    </w:p>
    <w:p/>
    <w:p>
      <w:pPr>
        <w:sectPr>
          <w:headerReference w:type="even" r:id="rId33"/>
          <w:headerReference w:type="default" r:id="rId34"/>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C95390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0C0FCF9" w14:textId="34C91F48" w:rsidR="00F948B7" w:rsidRDefault="00F948B7">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6B584EC" w14:textId="77777777" w:rsidR="00F948B7" w:rsidRDefault="00F948B7">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CB90881" w14:textId="41FD7715" w:rsidR="00F948B7" w:rsidRDefault="00F948B7">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1884019" w14:textId="77777777" w:rsidR="00F948B7" w:rsidRDefault="00F948B7">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01-n0-01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01-n0-01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01-n0-01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01-n0-01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01-n0-01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01-n0-01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9" w:name="Schedule"/>
    <w:bookmarkEnd w:id="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 w:name="Coversheet"/>
    <w:bookmarkEnd w:id="7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5101"/>
    <w:docVar w:name="WAFER_20140115113055" w:val="RemoveTocBookmarks,RemoveUnusedBookmarks,RemoveLanguageTags,UsedStyles,ResetPageSize,UpdateArrangement"/>
    <w:docVar w:name="WAFER_20140115113055_GUID" w:val="d1678ce1-96d1-46f4-8619-38aaa551f32e"/>
    <w:docVar w:name="WAFER_20140115113747" w:val="RemoveTocBookmarks,RunningHeaders"/>
    <w:docVar w:name="WAFER_20140115113747_GUID" w:val="5fcceca8-712b-48c6-8035-be347376a74e"/>
    <w:docVar w:name="WAFER_20150506114537" w:val="ResetPageSize,UpdateArrangement,UpdateNTable"/>
    <w:docVar w:name="WAFER_20150506114537_GUID" w:val="61c92523-03b2-4054-9d31-00bbf1c7ced6"/>
    <w:docVar w:name="WAFER_20150907134747" w:val="RemoveTocBookmarks,RemoveUnusedBookmarks,RemoveLanguageTags,UsedStyles,ResetPageSize"/>
    <w:docVar w:name="WAFER_20150907134747_GUID" w:val="df88b415-d655-40d3-83e6-3f2d21009b3b"/>
    <w:docVar w:name="WAFER_20151001160944" w:val="RemoveTocBookmarks,RemoveUnusedBookmarks,RemoveLanguageTags,UsedStyles,ResetPageSize"/>
    <w:docVar w:name="WAFER_20151001160944_GUID" w:val="0dc8e5bd-0c95-46f4-9ad1-ca3efd5bfa36"/>
    <w:docVar w:name="WAFER_20151105105410" w:val="UpdateStyles,UsedStyles"/>
    <w:docVar w:name="WAFER_20151105105410_GUID" w:val="f8391bae-c859-4e73-92ee-bc8d13762ee0"/>
    <w:docVar w:name="WAFER_20151113103853" w:val="UpdateStyles"/>
    <w:docVar w:name="WAFER_20151113103853_GUID" w:val="33d812c9-1cf9-4334-916e-fd5174cdb8fa"/>
    <w:docVar w:name="WAFER_20151113104146" w:val="UsedStyles"/>
    <w:docVar w:name="WAFER_20151113104146_GUID" w:val="bfb970bb-ff58-4211-ae91-ad49fd79876d"/>
    <w:docVar w:name="WAFER_20151117125746" w:val="UpdateStyles"/>
    <w:docVar w:name="WAFER_20151117125746_GUID" w:val="2692249f-e6b5-4783-9f02-2c972fd811f1"/>
    <w:docVar w:name="WAFER_20151117130925" w:val="UsedStyles"/>
    <w:docVar w:name="WAFER_20151117130925_GUID" w:val="a0f5aff9-c83e-4732-b3c8-e8c543924ae3"/>
    <w:docVar w:name="WAFER_20170403122518" w:val="RemoveTocBookmarks,RemoveUnusedBookmarks,RemoveLanguageTags,UsedStyles,ResetPageSize"/>
    <w:docVar w:name="WAFER_20170403122518_GUID" w:val="91ef20b7-706e-4d45-ae45-2e94abf4c62d"/>
    <w:docVar w:name="WAFER_20180726142312" w:val="RemoveTocBookmarks,RemoveUnusedBookmarks,RemoveLanguageTags,UsedStyles,ResetPageSize"/>
    <w:docVar w:name="WAFER_20180726142312_GUID" w:val="708745a4-50ad-4e8e-9219-2b3c161832e8"/>
    <w:docVar w:name="WAFER_20210113113248"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13113248_GUID" w:val="7aa3264e-c6ec-48f9-9a77-46c6f3a15602"/>
    <w:docVar w:name="WAFER_20210625155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5155145_GUID" w:val="76d60445-a39a-4174-a0cc-2e69e7042fbb"/>
    <w:docVar w:name="WAFER_202304181455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8145538_GUID" w:val="62d896f1-7c78-4f45-b55e-b33632b10d20"/>
    <w:docVar w:name="WAFER_202309220956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095621_GUID" w:val="4eda89d3-688e-4afe-a454-ae5bd8545d12"/>
    <w:docVar w:name="WAFER_20231228115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5101_GUID" w:val="f16bbb04-4e60-433a-89e7-a8dbb16ad2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84DC4CA4-F679-427D-87E7-256F0E99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71690-4FB2-4482-845E-D93557C8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12781</Words>
  <Characters>60839</Characters>
  <Application>Microsoft Office Word</Application>
  <DocSecurity>0</DocSecurity>
  <Lines>2027</Lines>
  <Paragraphs>1206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2012 - 01-n0-01</dc:title>
  <dc:subject/>
  <dc:creator/>
  <cp:keywords/>
  <dc:description/>
  <cp:lastModifiedBy>Master Repository Process</cp:lastModifiedBy>
  <cp:revision>4</cp:revision>
  <cp:lastPrinted>2015-11-30T02:49:00Z</cp:lastPrinted>
  <dcterms:created xsi:type="dcterms:W3CDTF">2024-01-02T01:53:00Z</dcterms:created>
  <dcterms:modified xsi:type="dcterms:W3CDTF">2024-01-02T01:53:00Z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2013-08-15T16:00:00Z</vt:filetime>
  </property>
  <property fmtid="{D5CDD505-2E9C-101B-9397-08002B2CF9AE}" pid="6" name="CommencementDate">
    <vt:lpwstr>20231001</vt:lpwstr>
  </property>
  <property fmtid="{D5CDD505-2E9C-101B-9397-08002B2CF9AE}" pid="7" name="CommencementAsAt">
    <vt:filetime>2023-09-30T16:00:00Z</vt:filetime>
  </property>
  <property fmtid="{D5CDD505-2E9C-101B-9397-08002B2CF9AE}" pid="8" name="CommencementYear">
    <vt:lpwstr>2023</vt:lpwstr>
  </property>
  <property fmtid="{D5CDD505-2E9C-101B-9397-08002B2CF9AE}" pid="9" name="AsAtDate">
    <vt:lpwstr>01 Oct 2023</vt:lpwstr>
  </property>
  <property fmtid="{D5CDD505-2E9C-101B-9397-08002B2CF9AE}" pid="10" name="Suffix">
    <vt:lpwstr>01-n0-01</vt:lpwstr>
  </property>
  <property fmtid="{D5CDD505-2E9C-101B-9397-08002B2CF9AE}" pid="11" name="Official">
    <vt:lpwstr/>
  </property>
</Properties>
</file>