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_Toc154744309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_Toc154744310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Sheep and Goat Industry Declared Pest Control and Compensation Account</w:t>
      </w:r>
    </w:p>
    <w:p>
      <w:pPr>
        <w:pStyle w:val="TOC8"/>
        <w:rPr>
          <w:rFonts w:asciiTheme="minorHAnsi" w:eastAsiaTheme="minorEastAsia" w:hAnsiTheme="minorHAnsi" w:cstheme="minorBidi"/>
          <w:szCs w:val="22"/>
        </w:rPr>
      </w:pPr>
      <w:r>
        <w:t>6.</w:t>
      </w:r>
      <w:r>
        <w:tab/>
        <w:t>Sheep and Goat Industry Declared Pest Control and Compensation Account established</w:t>
      </w:r>
      <w:r>
        <w:tab/>
      </w:r>
      <w:r>
        <w:fldChar w:fldCharType="begin"/>
      </w:r>
      <w:r>
        <w:instrText xml:space="preserve"> PAGEREF _Toc154744313 \h </w:instrText>
      </w:r>
      <w:r>
        <w:fldChar w:fldCharType="separate"/>
      </w:r>
      <w:r>
        <w:t>5</w:t>
      </w:r>
      <w:r>
        <w:fldChar w:fldCharType="end"/>
      </w:r>
    </w:p>
    <w:p>
      <w:pPr>
        <w:pStyle w:val="TOC8"/>
        <w:rPr>
          <w:rFonts w:asciiTheme="minorHAnsi" w:eastAsiaTheme="minorEastAsia" w:hAnsiTheme="minorHAnsi" w:cstheme="minorBidi"/>
          <w:szCs w:val="22"/>
        </w:rPr>
      </w:pPr>
      <w:r>
        <w:t>7.</w:t>
      </w:r>
      <w:r>
        <w:tab/>
        <w:t>Investment of the Account</w:t>
      </w:r>
      <w:r>
        <w:tab/>
      </w:r>
      <w:r>
        <w:fldChar w:fldCharType="begin"/>
      </w:r>
      <w:r>
        <w:instrText xml:space="preserve"> PAGEREF _Toc154744314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committee</w:t>
      </w:r>
    </w:p>
    <w:p>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_Toc154744316 \h </w:instrText>
      </w:r>
      <w:r>
        <w:fldChar w:fldCharType="separate"/>
      </w:r>
      <w:r>
        <w:t>6</w:t>
      </w:r>
      <w:r>
        <w:fldChar w:fldCharType="end"/>
      </w:r>
    </w:p>
    <w:p>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_Toc154744317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 for members of Industry Management Committee</w:t>
      </w:r>
      <w:r>
        <w:tab/>
      </w:r>
      <w:r>
        <w:fldChar w:fldCharType="begin"/>
      </w:r>
      <w:r>
        <w:instrText xml:space="preserve"> PAGEREF _Toc154744318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_Toc154744319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Sheep and Goat Industry Declared Pest Control and Compensation Funding Scheme</w:t>
      </w:r>
    </w:p>
    <w:p>
      <w:pPr>
        <w:pStyle w:val="TOC4"/>
        <w:tabs>
          <w:tab w:val="right" w:leader="dot" w:pos="7077"/>
        </w:tabs>
        <w:rPr>
          <w:rFonts w:asciiTheme="minorHAnsi" w:eastAsiaTheme="minorEastAsia" w:hAnsiTheme="minorHAnsi" w:cstheme="minorBidi"/>
          <w:b w:val="0"/>
          <w:szCs w:val="22"/>
        </w:rPr>
      </w:pPr>
      <w:r>
        <w:t>Division 1 — Contributions to the Account</w:t>
      </w:r>
    </w:p>
    <w:p>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_Toc154744322 \h </w:instrText>
      </w:r>
      <w:r>
        <w:fldChar w:fldCharType="separate"/>
      </w:r>
      <w:r>
        <w:t>9</w:t>
      </w:r>
      <w:r>
        <w:fldChar w:fldCharType="end"/>
      </w:r>
    </w:p>
    <w:p>
      <w:pPr>
        <w:pStyle w:val="TOC8"/>
        <w:rPr>
          <w:rFonts w:asciiTheme="minorHAnsi" w:eastAsiaTheme="minorEastAsia" w:hAnsiTheme="minorHAnsi" w:cstheme="minorBidi"/>
          <w:szCs w:val="22"/>
        </w:rPr>
      </w:pPr>
      <w:r>
        <w:t>13.</w:t>
      </w:r>
      <w:r>
        <w:tab/>
        <w:t>Area of operation and rate of contributions</w:t>
      </w:r>
      <w:r>
        <w:tab/>
      </w:r>
      <w:r>
        <w:fldChar w:fldCharType="begin"/>
      </w:r>
      <w:r>
        <w:instrText xml:space="preserve"> PAGEREF _Toc154744323 \h </w:instrText>
      </w:r>
      <w:r>
        <w:fldChar w:fldCharType="separate"/>
      </w:r>
      <w:r>
        <w:t>9</w:t>
      </w:r>
      <w:r>
        <w:fldChar w:fldCharType="end"/>
      </w:r>
    </w:p>
    <w:p>
      <w:pPr>
        <w:pStyle w:val="TOC8"/>
        <w:rPr>
          <w:rFonts w:asciiTheme="minorHAnsi" w:eastAsiaTheme="minorEastAsia" w:hAnsiTheme="minorHAnsi" w:cstheme="minorBidi"/>
          <w:szCs w:val="22"/>
        </w:rPr>
      </w:pPr>
      <w:r>
        <w:t>14.</w:t>
      </w:r>
      <w:r>
        <w:tab/>
        <w:t>Liability to pay contributions</w:t>
      </w:r>
      <w:r>
        <w:tab/>
      </w:r>
      <w:r>
        <w:fldChar w:fldCharType="begin"/>
      </w:r>
      <w:r>
        <w:instrText xml:space="preserve"> PAGEREF _Toc154744324 \h </w:instrText>
      </w:r>
      <w:r>
        <w:fldChar w:fldCharType="separate"/>
      </w:r>
      <w:r>
        <w:t>11</w:t>
      </w:r>
      <w:r>
        <w:fldChar w:fldCharType="end"/>
      </w:r>
    </w:p>
    <w:p>
      <w:pPr>
        <w:pStyle w:val="TOC8"/>
        <w:rPr>
          <w:rFonts w:asciiTheme="minorHAnsi" w:eastAsiaTheme="minorEastAsia" w:hAnsiTheme="minorHAnsi" w:cstheme="minorBidi"/>
          <w:szCs w:val="22"/>
        </w:rPr>
      </w:pPr>
      <w:r>
        <w:t>15.</w:t>
      </w:r>
      <w:r>
        <w:tab/>
        <w:t>Deduction and remittance of contributions</w:t>
      </w:r>
      <w:r>
        <w:tab/>
      </w:r>
      <w:r>
        <w:fldChar w:fldCharType="begin"/>
      </w:r>
      <w:r>
        <w:instrText xml:space="preserve"> PAGEREF _Toc154744325 \h </w:instrText>
      </w:r>
      <w:r>
        <w:fldChar w:fldCharType="separate"/>
      </w:r>
      <w:r>
        <w:t>12</w:t>
      </w:r>
      <w:r>
        <w:fldChar w:fldCharType="end"/>
      </w:r>
    </w:p>
    <w:p>
      <w:pPr>
        <w:pStyle w:val="TOC8"/>
        <w:rPr>
          <w:rFonts w:asciiTheme="minorHAnsi" w:eastAsiaTheme="minorEastAsia" w:hAnsiTheme="minorHAnsi" w:cstheme="minorBidi"/>
          <w:szCs w:val="22"/>
        </w:rPr>
      </w:pPr>
      <w:r>
        <w:t>16.</w:t>
      </w:r>
      <w:r>
        <w:tab/>
        <w:t>Opting out of the Scheme</w:t>
      </w:r>
      <w:r>
        <w:tab/>
      </w:r>
      <w:r>
        <w:fldChar w:fldCharType="begin"/>
      </w:r>
      <w:r>
        <w:instrText xml:space="preserve"> PAGEREF _Toc154744326 \h </w:instrText>
      </w:r>
      <w:r>
        <w:fldChar w:fldCharType="separate"/>
      </w:r>
      <w:r>
        <w:t>14</w:t>
      </w:r>
      <w:r>
        <w:fldChar w:fldCharType="end"/>
      </w:r>
    </w:p>
    <w:p>
      <w:pPr>
        <w:pStyle w:val="TOC8"/>
        <w:rPr>
          <w:rFonts w:asciiTheme="minorHAnsi" w:eastAsiaTheme="minorEastAsia" w:hAnsiTheme="minorHAnsi" w:cstheme="minorBidi"/>
          <w:szCs w:val="22"/>
        </w:rPr>
      </w:pPr>
      <w:r>
        <w:t>17.</w:t>
      </w:r>
      <w:r>
        <w:tab/>
        <w:t>Refund of contributions</w:t>
      </w:r>
      <w:r>
        <w:tab/>
      </w:r>
      <w:r>
        <w:fldChar w:fldCharType="begin"/>
      </w:r>
      <w:r>
        <w:instrText xml:space="preserve"> PAGEREF _Toc154744327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Payments from the Account</w:t>
      </w:r>
    </w:p>
    <w:p>
      <w:pPr>
        <w:pStyle w:val="TOC8"/>
        <w:rPr>
          <w:rFonts w:asciiTheme="minorHAnsi" w:eastAsiaTheme="minorEastAsia" w:hAnsiTheme="minorHAnsi" w:cstheme="minorBidi"/>
          <w:szCs w:val="22"/>
        </w:rPr>
      </w:pPr>
      <w:r>
        <w:t>18.</w:t>
      </w:r>
      <w:r>
        <w:tab/>
        <w:t>Approved programmes</w:t>
      </w:r>
      <w:r>
        <w:tab/>
      </w:r>
      <w:r>
        <w:fldChar w:fldCharType="begin"/>
      </w:r>
      <w:r>
        <w:instrText xml:space="preserve"> PAGEREF _Toc154744329 \h </w:instrText>
      </w:r>
      <w:r>
        <w:fldChar w:fldCharType="separate"/>
      </w:r>
      <w:r>
        <w:t>15</w:t>
      </w:r>
      <w:r>
        <w:fldChar w:fldCharType="end"/>
      </w:r>
    </w:p>
    <w:p>
      <w:pPr>
        <w:pStyle w:val="TOC8"/>
        <w:rPr>
          <w:rFonts w:asciiTheme="minorHAnsi" w:eastAsiaTheme="minorEastAsia" w:hAnsiTheme="minorHAnsi" w:cstheme="minorBidi"/>
          <w:szCs w:val="22"/>
        </w:rPr>
      </w:pPr>
      <w:r>
        <w:t>19.</w:t>
      </w:r>
      <w:r>
        <w:tab/>
        <w:t>Payments in respect of costs of approved programmes</w:t>
      </w:r>
      <w:r>
        <w:tab/>
      </w:r>
      <w:r>
        <w:fldChar w:fldCharType="begin"/>
      </w:r>
      <w:r>
        <w:instrText xml:space="preserve"> PAGEREF _Toc154744330 \h </w:instrText>
      </w:r>
      <w:r>
        <w:fldChar w:fldCharType="separate"/>
      </w:r>
      <w:r>
        <w:t>16</w:t>
      </w:r>
      <w:r>
        <w:fldChar w:fldCharType="end"/>
      </w:r>
    </w:p>
    <w:p>
      <w:pPr>
        <w:pStyle w:val="TOC8"/>
        <w:rPr>
          <w:rFonts w:asciiTheme="minorHAnsi" w:eastAsiaTheme="minorEastAsia" w:hAnsiTheme="minorHAnsi" w:cstheme="minorBidi"/>
          <w:szCs w:val="22"/>
        </w:rPr>
      </w:pPr>
      <w:r>
        <w:t>20.</w:t>
      </w:r>
      <w:r>
        <w:tab/>
        <w:t>Payments in respect of losses</w:t>
      </w:r>
      <w:r>
        <w:tab/>
      </w:r>
      <w:r>
        <w:fldChar w:fldCharType="begin"/>
      </w:r>
      <w:r>
        <w:instrText xml:space="preserve"> PAGEREF _Toc154744331 \h </w:instrText>
      </w:r>
      <w:r>
        <w:fldChar w:fldCharType="separate"/>
      </w:r>
      <w:r>
        <w:t>16</w:t>
      </w:r>
      <w:r>
        <w:fldChar w:fldCharType="end"/>
      </w:r>
    </w:p>
    <w:p>
      <w:pPr>
        <w:pStyle w:val="TOC8"/>
        <w:rPr>
          <w:rFonts w:asciiTheme="minorHAnsi" w:eastAsiaTheme="minorEastAsia" w:hAnsiTheme="minorHAnsi" w:cstheme="minorBidi"/>
          <w:szCs w:val="22"/>
        </w:rPr>
      </w:pPr>
      <w:r>
        <w:t>21.</w:t>
      </w:r>
      <w:r>
        <w:tab/>
        <w:t>Payments in respect of destroying sheep or goats</w:t>
      </w:r>
      <w:r>
        <w:tab/>
      </w:r>
      <w:r>
        <w:fldChar w:fldCharType="begin"/>
      </w:r>
      <w:r>
        <w:instrText xml:space="preserve"> PAGEREF _Toc154744332 \h </w:instrText>
      </w:r>
      <w:r>
        <w:fldChar w:fldCharType="separate"/>
      </w:r>
      <w:r>
        <w:t>18</w:t>
      </w:r>
      <w:r>
        <w:fldChar w:fldCharType="end"/>
      </w:r>
    </w:p>
    <w:p>
      <w:pPr>
        <w:pStyle w:val="TOC8"/>
        <w:rPr>
          <w:rFonts w:asciiTheme="minorHAnsi" w:eastAsiaTheme="minorEastAsia" w:hAnsiTheme="minorHAnsi" w:cstheme="minorBidi"/>
          <w:szCs w:val="22"/>
        </w:rPr>
      </w:pPr>
      <w:r>
        <w:t>22.</w:t>
      </w:r>
      <w:r>
        <w:tab/>
        <w:t>General provisions regarding payments</w:t>
      </w:r>
      <w:r>
        <w:tab/>
      </w:r>
      <w:r>
        <w:fldChar w:fldCharType="begin"/>
      </w:r>
      <w:r>
        <w:instrText xml:space="preserve"> PAGEREF _Toc154744333 \h </w:instrText>
      </w:r>
      <w:r>
        <w:fldChar w:fldCharType="separate"/>
      </w:r>
      <w:r>
        <w:t>19</w:t>
      </w:r>
      <w:r>
        <w:fldChar w:fldCharType="end"/>
      </w:r>
    </w:p>
    <w:p>
      <w:pPr>
        <w:pStyle w:val="TOC8"/>
        <w:rPr>
          <w:rFonts w:asciiTheme="minorHAnsi" w:eastAsiaTheme="minorEastAsia" w:hAnsiTheme="minorHAnsi" w:cstheme="minorBidi"/>
          <w:szCs w:val="22"/>
        </w:rPr>
      </w:pPr>
      <w:r>
        <w:t>24.</w:t>
      </w:r>
      <w:r>
        <w:tab/>
        <w:t>Purchase of capital assets out of the Account</w:t>
      </w:r>
      <w:r>
        <w:tab/>
      </w:r>
      <w:r>
        <w:fldChar w:fldCharType="begin"/>
      </w:r>
      <w:r>
        <w:instrText xml:space="preserve"> PAGEREF _Toc154744334 \h </w:instrText>
      </w:r>
      <w:r>
        <w:fldChar w:fldCharType="separate"/>
      </w:r>
      <w:r>
        <w:t>20</w:t>
      </w:r>
      <w:r>
        <w:fldChar w:fldCharType="end"/>
      </w:r>
    </w:p>
    <w:p>
      <w:pPr>
        <w:pStyle w:val="TOC8"/>
        <w:rPr>
          <w:rFonts w:asciiTheme="minorHAnsi" w:eastAsiaTheme="minorEastAsia" w:hAnsiTheme="minorHAnsi" w:cstheme="minorBidi"/>
          <w:szCs w:val="22"/>
        </w:rPr>
      </w:pPr>
      <w:r>
        <w:t>25.</w:t>
      </w:r>
      <w:r>
        <w:tab/>
        <w:t>Other payments out of the Account</w:t>
      </w:r>
      <w:r>
        <w:tab/>
      </w:r>
      <w:r>
        <w:fldChar w:fldCharType="begin"/>
      </w:r>
      <w:r>
        <w:instrText xml:space="preserve"> PAGEREF _Toc154744335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tab/>
        <w:t>Review of Scheme</w:t>
      </w:r>
      <w:r>
        <w:tab/>
      </w:r>
      <w:r>
        <w:fldChar w:fldCharType="begin"/>
      </w:r>
      <w:r>
        <w:instrText xml:space="preserve"> PAGEREF _Toc154744337 \h </w:instrText>
      </w:r>
      <w:r>
        <w:fldChar w:fldCharType="separate"/>
      </w:r>
      <w:r>
        <w:t>22</w:t>
      </w:r>
      <w:r>
        <w:fldChar w:fldCharType="end"/>
      </w:r>
    </w:p>
    <w:p>
      <w:pPr>
        <w:pStyle w:val="TOC8"/>
        <w:rPr>
          <w:rFonts w:asciiTheme="minorHAnsi" w:eastAsiaTheme="minorEastAsia" w:hAnsiTheme="minorHAnsi" w:cstheme="minorBidi"/>
          <w:szCs w:val="22"/>
        </w:rPr>
      </w:pPr>
      <w:r>
        <w:t>27.</w:t>
      </w:r>
      <w:r>
        <w:tab/>
        <w:t>Termination and winding up of Scheme</w:t>
      </w:r>
      <w:r>
        <w:tab/>
      </w:r>
      <w:r>
        <w:fldChar w:fldCharType="begin"/>
      </w:r>
      <w:r>
        <w:instrText xml:space="preserve"> PAGEREF _Toc154744338 \h </w:instrText>
      </w:r>
      <w:r>
        <w:fldChar w:fldCharType="separate"/>
      </w:r>
      <w:r>
        <w:t>22</w:t>
      </w:r>
      <w:r>
        <w:fldChar w:fldCharType="end"/>
      </w:r>
    </w:p>
    <w:p>
      <w:pPr>
        <w:pStyle w:val="TOC8"/>
        <w:rPr>
          <w:rFonts w:asciiTheme="minorHAnsi" w:eastAsiaTheme="minorEastAsia" w:hAnsiTheme="minorHAnsi" w:cstheme="minorBidi"/>
          <w:szCs w:val="22"/>
        </w:rPr>
      </w:pPr>
      <w:r>
        <w:t>28.</w:t>
      </w:r>
      <w:r>
        <w:tab/>
        <w:t>Expiry of the regulations</w:t>
      </w:r>
      <w:r>
        <w:tab/>
      </w:r>
      <w:r>
        <w:fldChar w:fldCharType="begin"/>
      </w:r>
      <w:r>
        <w:instrText xml:space="preserve"> PAGEREF _Toc154744339 \h </w:instrText>
      </w:r>
      <w:r>
        <w:fldChar w:fldCharType="separate"/>
      </w:r>
      <w:r>
        <w:t>24</w:t>
      </w:r>
      <w:r>
        <w:fldChar w:fldCharType="end"/>
      </w:r>
    </w:p>
    <w:p>
      <w:pPr>
        <w:pStyle w:val="TOC8"/>
        <w:rPr>
          <w:rFonts w:asciiTheme="minorHAnsi" w:eastAsiaTheme="minorEastAsia" w:hAnsiTheme="minorHAnsi" w:cstheme="minorBidi"/>
          <w:szCs w:val="22"/>
        </w:rPr>
      </w:pPr>
      <w:r>
        <w:t>29.</w:t>
      </w:r>
      <w:r>
        <w:tab/>
        <w:t>Offence</w:t>
      </w:r>
      <w:r>
        <w:tab/>
      </w:r>
      <w:r>
        <w:fldChar w:fldCharType="begin"/>
      </w:r>
      <w:r>
        <w:instrText xml:space="preserve"> PAGEREF _Toc154744340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Specified pests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_Toc154744343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3" w:name="_Toc15474430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30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t>.</w:t>
      </w:r>
    </w:p>
    <w:p>
      <w:pPr>
        <w:pStyle w:val="Heading5"/>
        <w:rPr>
          <w:spacing w:val="-2"/>
        </w:rPr>
      </w:pPr>
      <w:bookmarkStart w:id="5" w:name="_Toc15474431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4744311"/>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 </w:t>
      </w:r>
    </w:p>
    <w:p>
      <w:pPr>
        <w:pStyle w:val="Defsubpara"/>
      </w:pPr>
      <w:r>
        <w:tab/>
        <w:t>(i)</w:t>
      </w:r>
      <w:r>
        <w:tab/>
        <w:t>are located on a property within an area of operation; or</w:t>
      </w:r>
    </w:p>
    <w:p>
      <w:pPr>
        <w:pStyle w:val="Defsubpara"/>
      </w:pPr>
      <w:r>
        <w:tab/>
        <w:t>(ii)</w:t>
      </w:r>
      <w:r>
        <w:tab/>
        <w:t>have been removed from such a property for the purpose of offering them for sale;</w:t>
      </w:r>
    </w:p>
    <w:p>
      <w:pPr>
        <w:pStyle w:val="Defpara"/>
      </w:pPr>
      <w:r>
        <w:tab/>
      </w:r>
      <w:r>
        <w:tab/>
        <w:t>or</w:t>
      </w:r>
    </w:p>
    <w:p>
      <w:pPr>
        <w:pStyle w:val="Defpara"/>
      </w:pPr>
      <w:r>
        <w:tab/>
        <w:t>(b)</w:t>
      </w:r>
      <w:r>
        <w:tab/>
        <w:t>the carcasses of sheep or goats which were removed from a property within an area of operation for the purpose of slaughter;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16(1) for any previous financial year; or</w:t>
      </w:r>
    </w:p>
    <w:p>
      <w:pPr>
        <w:pStyle w:val="Defpara"/>
      </w:pPr>
      <w:r>
        <w:tab/>
        <w:t>(b)</w:t>
      </w:r>
      <w:r>
        <w:tab/>
        <w:t>has since last opting out of the Scheme under regulation 16(1)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lastRenderedPageBreak/>
        <w:tab/>
        <w:t>(c)</w:t>
      </w:r>
      <w:r>
        <w:tab/>
        <w:t>has since last opting out of the Scheme under regulation 16(1)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16(1);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16(1);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pPr>
        <w:pStyle w:val="Defstart"/>
      </w:pPr>
      <w:r>
        <w:tab/>
      </w:r>
      <w:r>
        <w:rPr>
          <w:rStyle w:val="CharDefText"/>
        </w:rPr>
        <w:t>Scheme</w:t>
      </w:r>
      <w:r>
        <w:t xml:space="preserve"> means the scheme constituted by Part 4;</w:t>
      </w:r>
    </w:p>
    <w:p>
      <w:pPr>
        <w:pStyle w:val="Defstart"/>
        <w:keepLines/>
      </w:pPr>
      <w:r>
        <w:lastRenderedPageBreak/>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Footnotesection"/>
      </w:pPr>
      <w:r>
        <w:tab/>
        <w:t>[Regulation 3 amended: Gazette 19 Dec 2017 p. 5933</w:t>
      </w:r>
      <w:r>
        <w:noBreakHyphen/>
        <w:t>4; SL 2020/255 r. 27.]</w:t>
      </w:r>
    </w:p>
    <w:p>
      <w:pPr>
        <w:pStyle w:val="Ednotesection"/>
      </w:pPr>
      <w:r>
        <w:t>[</w:t>
      </w:r>
      <w:r>
        <w:rPr>
          <w:b/>
        </w:rPr>
        <w:t>4,</w:t>
      </w:r>
      <w:r>
        <w:t xml:space="preserve"> </w:t>
      </w:r>
      <w:r>
        <w:rPr>
          <w:b/>
        </w:rPr>
        <w:t>5.</w:t>
      </w:r>
      <w:r>
        <w:tab/>
        <w:t>Deleted: SL 2020/255 r. 28.]</w:t>
      </w:r>
    </w:p>
    <w:p>
      <w:pPr>
        <w:pStyle w:val="Heading2"/>
      </w:pPr>
      <w:bookmarkStart w:id="7" w:name="_Toc154744312"/>
      <w:r>
        <w:rPr>
          <w:rStyle w:val="CharPartNo"/>
        </w:rPr>
        <w:lastRenderedPageBreak/>
        <w:t>Part 2</w:t>
      </w:r>
      <w:r>
        <w:rPr>
          <w:rStyle w:val="CharDivNo"/>
        </w:rPr>
        <w:t> </w:t>
      </w:r>
      <w:r>
        <w:t>—</w:t>
      </w:r>
      <w:r>
        <w:rPr>
          <w:rStyle w:val="CharDivText"/>
        </w:rPr>
        <w:t> </w:t>
      </w:r>
      <w:r>
        <w:rPr>
          <w:rStyle w:val="CharPartText"/>
        </w:rPr>
        <w:t>Sheep and Goat Industry Declared Pest Control and Compensation Account</w:t>
      </w:r>
      <w:bookmarkEnd w:id="7"/>
    </w:p>
    <w:p>
      <w:pPr>
        <w:pStyle w:val="Heading5"/>
      </w:pPr>
      <w:bookmarkStart w:id="8" w:name="_Toc154744313"/>
      <w:r>
        <w:rPr>
          <w:rStyle w:val="CharSectno"/>
        </w:rPr>
        <w:t>6</w:t>
      </w:r>
      <w:r>
        <w:t>.</w:t>
      </w:r>
      <w:r>
        <w:tab/>
        <w:t>Sheep and Goat Industry Declared Pest Control and Compensation Account established</w:t>
      </w:r>
      <w:bookmarkEnd w:id="8"/>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9" w:name="_Toc154744314"/>
      <w:r>
        <w:rPr>
          <w:rStyle w:val="CharSectno"/>
        </w:rPr>
        <w:t>7</w:t>
      </w:r>
      <w:r>
        <w:t>.</w:t>
      </w:r>
      <w:r>
        <w:tab/>
        <w:t>Investment of the Account</w:t>
      </w:r>
      <w:bookmarkEnd w:id="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0" w:name="_Toc154744315"/>
      <w:r>
        <w:rPr>
          <w:rStyle w:val="CharPartNo"/>
        </w:rPr>
        <w:lastRenderedPageBreak/>
        <w:t>Part 3</w:t>
      </w:r>
      <w:r>
        <w:rPr>
          <w:rStyle w:val="CharDivNo"/>
        </w:rPr>
        <w:t> </w:t>
      </w:r>
      <w:r>
        <w:t>—</w:t>
      </w:r>
      <w:r>
        <w:rPr>
          <w:rStyle w:val="CharDivText"/>
        </w:rPr>
        <w:t> </w:t>
      </w:r>
      <w:r>
        <w:rPr>
          <w:rStyle w:val="CharPartText"/>
        </w:rPr>
        <w:t>Management committee</w:t>
      </w:r>
      <w:bookmarkEnd w:id="10"/>
    </w:p>
    <w:p>
      <w:pPr>
        <w:pStyle w:val="Heading5"/>
      </w:pPr>
      <w:bookmarkStart w:id="11" w:name="_Toc154744316"/>
      <w:r>
        <w:rPr>
          <w:rStyle w:val="CharSectno"/>
        </w:rPr>
        <w:t>8</w:t>
      </w:r>
      <w:r>
        <w:t>.</w:t>
      </w:r>
      <w:r>
        <w:tab/>
        <w:t>Establishment of Industry Management Committee</w:t>
      </w:r>
      <w:bookmarkEnd w:id="11"/>
    </w:p>
    <w:p>
      <w:pPr>
        <w:pStyle w:val="Subsection"/>
      </w:pPr>
      <w:r>
        <w:tab/>
      </w:r>
      <w:r>
        <w:tab/>
        <w:t>A Sheep and Goat Industry Funding Scheme Management Committee is established for the Account.</w:t>
      </w:r>
    </w:p>
    <w:p>
      <w:pPr>
        <w:pStyle w:val="Heading5"/>
      </w:pPr>
      <w:bookmarkStart w:id="12" w:name="_Toc154744317"/>
      <w:r>
        <w:rPr>
          <w:rStyle w:val="CharSectno"/>
        </w:rPr>
        <w:t>9</w:t>
      </w:r>
      <w:r>
        <w:t>.</w:t>
      </w:r>
      <w:r>
        <w:tab/>
        <w:t>Appointment and composition of the Industry Management Committee</w:t>
      </w:r>
      <w:bookmarkEnd w:id="12"/>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lastRenderedPageBreak/>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(ca)</w:t>
      </w:r>
      <w:r>
        <w:tab/>
        <w:t>if the member was a participant at the time of appointment — at the beginning of the financial year for which the member opts out of the Scheme under regulation 16(1);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pPr>
      <w:r>
        <w:tab/>
        <w:t>[Regulation 9 amended: SL 2020/255 r. 29.]</w:t>
      </w:r>
    </w:p>
    <w:p>
      <w:pPr>
        <w:pStyle w:val="Heading5"/>
      </w:pPr>
      <w:bookmarkStart w:id="13" w:name="_Toc154744318"/>
      <w:r>
        <w:rPr>
          <w:rStyle w:val="CharSectno"/>
        </w:rPr>
        <w:t>10</w:t>
      </w:r>
      <w:r>
        <w:t>.</w:t>
      </w:r>
      <w:r>
        <w:tab/>
        <w:t>Remuneration and allowances for members of Industry Management Committee</w:t>
      </w:r>
      <w:bookmarkEnd w:id="13"/>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14" w:name="_Toc154744319"/>
      <w:r>
        <w:rPr>
          <w:rStyle w:val="CharSectno"/>
        </w:rPr>
        <w:lastRenderedPageBreak/>
        <w:t>11</w:t>
      </w:r>
      <w:r>
        <w:t>.</w:t>
      </w:r>
      <w:r>
        <w:tab/>
        <w:t>Functions of Industry Management Committee</w:t>
      </w:r>
      <w:bookmarkEnd w:id="14"/>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15" w:name="_Toc154744320"/>
      <w:r>
        <w:rPr>
          <w:rStyle w:val="CharPartNo"/>
        </w:rPr>
        <w:lastRenderedPageBreak/>
        <w:t>Part 4</w:t>
      </w:r>
      <w:r>
        <w:t> — </w:t>
      </w:r>
      <w:r>
        <w:rPr>
          <w:rStyle w:val="CharPartText"/>
        </w:rPr>
        <w:t>Sheep and Goat Industry Declared Pest Control and Compensation Funding Scheme</w:t>
      </w:r>
      <w:bookmarkEnd w:id="15"/>
    </w:p>
    <w:p>
      <w:pPr>
        <w:pStyle w:val="Heading3"/>
      </w:pPr>
      <w:bookmarkStart w:id="16" w:name="_Toc154744321"/>
      <w:r>
        <w:rPr>
          <w:rStyle w:val="CharDivNo"/>
        </w:rPr>
        <w:t>Division 1</w:t>
      </w:r>
      <w:r>
        <w:t> — </w:t>
      </w:r>
      <w:r>
        <w:rPr>
          <w:rStyle w:val="CharDivText"/>
        </w:rPr>
        <w:t>Contributions to the Account</w:t>
      </w:r>
      <w:bookmarkEnd w:id="16"/>
    </w:p>
    <w:p>
      <w:pPr>
        <w:pStyle w:val="Heading5"/>
      </w:pPr>
      <w:bookmarkStart w:id="17" w:name="_Toc154744322"/>
      <w:r>
        <w:rPr>
          <w:rStyle w:val="CharSectno"/>
        </w:rPr>
        <w:t>12</w:t>
      </w:r>
      <w:r>
        <w:t>.</w:t>
      </w:r>
      <w:r>
        <w:tab/>
        <w:t>Term used: notice</w:t>
      </w:r>
      <w:bookmarkEnd w:id="1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18" w:name="_Toc154744323"/>
      <w:r>
        <w:rPr>
          <w:rStyle w:val="CharSectno"/>
        </w:rPr>
        <w:t>13</w:t>
      </w:r>
      <w:r>
        <w:t>.</w:t>
      </w:r>
      <w:r>
        <w:tab/>
        <w:t>Area of operation and rate of contributions</w:t>
      </w:r>
      <w:bookmarkEnd w:id="18"/>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lastRenderedPageBreak/>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19" w:name="_Toc154744324"/>
      <w:r>
        <w:rPr>
          <w:rStyle w:val="CharSectno"/>
        </w:rPr>
        <w:lastRenderedPageBreak/>
        <w:t>14</w:t>
      </w:r>
      <w:r>
        <w:t>.</w:t>
      </w:r>
      <w:r>
        <w:tab/>
        <w:t>Liability to pay contributions</w:t>
      </w:r>
      <w:bookmarkEnd w:id="19"/>
    </w:p>
    <w:p>
      <w:pPr>
        <w:pStyle w:val="Subsection"/>
        <w:keepNext/>
      </w:pPr>
      <w:r>
        <w:tab/>
        <w:t>(1)</w:t>
      </w:r>
      <w:r>
        <w:tab/>
        <w:t>Every owner who completes a chargeable sale is to pay a contribution to the Account in accordance with this Scheme.</w:t>
      </w:r>
    </w:p>
    <w:p>
      <w:pPr>
        <w:pStyle w:val="Subsection"/>
        <w:keepNext/>
      </w:pPr>
      <w:r>
        <w:tab/>
        <w:t>(2)</w:t>
      </w:r>
      <w:r>
        <w:tab/>
        <w:t xml:space="preserve">If — </w:t>
      </w:r>
    </w:p>
    <w:p>
      <w:pPr>
        <w:pStyle w:val="Indenta"/>
        <w:keepNext/>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lastRenderedPageBreak/>
        <w:tab/>
        <w:t>(4)</w:t>
      </w:r>
      <w:r>
        <w:tab/>
        <w:t>The amount of the contribution payable in respect of a chargeable sale is to be calculated by reference to the rate of charge declared at the time the contract of sale is formed.</w:t>
      </w:r>
    </w:p>
    <w:p>
      <w:pPr>
        <w:pStyle w:val="Footnotesection"/>
      </w:pPr>
      <w:r>
        <w:tab/>
        <w:t>[Regulation 14 amended: Gazette 19 Dec 2017 p. 5934.]</w:t>
      </w:r>
    </w:p>
    <w:p>
      <w:pPr>
        <w:pStyle w:val="Heading5"/>
      </w:pPr>
      <w:bookmarkStart w:id="20" w:name="_Toc154744325"/>
      <w:r>
        <w:rPr>
          <w:rStyle w:val="CharSectno"/>
        </w:rPr>
        <w:t>15</w:t>
      </w:r>
      <w:r>
        <w:t>.</w:t>
      </w:r>
      <w:r>
        <w:tab/>
        <w:t>Deduction and remittance of contributions</w:t>
      </w:r>
      <w:bookmarkEnd w:id="20"/>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for this subregulation: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to deduct the amount of the contribution payable under regulation 14; and</w:t>
      </w:r>
    </w:p>
    <w:p>
      <w:pPr>
        <w:pStyle w:val="Indenta"/>
      </w:pPr>
      <w:r>
        <w:tab/>
        <w:t>(b)</w:t>
      </w:r>
      <w:r>
        <w:tab/>
        <w:t>to give the owner a written statement in such form as the Director General may require of the amount deducted.</w:t>
      </w:r>
    </w:p>
    <w:p>
      <w:pPr>
        <w:pStyle w:val="Penstart"/>
      </w:pPr>
      <w:r>
        <w:tab/>
        <w:t>Penalty for this subregulation: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 xml:space="preserve">give to the Director General a statement in writing in such form as the Director General may require, setting out each amount it has deducted, and such details of </w:t>
      </w:r>
      <w:r>
        <w:lastRenderedPageBreak/>
        <w:t>each chargeable sale in respect of which it has made deductions as the Director General may require.</w:t>
      </w:r>
    </w:p>
    <w:p>
      <w:pPr>
        <w:pStyle w:val="Penstart"/>
      </w:pPr>
      <w:r>
        <w:tab/>
        <w:t>Penalty for this subregulation: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the officer may require.</w:t>
      </w:r>
    </w:p>
    <w:p>
      <w:pPr>
        <w:pStyle w:val="Subsection"/>
      </w:pPr>
      <w:r>
        <w:lastRenderedPageBreak/>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14;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pPr>
      <w:r>
        <w:tab/>
        <w:t>[Regulation 15 amended: Gazette 19 Dec 2017 p. 5934; SL 2020/255 r. 30 and 35.]</w:t>
      </w:r>
    </w:p>
    <w:p>
      <w:pPr>
        <w:pStyle w:val="Heading5"/>
      </w:pPr>
      <w:bookmarkStart w:id="21" w:name="_Toc154744326"/>
      <w:r>
        <w:rPr>
          <w:rStyle w:val="CharSectno"/>
        </w:rPr>
        <w:t>16</w:t>
      </w:r>
      <w:r>
        <w:t>.</w:t>
      </w:r>
      <w:r>
        <w:tab/>
        <w:t>Opting out of the Scheme</w:t>
      </w:r>
      <w:bookmarkEnd w:id="21"/>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22" w:name="_Toc154744327"/>
      <w:r>
        <w:rPr>
          <w:rStyle w:val="CharSectno"/>
        </w:rPr>
        <w:t>17</w:t>
      </w:r>
      <w:r>
        <w:t>.</w:t>
      </w:r>
      <w:r>
        <w:tab/>
        <w:t>Refund of contributions</w:t>
      </w:r>
      <w:bookmarkEnd w:id="22"/>
    </w:p>
    <w:p>
      <w:pPr>
        <w:pStyle w:val="Subsection"/>
      </w:pPr>
      <w:r>
        <w:tab/>
        <w:t>(1)</w:t>
      </w:r>
      <w:r>
        <w:tab/>
        <w:t xml:space="preserve">An owner who has opted out of the Scheme under regulation 16(1) for a specified financial year may by notice given to the Director General before the 31 July following the end of the specified financial year request a refund of any </w:t>
      </w:r>
      <w:r>
        <w:lastRenderedPageBreak/>
        <w:t>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contributions.</w:t>
      </w:r>
    </w:p>
    <w:p>
      <w:pPr>
        <w:pStyle w:val="Footnotesection"/>
      </w:pPr>
      <w:r>
        <w:tab/>
        <w:t>[Regulation 17 amended: SL 2020/255 r. 31.]</w:t>
      </w:r>
    </w:p>
    <w:p>
      <w:pPr>
        <w:pStyle w:val="Heading3"/>
      </w:pPr>
      <w:bookmarkStart w:id="23" w:name="_Toc154744328"/>
      <w:r>
        <w:rPr>
          <w:rStyle w:val="CharDivNo"/>
        </w:rPr>
        <w:t>Division 2</w:t>
      </w:r>
      <w:r>
        <w:t> — </w:t>
      </w:r>
      <w:r>
        <w:rPr>
          <w:rStyle w:val="CharDivText"/>
        </w:rPr>
        <w:t>Payments from the Account</w:t>
      </w:r>
      <w:bookmarkEnd w:id="23"/>
    </w:p>
    <w:p>
      <w:pPr>
        <w:pStyle w:val="Heading5"/>
      </w:pPr>
      <w:bookmarkStart w:id="24" w:name="_Toc154744329"/>
      <w:r>
        <w:rPr>
          <w:rStyle w:val="CharSectno"/>
        </w:rPr>
        <w:t>18</w:t>
      </w:r>
      <w:r>
        <w:t>.</w:t>
      </w:r>
      <w:r>
        <w:tab/>
        <w:t>Approved programmes</w:t>
      </w:r>
      <w:bookmarkEnd w:id="24"/>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lastRenderedPageBreak/>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25" w:name="_Toc154744330"/>
      <w:r>
        <w:rPr>
          <w:rStyle w:val="CharSectno"/>
        </w:rPr>
        <w:t>19</w:t>
      </w:r>
      <w:r>
        <w:t>.</w:t>
      </w:r>
      <w:r>
        <w:tab/>
        <w:t>Payments in respect of costs of approved programmes</w:t>
      </w:r>
      <w:bookmarkEnd w:id="25"/>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26" w:name="_Toc154744331"/>
      <w:r>
        <w:rPr>
          <w:rStyle w:val="CharSectno"/>
        </w:rPr>
        <w:t>20</w:t>
      </w:r>
      <w:r>
        <w:t>.</w:t>
      </w:r>
      <w:r>
        <w:tab/>
        <w:t>Payments in respect of losses</w:t>
      </w:r>
      <w:bookmarkEnd w:id="26"/>
    </w:p>
    <w:p>
      <w:pPr>
        <w:pStyle w:val="Subsection"/>
        <w:keepNext/>
      </w:pPr>
      <w:r>
        <w:tab/>
        <w:t>(1)</w:t>
      </w:r>
      <w:r>
        <w:tab/>
        <w:t xml:space="preserve">Subject to subregulations (2) and (3) and to regulation 22, the Director General is on the approval of the Industry Management </w:t>
      </w:r>
      <w:r>
        <w:lastRenderedPageBreak/>
        <w:t xml:space="preserve">Committee to make payments of compensation out of the Account to a person who has suffered loss — </w:t>
      </w:r>
    </w:p>
    <w:p>
      <w:pPr>
        <w:pStyle w:val="Indenta"/>
      </w:pPr>
      <w:r>
        <w:tab/>
        <w:t>(a)</w:t>
      </w:r>
      <w:r>
        <w:tab/>
        <w:t>as a result of the person’s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r>
        <w:tab/>
        <w:t>[Regulation 20 amended: SL 2023/152 r. 8.]</w:t>
      </w:r>
    </w:p>
    <w:p>
      <w:pPr>
        <w:pStyle w:val="Heading5"/>
      </w:pPr>
      <w:bookmarkStart w:id="27" w:name="_Toc154744332"/>
      <w:r>
        <w:rPr>
          <w:rStyle w:val="CharSectno"/>
        </w:rPr>
        <w:lastRenderedPageBreak/>
        <w:t>21</w:t>
      </w:r>
      <w:r>
        <w:t>.</w:t>
      </w:r>
      <w:r>
        <w:tab/>
        <w:t>Payments in respect of destroying sheep or goats</w:t>
      </w:r>
      <w:bookmarkEnd w:id="27"/>
    </w:p>
    <w:p>
      <w:pPr>
        <w:pStyle w:val="Subsection"/>
      </w:pPr>
      <w:r>
        <w:tab/>
        <w:t>(1)</w:t>
      </w:r>
      <w:r>
        <w:tab/>
        <w:t xml:space="preserve">Subject to subregulation (2) and to regulation 22, the Director General is on the approval of the Industry Management Committee to make payments out of the Account to a person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r>
        <w:tab/>
        <w:t>[Regulation 21 amended: SL 2023/152 r. 9.]</w:t>
      </w:r>
    </w:p>
    <w:p>
      <w:pPr>
        <w:pStyle w:val="Heading5"/>
      </w:pPr>
      <w:bookmarkStart w:id="28" w:name="_Toc154744333"/>
      <w:r>
        <w:rPr>
          <w:rStyle w:val="CharSectno"/>
        </w:rPr>
        <w:lastRenderedPageBreak/>
        <w:t>22</w:t>
      </w:r>
      <w:r>
        <w:t>.</w:t>
      </w:r>
      <w:r>
        <w:tab/>
        <w:t>General provisions regarding payments</w:t>
      </w:r>
      <w:bookmarkEnd w:id="28"/>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(1A)</w:t>
      </w:r>
      <w:r>
        <w:tab/>
        <w:t>No payment is to be made under regulation 20 or 21 to a person who is not an owner unless the person has paid contributions under this Scheme in accordance with these regulations.</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keepNext/>
      </w:pPr>
      <w:r>
        <w:lastRenderedPageBreak/>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Subsection"/>
      </w:pPr>
      <w:r>
        <w:tab/>
        <w:t>(5)</w:t>
      </w:r>
      <w:r>
        <w:tab/>
        <w:t xml:space="preserve">An applicant who is dissatisfied with the outcome of an application that the applicant has made for a payment under regulation 19, 20 or 21 may request a review of the application under the </w:t>
      </w:r>
      <w:r>
        <w:rPr>
          <w:i/>
        </w:rPr>
        <w:t>Biosecurity and Agriculture Management Regulations 2013</w:t>
      </w:r>
      <w:r>
        <w:t xml:space="preserve"> regulation 129F(2).</w:t>
      </w:r>
    </w:p>
    <w:p>
      <w:pPr>
        <w:pStyle w:val="Footnotesection"/>
      </w:pPr>
      <w:r>
        <w:tab/>
        <w:t>[Regulation 22 amended: SL 2020/255 r. 32; SL 2023/152 r. 10.]</w:t>
      </w:r>
    </w:p>
    <w:p>
      <w:pPr>
        <w:pStyle w:val="Ednotesection"/>
      </w:pPr>
      <w:r>
        <w:t>[</w:t>
      </w:r>
      <w:r>
        <w:rPr>
          <w:b/>
        </w:rPr>
        <w:t>23.</w:t>
      </w:r>
      <w:r>
        <w:tab/>
        <w:t>Deleted: SL 2020/255 r. 33.]</w:t>
      </w:r>
    </w:p>
    <w:p>
      <w:pPr>
        <w:pStyle w:val="Heading5"/>
      </w:pPr>
      <w:bookmarkStart w:id="29" w:name="_Toc154744334"/>
      <w:r>
        <w:rPr>
          <w:rStyle w:val="CharSectno"/>
        </w:rPr>
        <w:t>24</w:t>
      </w:r>
      <w:r>
        <w:t>.</w:t>
      </w:r>
      <w:r>
        <w:tab/>
        <w:t>Purchase of capital assets out of the Account</w:t>
      </w:r>
      <w:bookmarkEnd w:id="29"/>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30" w:name="_Toc154744335"/>
      <w:r>
        <w:rPr>
          <w:rStyle w:val="CharSectno"/>
        </w:rPr>
        <w:t>25</w:t>
      </w:r>
      <w:r>
        <w:t>.</w:t>
      </w:r>
      <w:r>
        <w:tab/>
        <w:t>Other payments out of the Account</w:t>
      </w:r>
      <w:bookmarkEnd w:id="30"/>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subject to subregulation (3), in paying —</w:t>
      </w:r>
    </w:p>
    <w:p>
      <w:pPr>
        <w:pStyle w:val="Indenti"/>
      </w:pPr>
      <w:r>
        <w:tab/>
        <w:t>(i)</w:t>
      </w:r>
      <w:r>
        <w:tab/>
        <w:t xml:space="preserve">remuneration and allowances for members of the appointments committee determined under the </w:t>
      </w:r>
      <w:r>
        <w:rPr>
          <w:i/>
        </w:rPr>
        <w:t xml:space="preserve">Biosecurity and Agriculture Management </w:t>
      </w:r>
      <w:r>
        <w:rPr>
          <w:i/>
        </w:rPr>
        <w:lastRenderedPageBreak/>
        <w:t>Regulations 2013</w:t>
      </w:r>
      <w:r>
        <w:t xml:space="preserve"> regulation 129C(4) to the extent that the remuneration and allowances are costs and expenses of administering the Account;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costs and expenses of administering the Account;</w:t>
      </w:r>
    </w:p>
    <w:p>
      <w:pPr>
        <w:pStyle w:val="Indenta"/>
      </w:pPr>
      <w:r>
        <w:tab/>
      </w:r>
      <w:r>
        <w:tab/>
        <w:t>and</w:t>
      </w:r>
    </w:p>
    <w:p>
      <w:pPr>
        <w:pStyle w:val="Indenta"/>
      </w:pPr>
      <w:r>
        <w:tab/>
        <w:t>(e)</w:t>
      </w:r>
      <w:r>
        <w:tab/>
        <w:t>subject to subregulation (3), in paying the cost of the review for which regulation 26 provides; and</w:t>
      </w:r>
    </w:p>
    <w:p>
      <w:pPr>
        <w:pStyle w:val="Indenta"/>
      </w:pPr>
      <w:r>
        <w:tab/>
        <w:t>(f)</w:t>
      </w:r>
      <w:r>
        <w:tab/>
        <w:t>subject to subregulation (3), in paying or reimbursing any other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(1)(d) to (f) must be approved by the Industry Management Committee.</w:t>
      </w:r>
    </w:p>
    <w:p>
      <w:pPr>
        <w:pStyle w:val="Subsection"/>
      </w:pPr>
      <w:r>
        <w:tab/>
        <w:t>(4)</w:t>
      </w:r>
      <w:r>
        <w:tab/>
        <w:t>The Director General must notify the Industry Management Committee of any amount applied under subregulation (1)(b) or (c) within 1 month after application.</w:t>
      </w:r>
    </w:p>
    <w:p>
      <w:pPr>
        <w:pStyle w:val="Footnotesection"/>
      </w:pPr>
      <w:r>
        <w:tab/>
        <w:t>[Regulation 25 amended: SL 2020/255 r. 34.]</w:t>
      </w:r>
    </w:p>
    <w:p>
      <w:pPr>
        <w:pStyle w:val="Heading2"/>
      </w:pPr>
      <w:bookmarkStart w:id="31" w:name="_Toc154744336"/>
      <w:r>
        <w:rPr>
          <w:rStyle w:val="CharPartNo"/>
        </w:rPr>
        <w:lastRenderedPageBreak/>
        <w:t>Part 5</w:t>
      </w:r>
      <w:r>
        <w:rPr>
          <w:rStyle w:val="CharDivNo"/>
        </w:rPr>
        <w:t> </w:t>
      </w:r>
      <w:r>
        <w:t>—</w:t>
      </w:r>
      <w:r>
        <w:rPr>
          <w:rStyle w:val="CharDivText"/>
        </w:rPr>
        <w:t> </w:t>
      </w:r>
      <w:r>
        <w:rPr>
          <w:rStyle w:val="CharPartText"/>
        </w:rPr>
        <w:t>Miscellaneous</w:t>
      </w:r>
      <w:bookmarkEnd w:id="31"/>
    </w:p>
    <w:p>
      <w:pPr>
        <w:pStyle w:val="Heading5"/>
      </w:pPr>
      <w:bookmarkStart w:id="32" w:name="_Toc154744337"/>
      <w:r>
        <w:rPr>
          <w:rStyle w:val="CharSectno"/>
        </w:rPr>
        <w:t>26</w:t>
      </w:r>
      <w:r>
        <w:t>.</w:t>
      </w:r>
      <w:r>
        <w:tab/>
        <w:t>Review of Scheme</w:t>
      </w:r>
      <w:bookmarkEnd w:id="32"/>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33" w:name="_Toc154744338"/>
      <w:r>
        <w:rPr>
          <w:rStyle w:val="CharSectno"/>
        </w:rPr>
        <w:t>27</w:t>
      </w:r>
      <w:r>
        <w:t>.</w:t>
      </w:r>
      <w:r>
        <w:tab/>
        <w:t>Termination and winding up of Scheme</w:t>
      </w:r>
      <w:bookmarkEnd w:id="33"/>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lastRenderedPageBreak/>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 xml:space="preserve">applications for payments out of the Account made under regulation 19, 20 or 21 which have not yet been determined are to be determined as though the Scheme </w:t>
      </w:r>
      <w:r>
        <w:lastRenderedPageBreak/>
        <w:t>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r>
        <w:tab/>
        <w:t>[Regulation 27 amended: Gazette 19 Dec 2017 p. 5935.]</w:t>
      </w:r>
    </w:p>
    <w:p>
      <w:pPr>
        <w:pStyle w:val="Heading5"/>
      </w:pPr>
      <w:bookmarkStart w:id="34" w:name="_Toc154744339"/>
      <w:r>
        <w:rPr>
          <w:rStyle w:val="CharSectno"/>
        </w:rPr>
        <w:t>28</w:t>
      </w:r>
      <w:r>
        <w:t>.</w:t>
      </w:r>
      <w:r>
        <w:tab/>
        <w:t>Expiry of the regulations</w:t>
      </w:r>
      <w:bookmarkEnd w:id="34"/>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35" w:name="_Toc154744340"/>
      <w:r>
        <w:rPr>
          <w:rStyle w:val="CharSectno"/>
        </w:rPr>
        <w:lastRenderedPageBreak/>
        <w:t>29</w:t>
      </w:r>
      <w:r>
        <w:t>.</w:t>
      </w:r>
      <w:r>
        <w:tab/>
        <w:t>Offence</w:t>
      </w:r>
      <w:bookmarkEnd w:id="35"/>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36" w:name="_Toc154744341"/>
      <w:r>
        <w:rPr>
          <w:rStyle w:val="CharSchNo"/>
        </w:rPr>
        <w:lastRenderedPageBreak/>
        <w:t>Schedule 1</w:t>
      </w:r>
      <w:r>
        <w:rPr>
          <w:rStyle w:val="CharSDivNo"/>
        </w:rPr>
        <w:t> </w:t>
      </w:r>
      <w:r>
        <w:t>—</w:t>
      </w:r>
      <w:r>
        <w:rPr>
          <w:rStyle w:val="CharSDivText"/>
        </w:rPr>
        <w:t> </w:t>
      </w:r>
      <w:r>
        <w:rPr>
          <w:rStyle w:val="CharSchText"/>
        </w:rPr>
        <w:t>Specified pests</w:t>
      </w:r>
      <w:bookmarkEnd w:id="36"/>
    </w:p>
    <w:p>
      <w:pPr>
        <w:pStyle w:val="yShoulderClause"/>
      </w:pPr>
      <w:r>
        <w:t>[r. 3]</w:t>
      </w:r>
    </w:p>
    <w:p>
      <w:pPr>
        <w:pStyle w:val="yNumberedItem"/>
      </w:pPr>
      <w:r>
        <w:t>1.</w:t>
      </w:r>
      <w:r>
        <w:tab/>
        <w:t>Virulent footrot (</w:t>
      </w:r>
      <w:r>
        <w:rPr>
          <w:i/>
          <w:iCs/>
        </w:rPr>
        <w:t>dichelobacter nodosus</w:t>
      </w:r>
      <w:r>
        <w:t>)</w:t>
      </w:r>
    </w:p>
    <w:p>
      <w:pPr>
        <w:pStyle w:val="yNumberedItem"/>
      </w:pPr>
      <w:r>
        <w:t>2.</w:t>
      </w:r>
      <w:r>
        <w:tab/>
        <w:t>Dog, Wild or Feral (</w:t>
      </w:r>
      <w:r>
        <w:rPr>
          <w:i/>
        </w:rPr>
        <w:t>canis lupus familiaris</w:t>
      </w:r>
      <w:r>
        <w:t xml:space="preserve"> (feral))</w:t>
      </w:r>
    </w:p>
    <w:p>
      <w:pPr>
        <w:pStyle w:val="yFootnotesection"/>
      </w:pPr>
      <w:r>
        <w:tab/>
        <w:t>[Schedule 1 amended: Gazette 19 Dec 2017 p. 5935.]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38" w:name="_Toc154744342"/>
      <w:r>
        <w:lastRenderedPageBreak/>
        <w:t>Notes</w:t>
      </w:r>
      <w:bookmarkEnd w:id="38"/>
    </w:p>
    <w:p>
      <w:pPr>
        <w:pStyle w:val="nStatement"/>
      </w:pPr>
      <w:r>
        <w:t xml:space="preserve">This is a compilation of the </w:t>
      </w:r>
      <w:r>
        <w:rPr>
          <w:i/>
          <w:noProof/>
        </w:rPr>
        <w:t>Biosecurity and Agriculture Management Industry Funding Scheme (Sheep and Goats) Regulations 2010</w:t>
      </w:r>
      <w:r>
        <w:t xml:space="preserve"> and includes amendments made by other written laws. For provisions that have come into operation see the compilation table.</w:t>
      </w:r>
    </w:p>
    <w:p>
      <w:pPr>
        <w:pStyle w:val="nHeading3"/>
      </w:pPr>
      <w:bookmarkStart w:id="39" w:name="_Toc154744343"/>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(Sheep and Goats) Regulations 2010</w:t>
            </w:r>
          </w:p>
        </w:tc>
        <w:tc>
          <w:tcPr>
            <w:tcW w:w="1276" w:type="dxa"/>
            <w:tcBorders>
              <w:bottom w:val="nil"/>
            </w:tcBorders>
          </w:tcPr>
          <w:p>
            <w:pPr>
              <w:pStyle w:val="nTable"/>
              <w:spacing w:after="40"/>
            </w:pPr>
            <w:r>
              <w:t>21 May 2010 p. 2127</w:t>
            </w:r>
            <w:r>
              <w:noBreakHyphen/>
              <w:t>57</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8" w:type="dxa"/>
            <w:tcBorders>
              <w:top w:val="nil"/>
              <w:bottom w:val="nil"/>
            </w:tcBorders>
          </w:tcPr>
          <w:p>
            <w:pPr>
              <w:pStyle w:val="nTable"/>
              <w:spacing w:after="40"/>
              <w:rPr>
                <w:i/>
              </w:rPr>
            </w:pPr>
            <w:r>
              <w:rPr>
                <w:i/>
              </w:rPr>
              <w:t>Biosecurity and Agriculture Management Industry Funding Scheme (Sheep and Goats) Amendment Regulations 2017</w:t>
            </w:r>
          </w:p>
        </w:tc>
        <w:tc>
          <w:tcPr>
            <w:tcW w:w="1276" w:type="dxa"/>
            <w:tcBorders>
              <w:top w:val="nil"/>
              <w:bottom w:val="nil"/>
            </w:tcBorders>
          </w:tcPr>
          <w:p>
            <w:pPr>
              <w:pStyle w:val="nTable"/>
              <w:spacing w:after="40"/>
            </w:pPr>
            <w:r>
              <w:t>19 Dec 2017 p. 5933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19 Dec 2017 (see r. 2(a));</w:t>
            </w:r>
            <w:r>
              <w:rPr>
                <w:snapToGrid w:val="0"/>
                <w:spacing w:val="-2"/>
              </w:rPr>
              <w:br/>
              <w:t>Regulations other than r. 1 and 2: 20 Dec 2017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4</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Biosecurity and Agriculture Management Regulations Amendment (Industry Funding Schemes) Regulations 2023</w:t>
            </w:r>
            <w:r>
              <w:t xml:space="preserve"> Pt. 4</w:t>
            </w:r>
          </w:p>
        </w:tc>
        <w:tc>
          <w:tcPr>
            <w:tcW w:w="1276" w:type="dxa"/>
            <w:tcBorders>
              <w:bottom w:val="single" w:sz="4" w:space="0" w:color="auto"/>
            </w:tcBorders>
          </w:tcPr>
          <w:p>
            <w:pPr>
              <w:pStyle w:val="nTable"/>
              <w:spacing w:after="40"/>
            </w:pPr>
            <w:r>
              <w:t>SL 2023/152 4 Oct 2023</w:t>
            </w:r>
          </w:p>
        </w:tc>
        <w:tc>
          <w:tcPr>
            <w:tcW w:w="2693" w:type="dxa"/>
            <w:tcBorders>
              <w:bottom w:val="single" w:sz="4" w:space="0" w:color="auto"/>
            </w:tcBorders>
          </w:tcPr>
          <w:p>
            <w:pPr>
              <w:pStyle w:val="nTable"/>
              <w:spacing w:after="40"/>
              <w:rPr>
                <w:snapToGrid w:val="0"/>
                <w:spacing w:val="-2"/>
              </w:rPr>
            </w:pPr>
            <w:r>
              <w:rPr>
                <w:snapToGrid w:val="0"/>
                <w:spacing w:val="-2"/>
              </w:rPr>
              <w:t>5 Oct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1" w:name="_Toc154744344"/>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 xml:space="preserve">sheep and goat processor </w:t>
      </w:r>
      <w:r>
        <w:tab/>
        <w:t>3</w:t>
      </w:r>
    </w:p>
    <w:p>
      <w:pPr>
        <w:pStyle w:val="DefinedTerms"/>
      </w:pPr>
      <w:r>
        <w:t>specified pest</w:t>
      </w:r>
      <w:r>
        <w:tab/>
        <w:t>3</w:t>
      </w:r>
    </w:p>
    <w:p>
      <w:pPr>
        <w:pStyle w:val="DefinedTerms"/>
      </w:pPr>
      <w:r>
        <w:t>stock agent</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C6C15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BE20B9F" w14:textId="0A8E54F4" w:rsidR="00F026CD" w:rsidRDefault="00F026C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9E48D82" w14:textId="77777777" w:rsidR="00F026CD" w:rsidRDefault="00F026C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157749" w14:textId="4ECD6428" w:rsidR="00F026CD" w:rsidRDefault="00F026C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8E1B2B" w14:textId="77777777" w:rsidR="00F026CD" w:rsidRDefault="00F026C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104"/>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 w:name="WAFER_20201223095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711_GUID" w:val="c770a685-88b6-40b3-94da-fd38f27fe75d"/>
    <w:docVar w:name="WAFER_20230928143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8143924_GUID" w:val="3f0eb2f9-b6ff-4c2c-902a-f15d7f52f7bb"/>
    <w:docVar w:name="WAFER_20230928144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4000_GUID" w:val="2cf73c69-3ebd-4ce7-9ba5-f186bc86ffcb"/>
    <w:docVar w:name="WAFER_20231227155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104_GUID" w:val="f09fdca2-7b06-44ff-a929-b2d1e91dc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CC93836-AD90-43F8-8AA3-60C9E2A3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6311</Words>
  <Characters>31181</Characters>
  <Application>Microsoft Office Word</Application>
  <DocSecurity>0</DocSecurity>
  <Lines>866</Lines>
  <Paragraphs>474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2010 - 00-e0-01</dc:title>
  <dc:subject/>
  <dc:creator/>
  <cp:keywords/>
  <dc:description/>
  <cp:lastModifiedBy>Master Repository Process</cp:lastModifiedBy>
  <cp:revision>4</cp:revision>
  <cp:lastPrinted>2010-05-13T07:26:00Z</cp:lastPrinted>
  <dcterms:created xsi:type="dcterms:W3CDTF">2023-12-29T04:11:00Z</dcterms:created>
  <dcterms:modified xsi:type="dcterms:W3CDTF">2023-12-29T04:11:00Z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AsAtDate">
    <vt:lpwstr>05 Oct 2023</vt:lpwstr>
  </property>
  <property fmtid="{D5CDD505-2E9C-101B-9397-08002B2CF9AE}" pid="6" name="Suffix">
    <vt:lpwstr>00-e0-01</vt:lpwstr>
  </property>
  <property fmtid="{D5CDD505-2E9C-101B-9397-08002B2CF9AE}" pid="7" name="Official">
    <vt:lpwstr/>
  </property>
  <property fmtid="{D5CDD505-2E9C-101B-9397-08002B2CF9AE}" pid="8" name="CommencementDate">
    <vt:lpwstr>20231005</vt:lpwstr>
  </property>
  <property fmtid="{D5CDD505-2E9C-101B-9397-08002B2CF9AE}" pid="9" name="CommencementAsAt">
    <vt:filetime>2023-10-04T16:00:00Z</vt:filetime>
  </property>
  <property fmtid="{D5CDD505-2E9C-101B-9397-08002B2CF9AE}" pid="10" name="CommencementYear">
    <vt:lpwstr>2023</vt:lpwstr>
  </property>
</Properties>
</file>