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_Toc154745150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_Toc154745151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_Toc154745152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_Toc154745153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_Toc154745154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fees</w:t>
      </w:r>
      <w:r>
        <w:tab/>
      </w:r>
      <w:r>
        <w:fldChar w:fldCharType="begin"/>
      </w:r>
      <w:r>
        <w:instrText xml:space="preserve"> PAGEREF _Toc154745155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_Toc154745156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_Toc154745157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_Toc154745158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_Toc154745159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_Toc154745160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_Toc154745161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_Toc154745162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_Toc154745163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_Toc154745164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_Toc154745165 \h </w:instrText>
      </w:r>
      <w:r>
        <w:fldChar w:fldCharType="separate"/>
      </w:r>
      <w:r>
        <w:t>15</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_Toc154745166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_Toc154745167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_Toc154745168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_Toc154745169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_Toc154745170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_Toc154745171 \h </w:instrText>
      </w:r>
      <w:r>
        <w:fldChar w:fldCharType="separate"/>
      </w:r>
      <w:r>
        <w:t>18</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w:t>
      </w:r>
    </w:p>
    <w:p>
      <w:pPr>
        <w:pStyle w:val="TOC4"/>
        <w:tabs>
          <w:tab w:val="right" w:pos="7077"/>
        </w:tabs>
        <w:rPr>
          <w:rFonts w:asciiTheme="minorHAnsi" w:eastAsiaTheme="minorEastAsia" w:hAnsiTheme="minorHAnsi" w:cstheme="minorBidi"/>
          <w:b w:val="0"/>
          <w:szCs w:val="22"/>
        </w:rPr>
      </w:pPr>
      <w:r>
        <w:t>Form 2</w:t>
      </w:r>
    </w:p>
    <w:p>
      <w:pPr>
        <w:pStyle w:val="TOC4"/>
        <w:tabs>
          <w:tab w:val="right" w:pos="7077"/>
        </w:tabs>
        <w:rPr>
          <w:rFonts w:asciiTheme="minorHAnsi" w:eastAsiaTheme="minorEastAsia" w:hAnsiTheme="minorHAnsi" w:cstheme="minorBidi"/>
          <w:b w:val="0"/>
          <w:szCs w:val="22"/>
        </w:rPr>
      </w:pPr>
      <w:r>
        <w:t>Form 3</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_Toc154745176 \h </w:instrText>
      </w:r>
      <w:r>
        <w:fldChar w:fldCharType="separate"/>
      </w:r>
      <w:r>
        <w:t>27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_Toc154745177 \h </w:instrText>
      </w:r>
      <w:r>
        <w:fldChar w:fldCharType="separate"/>
      </w:r>
      <w:r>
        <w:t>30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3" w:name="_Toc154745150"/>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54745151"/>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keepNext/>
      </w:pPr>
      <w:r>
        <w:rPr>
          <w:b/>
        </w:rPr>
        <w:lastRenderedPageBreak/>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154745152"/>
      <w:r>
        <w:rPr>
          <w:rStyle w:val="CharSectno"/>
        </w:rPr>
        <w:lastRenderedPageBreak/>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keepNext/>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keepNext/>
        <w:rPr>
          <w:snapToGrid w:val="0"/>
        </w:rPr>
      </w:pPr>
      <w:r>
        <w:rPr>
          <w:snapToGrid w:val="0"/>
        </w:rPr>
        <w:tab/>
        <w:t>(c)</w:t>
      </w:r>
      <w:r>
        <w:rPr>
          <w:snapToGrid w:val="0"/>
        </w:rPr>
        <w:tab/>
        <w:t xml:space="preserve">carries out building or other maintenance work, or cleaning, or is engaged in the installation, servicing or </w:t>
      </w:r>
      <w:r>
        <w:rPr>
          <w:snapToGrid w:val="0"/>
        </w:rPr>
        <w:lastRenderedPageBreak/>
        <w:t>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154745153"/>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 xml:space="preserve">a letter from the Operator with which the applicant desires to be employed addressed to the Chief Casino Officer stating that the applicant (subject, in an appropriate case, to the successful completion by the </w:t>
      </w:r>
      <w:r>
        <w:rPr>
          <w:snapToGrid w:val="0"/>
        </w:rPr>
        <w:lastRenderedPageBreak/>
        <w:t>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lastRenderedPageBreak/>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154745154"/>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 xml:space="preserve">Upon the completion or discontinuance of an investigation under this regulation the Commissioner of Police shall return </w:t>
      </w:r>
      <w:r>
        <w:lastRenderedPageBreak/>
        <w:t>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154745155"/>
      <w:r>
        <w:rPr>
          <w:rStyle w:val="CharSectno"/>
        </w:rPr>
        <w:t>6</w:t>
      </w:r>
      <w:r>
        <w:rPr>
          <w:snapToGrid w:val="0"/>
        </w:rPr>
        <w:t>.</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$482; and</w:t>
      </w:r>
    </w:p>
    <w:p>
      <w:pPr>
        <w:pStyle w:val="Indenta"/>
        <w:rPr>
          <w:snapToGrid w:val="0"/>
        </w:rPr>
      </w:pPr>
      <w:r>
        <w:rPr>
          <w:snapToGrid w:val="0"/>
        </w:rPr>
        <w:tab/>
        <w:t>(b)</w:t>
      </w:r>
      <w:r>
        <w:rPr>
          <w:snapToGrid w:val="0"/>
        </w:rPr>
        <w:tab/>
        <w:t xml:space="preserve">for a casino employee licence, is </w:t>
      </w:r>
      <w:r>
        <w:t>$315.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$138.50; and</w:t>
      </w:r>
    </w:p>
    <w:p>
      <w:pPr>
        <w:pStyle w:val="Indenta"/>
        <w:rPr>
          <w:snapToGrid w:val="0"/>
        </w:rPr>
      </w:pPr>
      <w:r>
        <w:rPr>
          <w:snapToGrid w:val="0"/>
        </w:rPr>
        <w:tab/>
        <w:t>(b)</w:t>
      </w:r>
      <w:r>
        <w:rPr>
          <w:snapToGrid w:val="0"/>
        </w:rPr>
        <w:tab/>
        <w:t xml:space="preserve">for the renewal of a casino employee licence, is </w:t>
      </w:r>
      <w:r>
        <w:t>$138.50.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$55.</w:t>
      </w:r>
    </w:p>
    <w:p>
      <w:pPr>
        <w:pStyle w:val="Subsection"/>
        <w:keepNext/>
      </w:pPr>
      <w:r>
        <w:lastRenderedPageBreak/>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SL 2022/144 r. 6.] </w:t>
      </w:r>
    </w:p>
    <w:p>
      <w:pPr>
        <w:pStyle w:val="Heading5"/>
        <w:rPr>
          <w:snapToGrid w:val="0"/>
        </w:rPr>
      </w:pPr>
      <w:bookmarkStart w:id="9" w:name="_Toc154745156"/>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 xml:space="preserve">In a case to which regulation 4(3) applies, the Chief Casino Officer may only make a recommendation that the application be granted where the licence is to be a provisional licence or </w:t>
      </w:r>
      <w:r>
        <w:lastRenderedPageBreak/>
        <w:t>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154745157"/>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keepNext/>
      </w:pPr>
      <w:r>
        <w:lastRenderedPageBreak/>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154745158"/>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lastRenderedPageBreak/>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154745159"/>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154745160"/>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 xml:space="preserve">The Chief Casino Officer may, in relation to a specified casino key employee or casino employee, or casino key employee or casino employee carrying out duties of a kind specified in the </w:t>
      </w:r>
      <w:r>
        <w:lastRenderedPageBreak/>
        <w:t>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154745161"/>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154745162"/>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lastRenderedPageBreak/>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154745163"/>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 xml:space="preserve">who, being a casual employee or intermittent worker, has ceased to be employed or to work in the Casino for the time being but has obtained the approval of the Chief Casino Officer to the operation of his licence under </w:t>
      </w:r>
      <w:r>
        <w:rPr>
          <w:snapToGrid w:val="0"/>
        </w:rPr>
        <w:lastRenderedPageBreak/>
        <w:t>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154745164"/>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154745165"/>
      <w:r>
        <w:rPr>
          <w:rStyle w:val="CharSectno"/>
        </w:rPr>
        <w:lastRenderedPageBreak/>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lastRenderedPageBreak/>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154745166"/>
      <w:r>
        <w:rPr>
          <w:rStyle w:val="CharSectno"/>
        </w:rPr>
        <w:t>16</w:t>
      </w:r>
      <w:r>
        <w:t>.</w:t>
      </w:r>
      <w:r>
        <w:tab/>
        <w:t>Letter of censure</w:t>
      </w:r>
      <w:bookmarkEnd w:id="19"/>
    </w:p>
    <w:p>
      <w:pPr>
        <w:pStyle w:val="Subsection"/>
      </w:pPr>
      <w:r>
        <w:tab/>
        <w:t>(1)</w:t>
      </w:r>
      <w:r>
        <w:tab/>
        <w:t xml:space="preserve">If the Commission considers that the circumstances warrant it, the Commission may serve on a casino key employee licence </w:t>
      </w:r>
      <w:r>
        <w:lastRenderedPageBreak/>
        <w:t>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154745167"/>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154745168"/>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154745169"/>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154745170"/>
      <w:r>
        <w:rPr>
          <w:rStyle w:val="CharSectno"/>
        </w:rPr>
        <w:lastRenderedPageBreak/>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154745171"/>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 xml:space="preserve">unless a report has been received under regulation 5(3), the applicant has provided to the Chief Casino Officer a certificate from the Commissioner of Police, given not more than 3 months before the application was lodged, setting out details of any offences committed by the </w:t>
      </w:r>
      <w:r>
        <w:lastRenderedPageBreak/>
        <w:t>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lastRenderedPageBreak/>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5" w:name="_Toc154745172"/>
      <w:r>
        <w:rPr>
          <w:rStyle w:val="CharSchNo"/>
        </w:rPr>
        <w:lastRenderedPageBreak/>
        <w:t>Schedule</w:t>
      </w:r>
      <w:bookmarkEnd w:id="25"/>
    </w:p>
    <w:p>
      <w:pPr>
        <w:pStyle w:val="yEdnotedivision"/>
      </w:pPr>
      <w:r>
        <w:t>[Form 1 deleted: Gazette 14 Oct 2005 p. 4558.]</w:t>
      </w:r>
    </w:p>
    <w:p>
      <w:pPr>
        <w:pStyle w:val="yHeading3"/>
      </w:pPr>
      <w:bookmarkStart w:id="26" w:name="_Toc154745173"/>
      <w:r>
        <w:rPr>
          <w:rStyle w:val="CharSClsNo"/>
        </w:rPr>
        <w:t>Form 2</w:t>
      </w:r>
      <w:bookmarkEnd w:id="2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27" w:name="_Toc154745174"/>
      <w:r>
        <w:rPr>
          <w:rStyle w:val="CharSClsNo"/>
        </w:rPr>
        <w:lastRenderedPageBreak/>
        <w:t>Form 3</w:t>
      </w:r>
      <w:bookmarkEnd w:id="27"/>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lastRenderedPageBreak/>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lastRenderedPageBreak/>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lastRenderedPageBreak/>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lastRenderedPageBreak/>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9" w:name="_Toc154745175"/>
      <w:r>
        <w:lastRenderedPageBreak/>
        <w:t>Notes</w:t>
      </w:r>
      <w:bookmarkEnd w:id="29"/>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 w:name="_Toc154745176"/>
      <w:r>
        <w:t>Compilation table</w:t>
      </w:r>
      <w:bookmarkEnd w:id="30"/>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lastRenderedPageBreak/>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lastRenderedPageBreak/>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lastRenderedPageBreak/>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bottom w:val="single" w:sz="4" w:space="0" w:color="auto"/>
            </w:tcBorders>
          </w:tcPr>
          <w:p>
            <w:pPr>
              <w:pStyle w:val="nTable"/>
              <w:spacing w:after="40"/>
            </w:pPr>
            <w:r>
              <w:t>SL 2022/144 12 Aug 2022</w:t>
            </w:r>
          </w:p>
        </w:tc>
        <w:tc>
          <w:tcPr>
            <w:tcW w:w="2694" w:type="dxa"/>
            <w:gridSpan w:val="2"/>
            <w:tcBorders>
              <w:bottom w:val="single" w:sz="4" w:space="0" w:color="auto"/>
            </w:tcBorders>
          </w:tcPr>
          <w:p>
            <w:pPr>
              <w:pStyle w:val="nTable"/>
              <w:spacing w:after="40"/>
            </w:pPr>
            <w:r>
              <w:t>1 Jan 2023 (see r. 2(b))</w:t>
            </w:r>
          </w:p>
        </w:tc>
      </w:tr>
    </w:tbl>
    <w:p>
      <w:pPr>
        <w:pStyle w:val="nHeading3"/>
      </w:pPr>
      <w:bookmarkStart w:id="31" w:name="_Toc154745177"/>
      <w:r>
        <w:t>Uncommenced provisions table</w:t>
      </w:r>
      <w:bookmarkEnd w:id="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3</w:t>
            </w:r>
          </w:p>
        </w:tc>
        <w:tc>
          <w:tcPr>
            <w:tcW w:w="1276" w:type="dxa"/>
          </w:tcPr>
          <w:p>
            <w:pPr>
              <w:pStyle w:val="nTable"/>
              <w:spacing w:after="40"/>
            </w:pPr>
            <w:r>
              <w:t>SL 2023/156</w:t>
            </w:r>
          </w:p>
          <w:p>
            <w:pPr>
              <w:pStyle w:val="nTable"/>
              <w:spacing w:after="40"/>
            </w:pPr>
            <w:r>
              <w:t>18 Oct 2023</w:t>
            </w:r>
          </w:p>
        </w:tc>
        <w:tc>
          <w:tcPr>
            <w:tcW w:w="2693" w:type="dxa"/>
          </w:tcPr>
          <w:p>
            <w:pPr>
              <w:pStyle w:val="nTable"/>
              <w:spacing w:after="40"/>
            </w:pPr>
            <w:r>
              <w:t>1 Jan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3" w:name="_Toc154745178"/>
      <w:r>
        <w:rPr>
          <w:sz w:val="28"/>
        </w:rPr>
        <w:lastRenderedPageBreak/>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3EB7E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CD6F0D5" w14:textId="675FE3BC" w:rsidR="00810D9A" w:rsidRDefault="00810D9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E1F2D2" w14:textId="77777777" w:rsidR="00810D9A" w:rsidRDefault="00810D9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32D3B27" w14:textId="7960353A" w:rsidR="00810D9A" w:rsidRDefault="00810D9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433158" w14:textId="77777777" w:rsidR="00810D9A" w:rsidRDefault="00810D9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7"/>
      <w:gridCol w:w="318"/>
    </w:tblGrid>
    <w:tr>
      <w:trPr>
        <w:gridAfter w:val="1"/>
        <w:wAfter w:w="318" w:type="dxa"/>
        <w:cantSplit/>
        <w:jc w:val="center"/>
      </w:trPr>
      <w:tc>
        <w:tcPr>
          <w:tcW w:w="6945"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49" w:type="dxa"/>
      <w:jc w:val="center"/>
      <w:tblLayout w:type="fixed"/>
      <w:tblCellMar>
        <w:left w:w="72" w:type="dxa"/>
        <w:right w:w="72" w:type="dxa"/>
      </w:tblCellMar>
      <w:tblLook w:val="0000" w:firstRow="0" w:lastRow="0" w:firstColumn="0" w:lastColumn="0" w:noHBand="0" w:noVBand="0"/>
    </w:tblPr>
    <w:tblGrid>
      <w:gridCol w:w="5670"/>
      <w:gridCol w:w="1379"/>
    </w:tblGrid>
    <w:tr>
      <w:trPr>
        <w:cantSplit/>
        <w:jc w:val="center"/>
      </w:trPr>
      <w:tc>
        <w:tcPr>
          <w:tcW w:w="704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cantSplit/>
        <w:jc w:val="center"/>
      </w:trPr>
      <w:tc>
        <w:tcPr>
          <w:tcW w:w="7049"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8"/>
      <w:gridCol w:w="317"/>
    </w:tblGrid>
    <w:tr>
      <w:trPr>
        <w:gridAfter w:val="1"/>
        <w:wAfter w:w="317" w:type="dxa"/>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104"/>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 w:name="WAFER_20231012164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33_GUID" w:val="d3ab5f94-7f45-42af-8f92-e81236287ba6"/>
    <w:docVar w:name="WAFER_20231227160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104_GUID" w:val="bd35d663-8875-4d75-bc8f-2be50c0b4d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7371</Words>
  <Characters>39217</Characters>
  <Application>Microsoft Office Word</Application>
  <DocSecurity>0</DocSecurity>
  <Lines>1120</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1985 - 04-q0-01</dc:title>
  <dc:subject/>
  <dc:creator/>
  <cp:keywords/>
  <dc:description/>
  <cp:lastModifiedBy>Master Repository Process</cp:lastModifiedBy>
  <cp:revision>4</cp:revision>
  <cp:lastPrinted>2014-06-09T07:53:00Z</cp:lastPrinted>
  <dcterms:created xsi:type="dcterms:W3CDTF">2023-12-29T04:25:00Z</dcterms:created>
  <dcterms:modified xsi:type="dcterms:W3CDTF">2023-12-29T04:25:00Z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18 Oct 2023</vt:lpwstr>
  </property>
  <property fmtid="{D5CDD505-2E9C-101B-9397-08002B2CF9AE}" pid="8" name="Suffix">
    <vt:lpwstr>04-q0-01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