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(Joy Springs Restricted Area)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(Joy Springs Restricted Area)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_Toc155088477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_Toc155088478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Joy Springs (Eight Mile) area</w:t>
      </w:r>
      <w:r>
        <w:tab/>
      </w:r>
      <w:r>
        <w:fldChar w:fldCharType="begin"/>
      </w:r>
      <w:r>
        <w:instrText xml:space="preserve"> PAGEREF _Toc155088479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_Toc155088481 \h </w:instrText>
      </w:r>
      <w:r>
        <w:fldChar w:fldCharType="separate"/>
      </w:r>
      <w:r>
        <w:t>2</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_Toc155088482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Joy Springs (Eight Mile) area</w:t>
      </w:r>
      <w:r>
        <w:tab/>
      </w:r>
      <w:r>
        <w:fldChar w:fldCharType="begin"/>
      </w:r>
      <w:r>
        <w:instrText xml:space="preserve"> PAGEREF _Toc155088484 \h </w:instrText>
      </w:r>
      <w:r>
        <w:fldChar w:fldCharType="separate"/>
      </w:r>
      <w:r>
        <w:t>3</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_Toc155088485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_Toc155088487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_Toc155088489 \h </w:instrText>
      </w:r>
      <w:r>
        <w:fldChar w:fldCharType="separate"/>
      </w:r>
      <w:r>
        <w:t>5</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_Toc155088490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_Toc155088492 \h </w:instrText>
      </w:r>
      <w:r>
        <w:fldChar w:fldCharType="separate"/>
      </w:r>
      <w:r>
        <w:t>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_Toc155088493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pPr>
      <w:r>
        <w:lastRenderedPageBreak/>
        <w:t>Liquor Control Act 1988</w:t>
      </w:r>
    </w:p>
    <w:p>
      <w:pPr>
        <w:pStyle w:val="NameofActReg"/>
      </w:pPr>
      <w:r>
        <w:t>Liquor Control (Joy Springs Restricted Area) Regulations 2023</w:t>
      </w:r>
    </w:p>
    <w:p>
      <w:pPr>
        <w:pStyle w:val="Heading2"/>
        <w:pageBreakBefore w:val="0"/>
        <w:spacing w:before="240"/>
      </w:pPr>
      <w:bookmarkStart w:id="3" w:name="_Toc15508847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8477"/>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Liquor Control (Joy Springs Restricted Area) Regulations 2023</w:t>
      </w:r>
      <w:r>
        <w:t>.</w:t>
      </w:r>
    </w:p>
    <w:p>
      <w:pPr>
        <w:pStyle w:val="Heading5"/>
        <w:rPr>
          <w:spacing w:val="-2"/>
        </w:rPr>
      </w:pPr>
      <w:bookmarkStart w:id="6" w:name="_Toc15508847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pPr>
      <w:bookmarkStart w:id="7" w:name="_Toc155088479"/>
      <w:r>
        <w:rPr>
          <w:rStyle w:val="CharSectno"/>
        </w:rPr>
        <w:t>3</w:t>
      </w:r>
      <w:r>
        <w:t>.</w:t>
      </w:r>
      <w:r>
        <w:tab/>
        <w:t>Term used: Joy Springs (Eight Mile) area</w:t>
      </w:r>
      <w:bookmarkEnd w:id="7"/>
    </w:p>
    <w:p>
      <w:pPr>
        <w:pStyle w:val="Subsection"/>
        <w:keepNext/>
      </w:pPr>
      <w:r>
        <w:tab/>
      </w:r>
      <w:r>
        <w:tab/>
        <w:t xml:space="preserve">In these regulations — </w:t>
      </w:r>
    </w:p>
    <w:p>
      <w:pPr>
        <w:pStyle w:val="Defstart"/>
        <w:keepNext/>
      </w:pPr>
      <w:r>
        <w:tab/>
      </w:r>
      <w:r>
        <w:rPr>
          <w:rStyle w:val="CharDefText"/>
        </w:rPr>
        <w:t>Joy Springs (Eight Mile) area</w:t>
      </w:r>
      <w:r>
        <w:t xml:space="preserve"> means the area of land comprising — </w:t>
      </w:r>
    </w:p>
    <w:p>
      <w:pPr>
        <w:pStyle w:val="Defpara"/>
      </w:pPr>
      <w:r>
        <w:tab/>
        <w:t>(a)</w:t>
      </w:r>
      <w:r>
        <w:tab/>
        <w:t>Lot 39 on Deposited Plan 188553 (being all of the land within Reserve 40569); and</w:t>
      </w:r>
    </w:p>
    <w:p>
      <w:pPr>
        <w:pStyle w:val="Defpara"/>
      </w:pPr>
      <w:r>
        <w:tab/>
        <w:t>(b)</w:t>
      </w:r>
      <w:r>
        <w:tab/>
        <w:t xml:space="preserve">the land described as affected tenure outlined in black and shaded green on Deposited Plan 426596 (which includes Lot 29 on that Deposited Plan and part of Lot 68 on Deposited Plan 238022); and </w:t>
      </w:r>
    </w:p>
    <w:p>
      <w:pPr>
        <w:pStyle w:val="Defpara"/>
      </w:pPr>
      <w:r>
        <w:tab/>
        <w:t>(c)</w:t>
      </w:r>
      <w:r>
        <w:tab/>
        <w:t>the road known as the Joy Springs Road which runs between the Great Northern Highway and Lot 39 on Deposited Plan 188553.</w:t>
      </w:r>
    </w:p>
    <w:p>
      <w:pPr>
        <w:pStyle w:val="Heading2"/>
      </w:pPr>
      <w:bookmarkStart w:id="8" w:name="_Toc155088480"/>
      <w:r>
        <w:rPr>
          <w:rStyle w:val="CharPartNo"/>
        </w:rPr>
        <w:lastRenderedPageBreak/>
        <w:t>Part 2</w:t>
      </w:r>
      <w:r>
        <w:rPr>
          <w:rStyle w:val="CharDivNo"/>
        </w:rPr>
        <w:t> </w:t>
      </w:r>
      <w:r>
        <w:t>—</w:t>
      </w:r>
      <w:r>
        <w:rPr>
          <w:rStyle w:val="CharDivText"/>
        </w:rPr>
        <w:t> </w:t>
      </w:r>
      <w:r>
        <w:rPr>
          <w:rStyle w:val="CharPartText"/>
        </w:rPr>
        <w:t>Restricted area</w:t>
      </w:r>
      <w:bookmarkEnd w:id="8"/>
    </w:p>
    <w:p>
      <w:pPr>
        <w:pStyle w:val="Heading5"/>
      </w:pPr>
      <w:bookmarkStart w:id="9" w:name="_Toc155088481"/>
      <w:r>
        <w:rPr>
          <w:rStyle w:val="CharSectno"/>
        </w:rPr>
        <w:t>4</w:t>
      </w:r>
      <w:r>
        <w:t>.</w:t>
      </w:r>
      <w:r>
        <w:tab/>
        <w:t>Declaration of restricted area</w:t>
      </w:r>
      <w:bookmarkEnd w:id="9"/>
    </w:p>
    <w:p>
      <w:pPr>
        <w:pStyle w:val="Subsection"/>
      </w:pPr>
      <w:r>
        <w:tab/>
      </w:r>
      <w:r>
        <w:tab/>
        <w:t>The Joy Springs (Eight Mile) area is declared to be a restricted area for the purposes of section 175(1a) of the Act.</w:t>
      </w:r>
    </w:p>
    <w:p>
      <w:pPr>
        <w:pStyle w:val="Heading5"/>
      </w:pPr>
      <w:bookmarkStart w:id="10" w:name="_Toc155088482"/>
      <w:r>
        <w:rPr>
          <w:rStyle w:val="CharSectno"/>
        </w:rPr>
        <w:t>5</w:t>
      </w:r>
      <w:r>
        <w:t>.</w:t>
      </w:r>
      <w:r>
        <w:tab/>
        <w:t>Notice of restricted area</w:t>
      </w:r>
      <w:bookmarkEnd w:id="10"/>
    </w:p>
    <w:p>
      <w:pPr>
        <w:pStyle w:val="Subsection"/>
      </w:pPr>
      <w:r>
        <w:tab/>
        <w:t>(1)</w:t>
      </w:r>
      <w:r>
        <w:tab/>
        <w:t xml:space="preserve">The Director of Liquor Licensing must take all reasonable steps to cause to be posted, and while the Joy Springs (Eight Mile) area continues to be a restricted area by operation of regulation 4 to be kept posted, at each place where a customary access route enters the Joy Springs (Eight Mile) area a notice — </w:t>
      </w:r>
    </w:p>
    <w:p>
      <w:pPr>
        <w:pStyle w:val="Indenta"/>
      </w:pPr>
      <w:r>
        <w:tab/>
        <w:t>(a)</w:t>
      </w:r>
      <w:r>
        <w:tab/>
        <w:t>describing the offences set out in regulation 6(1);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11" w:name="_Toc155088483"/>
      <w:r>
        <w:rPr>
          <w:rStyle w:val="CharPartNo"/>
        </w:rPr>
        <w:lastRenderedPageBreak/>
        <w:t>Part 3</w:t>
      </w:r>
      <w:r>
        <w:rPr>
          <w:rStyle w:val="CharDivNo"/>
        </w:rPr>
        <w:t> </w:t>
      </w:r>
      <w:r>
        <w:t>—</w:t>
      </w:r>
      <w:r>
        <w:rPr>
          <w:rStyle w:val="CharDivText"/>
        </w:rPr>
        <w:t> </w:t>
      </w:r>
      <w:r>
        <w:rPr>
          <w:rStyle w:val="CharPartText"/>
        </w:rPr>
        <w:t>Prohibitions and related provisions</w:t>
      </w:r>
      <w:bookmarkEnd w:id="11"/>
    </w:p>
    <w:p>
      <w:pPr>
        <w:pStyle w:val="Heading5"/>
      </w:pPr>
      <w:bookmarkStart w:id="12" w:name="_Toc155088484"/>
      <w:r>
        <w:rPr>
          <w:rStyle w:val="CharSectno"/>
        </w:rPr>
        <w:t>6</w:t>
      </w:r>
      <w:r>
        <w:t>.</w:t>
      </w:r>
      <w:r>
        <w:tab/>
        <w:t>Prohibitions as to liquor in Joy Springs (Eight Mile) area</w:t>
      </w:r>
      <w:bookmarkEnd w:id="12"/>
    </w:p>
    <w:p>
      <w:pPr>
        <w:pStyle w:val="Subsection"/>
      </w:pPr>
      <w:r>
        <w:tab/>
        <w:t>(1)</w:t>
      </w:r>
      <w:r>
        <w:tab/>
        <w:t xml:space="preserve">A person commits an offence if the person — </w:t>
      </w:r>
    </w:p>
    <w:p>
      <w:pPr>
        <w:pStyle w:val="Indenta"/>
      </w:pPr>
      <w:r>
        <w:tab/>
        <w:t>(a)</w:t>
      </w:r>
      <w:r>
        <w:tab/>
        <w:t>brings liquor into, or causes liquor to be brought into, the Joy Springs (Eight Mile) area; or</w:t>
      </w:r>
    </w:p>
    <w:p>
      <w:pPr>
        <w:pStyle w:val="Indenta"/>
      </w:pPr>
      <w:r>
        <w:tab/>
        <w:t>(b)</w:t>
      </w:r>
      <w:r>
        <w:tab/>
        <w:t>possesses liquor in the Joy Springs (Eight Mile) area.</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3" w:name="_Toc155088485"/>
      <w:r>
        <w:rPr>
          <w:rStyle w:val="CharSectno"/>
        </w:rPr>
        <w:t>7</w:t>
      </w:r>
      <w:r>
        <w:t>.</w:t>
      </w:r>
      <w:r>
        <w:tab/>
        <w:t>Seizure and disposal of containers of liquor</w:t>
      </w:r>
      <w:bookmarkEnd w:id="13"/>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6(1).</w:t>
      </w:r>
    </w:p>
    <w:p>
      <w:pPr>
        <w:pStyle w:val="Heading2"/>
      </w:pPr>
      <w:bookmarkStart w:id="14" w:name="_Toc155088486"/>
      <w:r>
        <w:rPr>
          <w:rStyle w:val="CharPartNo"/>
        </w:rPr>
        <w:lastRenderedPageBreak/>
        <w:t>Part 4</w:t>
      </w:r>
      <w:r>
        <w:rPr>
          <w:rStyle w:val="CharDivNo"/>
        </w:rPr>
        <w:t> </w:t>
      </w:r>
      <w:r>
        <w:t>—</w:t>
      </w:r>
      <w:r>
        <w:rPr>
          <w:rStyle w:val="CharDivText"/>
        </w:rPr>
        <w:t> </w:t>
      </w:r>
      <w:r>
        <w:rPr>
          <w:rStyle w:val="CharPartText"/>
        </w:rPr>
        <w:t>Period of effect</w:t>
      </w:r>
      <w:bookmarkEnd w:id="14"/>
    </w:p>
    <w:p>
      <w:pPr>
        <w:pStyle w:val="Heading5"/>
      </w:pPr>
      <w:bookmarkStart w:id="15" w:name="_Toc155088487"/>
      <w:r>
        <w:rPr>
          <w:rStyle w:val="CharSectno"/>
        </w:rPr>
        <w:t>8</w:t>
      </w:r>
      <w:r>
        <w:t>.</w:t>
      </w:r>
      <w:r>
        <w:tab/>
        <w:t>Period during which these regulations have effect</w:t>
      </w:r>
      <w:bookmarkEnd w:id="15"/>
    </w:p>
    <w:p>
      <w:pPr>
        <w:pStyle w:val="Subsection"/>
      </w:pPr>
      <w:r>
        <w:tab/>
      </w:r>
      <w:r>
        <w:tab/>
        <w:t>Unless sooner repealed, these regulations have effect for the period that ends at the close of 30 November 2028.</w:t>
      </w:r>
    </w:p>
    <w:p>
      <w:pPr>
        <w:pStyle w:val="Heading2"/>
        <w:rPr>
          <w:rStyle w:val="CharDivText"/>
        </w:rPr>
      </w:pPr>
      <w:bookmarkStart w:id="16" w:name="_Toc155088488"/>
      <w:r>
        <w:rPr>
          <w:rStyle w:val="CharPartNo"/>
        </w:rPr>
        <w:lastRenderedPageBreak/>
        <w:t>Part 5</w:t>
      </w:r>
      <w:r>
        <w:rPr>
          <w:rStyle w:val="CharDivNo"/>
        </w:rPr>
        <w:t> </w:t>
      </w:r>
      <w:r>
        <w:t>—</w:t>
      </w:r>
      <w:r>
        <w:rPr>
          <w:rStyle w:val="CharDivText"/>
        </w:rPr>
        <w:t xml:space="preserve"> </w:t>
      </w:r>
      <w:r>
        <w:rPr>
          <w:rStyle w:val="CharPartText"/>
          <w:i/>
        </w:rPr>
        <w:t>Liquor Control Regulations 1989</w:t>
      </w:r>
      <w:r>
        <w:rPr>
          <w:rStyle w:val="CharPartText"/>
        </w:rPr>
        <w:t xml:space="preserve"> amended</w:t>
      </w:r>
      <w:bookmarkEnd w:id="16"/>
    </w:p>
    <w:p>
      <w:pPr>
        <w:pStyle w:val="Heading5"/>
      </w:pPr>
      <w:bookmarkStart w:id="17" w:name="_Toc155088489"/>
      <w:r>
        <w:rPr>
          <w:rStyle w:val="CharSectno"/>
        </w:rPr>
        <w:t>9</w:t>
      </w:r>
      <w:r>
        <w:t>.</w:t>
      </w:r>
      <w:r>
        <w:tab/>
        <w:t>Regulations amended</w:t>
      </w:r>
      <w:bookmarkEnd w:id="17"/>
    </w:p>
    <w:p>
      <w:pPr>
        <w:pStyle w:val="Subsection"/>
      </w:pPr>
      <w:r>
        <w:tab/>
      </w:r>
      <w:r>
        <w:tab/>
        <w:t xml:space="preserve">This Part amends the </w:t>
      </w:r>
      <w:r>
        <w:rPr>
          <w:i/>
        </w:rPr>
        <w:t>Liquor Control Regulations 1989</w:t>
      </w:r>
      <w:r>
        <w:t>.</w:t>
      </w:r>
    </w:p>
    <w:p>
      <w:pPr>
        <w:pStyle w:val="Heading5"/>
      </w:pPr>
      <w:bookmarkStart w:id="18" w:name="_Toc155088490"/>
      <w:r>
        <w:rPr>
          <w:rStyle w:val="CharSectno"/>
        </w:rPr>
        <w:t>10</w:t>
      </w:r>
      <w:r>
        <w:t>.</w:t>
      </w:r>
      <w:r>
        <w:tab/>
        <w:t>Regulation 27 amended</w:t>
      </w:r>
      <w:bookmarkEnd w:id="1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yTableNAm"/>
              <w:rPr>
                <w:sz w:val="24"/>
                <w:szCs w:val="24"/>
              </w:rPr>
            </w:pPr>
            <w:r>
              <w:rPr>
                <w:i/>
              </w:rPr>
              <w:t xml:space="preserve">Liquor Control (Joy Springs Restricted Area) Regulations 2023 </w:t>
            </w:r>
            <w:r>
              <w:rPr>
                <w:sz w:val="24"/>
                <w:szCs w:val="24"/>
              </w:rPr>
              <w:t>regulation 6(1)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keepNext/>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155088491"/>
      <w:r>
        <w:lastRenderedPageBreak/>
        <w:t>Notes</w:t>
      </w:r>
      <w:bookmarkEnd w:id="19"/>
    </w:p>
    <w:p>
      <w:pPr>
        <w:pStyle w:val="nStatement"/>
      </w:pPr>
      <w:r>
        <w:t xml:space="preserve">This is a compilation of the </w:t>
      </w:r>
      <w:r>
        <w:rPr>
          <w:i/>
          <w:noProof/>
        </w:rPr>
        <w:t>Liquor Control (Joy Springs Restricted Area) Regulations 2023</w:t>
      </w:r>
      <w:r>
        <w:t>. For provisions that have come into operation see the compilation table.</w:t>
      </w:r>
    </w:p>
    <w:p>
      <w:pPr>
        <w:pStyle w:val="nHeading3"/>
      </w:pPr>
      <w:bookmarkStart w:id="20" w:name="_Toc155088492"/>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noProof/>
              </w:rPr>
              <w:t>Liquor Control (Joy Springs Restricted Area) Regulations 2023</w:t>
            </w:r>
            <w:r>
              <w:rPr>
                <w:iCs/>
                <w:noProof/>
                <w:vertAlign w:val="superscript"/>
              </w:rPr>
              <w:t> 1</w:t>
            </w:r>
          </w:p>
        </w:tc>
        <w:tc>
          <w:tcPr>
            <w:tcW w:w="1276" w:type="dxa"/>
          </w:tcPr>
          <w:p>
            <w:pPr>
              <w:pStyle w:val="nTable"/>
              <w:spacing w:after="40"/>
            </w:pPr>
            <w:r>
              <w:t>SL 2023/159</w:t>
            </w:r>
            <w:r>
              <w:br/>
              <w:t>18 Oct 2023</w:t>
            </w:r>
          </w:p>
        </w:tc>
        <w:tc>
          <w:tcPr>
            <w:tcW w:w="2693" w:type="dxa"/>
          </w:tcPr>
          <w:p>
            <w:pPr>
              <w:pStyle w:val="nTable"/>
              <w:spacing w:after="40"/>
            </w:pPr>
            <w:r>
              <w:t>Pt. 1 (other than r. 3): 18 Oct 2023 (see r. 2(a));</w:t>
            </w:r>
            <w:r>
              <w:br/>
              <w:t>Regulations other than r. 1 and 2: 19 Oct 2023 (see r. 2(b))</w:t>
            </w:r>
          </w:p>
        </w:tc>
      </w:tr>
    </w:tbl>
    <w:p>
      <w:pPr>
        <w:pStyle w:val="nHeading3"/>
      </w:pPr>
      <w:bookmarkStart w:id="21" w:name="_Toc155088493"/>
      <w:r>
        <w:t>Other notes</w:t>
      </w:r>
      <w:bookmarkEnd w:id="21"/>
    </w:p>
    <w:p>
      <w:pPr>
        <w:pStyle w:val="nNote"/>
      </w:pPr>
      <w:r>
        <w:rPr>
          <w:vertAlign w:val="superscript"/>
        </w:rPr>
        <w:t>1</w:t>
      </w:r>
      <w:r>
        <w:tab/>
        <w:t>These regulations expire at the close of 30 November 2028 (see r. 8).</w:t>
      </w:r>
    </w:p>
    <w:p>
      <w:pPr>
        <w:pStyle w:val="nNoteSubPara"/>
      </w:pPr>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3" w:name="_Toc155088494"/>
      <w:r>
        <w:rPr>
          <w:sz w:val="28"/>
        </w:rPr>
        <w:lastRenderedPageBreak/>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Joy Springs (Eight Mile) area</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EBEC2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08CB8A3" w14:textId="1FAE6258" w:rsidR="005247A6" w:rsidRDefault="005247A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1942174" w14:textId="77777777" w:rsidR="005247A6" w:rsidRDefault="005247A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AD4299E" w14:textId="07505AA1" w:rsidR="005247A6" w:rsidRDefault="005247A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84D815E" w14:textId="77777777" w:rsidR="005247A6" w:rsidRDefault="005247A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2"/>
  </w:num>
  <w:num w:numId="4">
    <w:abstractNumId w:val="14"/>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81510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20150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0150838_GUID" w:val="8276eee9-d6e6-441f-99d5-08fcbfd9e798"/>
    <w:docVar w:name="WAFER_202310121457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12145750_GUID" w:val="52d65360-6a22-4873-bada-5968e47221c6"/>
    <w:docVar w:name="WAFER_202312281510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1030_GUID" w:val="4d78cbfe-afb2-47e8-91cb-e9442604fe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27F903C6-0F8A-4D3F-8F7E-F28FF9F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D12F-AAC0-40A7-965E-FE01EB54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4520</Characters>
  <Application>Microsoft Office Word</Application>
  <DocSecurity>0</DocSecurity>
  <Lines>161</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(Joy Springs Restricted Area) Regulations 2023 - 00-b0-03</dc:title>
  <dc:subject/>
  <dc:creator/>
  <cp:keywords/>
  <dc:description/>
  <cp:lastModifiedBy>Master Repository Process</cp:lastModifiedBy>
  <cp:revision>4</cp:revision>
  <cp:lastPrinted>2023-08-14T06:32:00Z</cp:lastPrinted>
  <dcterms:created xsi:type="dcterms:W3CDTF">2024-01-02T03:47:00Z</dcterms:created>
  <dcterms:modified xsi:type="dcterms:W3CDTF">2024-01-02T03:47:00Z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54201</vt:lpwstr>
  </property>
  <property fmtid="{D5CDD505-2E9C-101B-9397-08002B2CF9AE}" pid="3" name="DocumentType">
    <vt:lpwstr>Reg</vt:lpwstr>
  </property>
  <property fmtid="{D5CDD505-2E9C-101B-9397-08002B2CF9AE}" pid="4" name="AsAtDate">
    <vt:lpwstr>19 Oct 2023</vt:lpwstr>
  </property>
  <property fmtid="{D5CDD505-2E9C-101B-9397-08002B2CF9AE}" pid="5" name="Suffix">
    <vt:lpwstr>00-b0-03</vt:lpwstr>
  </property>
  <property fmtid="{D5CDD505-2E9C-101B-9397-08002B2CF9AE}" pid="6" name="Official">
    <vt:lpwstr/>
  </property>
  <property fmtid="{D5CDD505-2E9C-101B-9397-08002B2CF9AE}" pid="7" name="CommencementDate">
    <vt:lpwstr>20231019</vt:lpwstr>
  </property>
  <property fmtid="{D5CDD505-2E9C-101B-9397-08002B2CF9AE}" pid="8" name="CommencementAsAt">
    <vt:filetime>2023-10-18T16:00:00Z</vt:filetime>
  </property>
  <property fmtid="{D5CDD505-2E9C-101B-9397-08002B2CF9AE}" pid="9" name="CommencementYear">
    <vt:lpwstr>2023</vt:lpwstr>
  </property>
</Properties>
</file>