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Commission Rules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Commission Rules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_Toc155088345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_Toc155088346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_Toc155088347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_Toc155088348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Practice and procedure</w:t>
      </w:r>
    </w:p>
    <w:p>
      <w:pPr>
        <w:pStyle w:val="TOC8"/>
        <w:rPr>
          <w:rFonts w:asciiTheme="minorHAnsi" w:eastAsiaTheme="minorEastAsia" w:hAnsiTheme="minorHAnsi" w:cstheme="minorBidi"/>
          <w:szCs w:val="22"/>
        </w:rPr>
      </w:pPr>
      <w:r>
        <w:t>5.</w:t>
      </w:r>
      <w:r>
        <w:tab/>
        <w:t>Applications for review of decision of Director (s. 25 of Act)</w:t>
      </w:r>
      <w:r>
        <w:tab/>
      </w:r>
      <w:r>
        <w:fldChar w:fldCharType="begin"/>
      </w:r>
      <w:r>
        <w:instrText xml:space="preserve"> PAGEREF _Toc155088350 \h </w:instrText>
      </w:r>
      <w:r>
        <w:fldChar w:fldCharType="separate"/>
      </w:r>
      <w:r>
        <w:t>3</w:t>
      </w:r>
      <w:r>
        <w:fldChar w:fldCharType="end"/>
      </w:r>
    </w:p>
    <w:p>
      <w:pPr>
        <w:pStyle w:val="TOC8"/>
        <w:rPr>
          <w:rFonts w:asciiTheme="minorHAnsi" w:eastAsiaTheme="minorEastAsia" w:hAnsiTheme="minorHAnsi" w:cstheme="minorBidi"/>
          <w:szCs w:val="22"/>
        </w:rPr>
      </w:pPr>
      <w:r>
        <w:t>6.</w:t>
      </w:r>
      <w:r>
        <w:tab/>
        <w:t>Appeals against decision of Commission constituted by one member (s. 28(4a) of Act)</w:t>
      </w:r>
      <w:r>
        <w:tab/>
      </w:r>
      <w:r>
        <w:fldChar w:fldCharType="begin"/>
      </w:r>
      <w:r>
        <w:instrText xml:space="preserve"> PAGEREF _Toc155088351 \h </w:instrText>
      </w:r>
      <w:r>
        <w:fldChar w:fldCharType="separate"/>
      </w:r>
      <w:r>
        <w:t>4</w:t>
      </w:r>
      <w:r>
        <w:fldChar w:fldCharType="end"/>
      </w:r>
    </w:p>
    <w:p>
      <w:pPr>
        <w:pStyle w:val="TOC8"/>
        <w:rPr>
          <w:rFonts w:asciiTheme="minorHAnsi" w:eastAsiaTheme="minorEastAsia" w:hAnsiTheme="minorHAnsi" w:cstheme="minorBidi"/>
          <w:szCs w:val="22"/>
        </w:rPr>
      </w:pPr>
      <w:r>
        <w:t>7.</w:t>
      </w:r>
      <w:r>
        <w:tab/>
        <w:t>Complaints (s. 95 of Act)</w:t>
      </w:r>
      <w:r>
        <w:tab/>
      </w:r>
      <w:r>
        <w:fldChar w:fldCharType="begin"/>
      </w:r>
      <w:r>
        <w:instrText xml:space="preserve"> PAGEREF _Toc155088352 \h </w:instrText>
      </w:r>
      <w:r>
        <w:fldChar w:fldCharType="separate"/>
      </w:r>
      <w:r>
        <w:t>4</w:t>
      </w:r>
      <w:r>
        <w:fldChar w:fldCharType="end"/>
      </w:r>
    </w:p>
    <w:p>
      <w:pPr>
        <w:pStyle w:val="TOC8"/>
        <w:rPr>
          <w:rFonts w:asciiTheme="minorHAnsi" w:eastAsiaTheme="minorEastAsia" w:hAnsiTheme="minorHAnsi" w:cstheme="minorBidi"/>
          <w:szCs w:val="22"/>
        </w:rPr>
      </w:pPr>
      <w:r>
        <w:t>8A.</w:t>
      </w:r>
      <w:r>
        <w:tab/>
        <w:t>Lodging written submissions for proceedings</w:t>
      </w:r>
      <w:r>
        <w:tab/>
      </w:r>
      <w:r>
        <w:fldChar w:fldCharType="begin"/>
      </w:r>
      <w:r>
        <w:instrText xml:space="preserve"> PAGEREF _Toc155088353 \h </w:instrText>
      </w:r>
      <w:r>
        <w:fldChar w:fldCharType="separate"/>
      </w:r>
      <w:r>
        <w:t>5</w:t>
      </w:r>
      <w:r>
        <w:fldChar w:fldCharType="end"/>
      </w:r>
    </w:p>
    <w:p>
      <w:pPr>
        <w:pStyle w:val="TOC8"/>
        <w:rPr>
          <w:rFonts w:asciiTheme="minorHAnsi" w:eastAsiaTheme="minorEastAsia" w:hAnsiTheme="minorHAnsi" w:cstheme="minorBidi"/>
          <w:szCs w:val="22"/>
        </w:rPr>
      </w:pPr>
      <w:r>
        <w:t>8.</w:t>
      </w:r>
      <w:r>
        <w:tab/>
        <w:t>Separate proceedings determined simultaneously</w:t>
      </w:r>
      <w:r>
        <w:tab/>
      </w:r>
      <w:r>
        <w:fldChar w:fldCharType="begin"/>
      </w:r>
      <w:r>
        <w:instrText xml:space="preserve"> PAGEREF _Toc155088354 \h </w:instrText>
      </w:r>
      <w:r>
        <w:fldChar w:fldCharType="separate"/>
      </w:r>
      <w:r>
        <w:t>5</w:t>
      </w:r>
      <w:r>
        <w:fldChar w:fldCharType="end"/>
      </w:r>
    </w:p>
    <w:p>
      <w:pPr>
        <w:pStyle w:val="TOC8"/>
        <w:rPr>
          <w:rFonts w:asciiTheme="minorHAnsi" w:eastAsiaTheme="minorEastAsia" w:hAnsiTheme="minorHAnsi" w:cstheme="minorBidi"/>
          <w:szCs w:val="22"/>
        </w:rPr>
      </w:pPr>
      <w:r>
        <w:t>9.</w:t>
      </w:r>
      <w:r>
        <w:tab/>
        <w:t>Separate proceedings heard together</w:t>
      </w:r>
      <w:r>
        <w:tab/>
      </w:r>
      <w:r>
        <w:fldChar w:fldCharType="begin"/>
      </w:r>
      <w:r>
        <w:instrText xml:space="preserve"> PAGEREF _Toc155088355 \h </w:instrText>
      </w:r>
      <w:r>
        <w:fldChar w:fldCharType="separate"/>
      </w:r>
      <w:r>
        <w:t>6</w:t>
      </w:r>
      <w:r>
        <w:fldChar w:fldCharType="end"/>
      </w:r>
    </w:p>
    <w:p>
      <w:pPr>
        <w:pStyle w:val="TOC8"/>
        <w:rPr>
          <w:rFonts w:asciiTheme="minorHAnsi" w:eastAsiaTheme="minorEastAsia" w:hAnsiTheme="minorHAnsi" w:cstheme="minorBidi"/>
          <w:szCs w:val="22"/>
        </w:rPr>
      </w:pPr>
      <w:r>
        <w:t>10.</w:t>
      </w:r>
      <w:r>
        <w:tab/>
        <w:t>Withdrawal</w:t>
      </w:r>
      <w:r>
        <w:tab/>
      </w:r>
      <w:r>
        <w:fldChar w:fldCharType="begin"/>
      </w:r>
      <w:r>
        <w:instrText xml:space="preserve"> PAGEREF _Toc155088356 \h </w:instrText>
      </w:r>
      <w:r>
        <w:fldChar w:fldCharType="separate"/>
      </w:r>
      <w:r>
        <w:t>6</w:t>
      </w:r>
      <w:r>
        <w:fldChar w:fldCharType="end"/>
      </w:r>
    </w:p>
    <w:p>
      <w:pPr>
        <w:pStyle w:val="TOC8"/>
        <w:rPr>
          <w:rFonts w:asciiTheme="minorHAnsi" w:eastAsiaTheme="minorEastAsia" w:hAnsiTheme="minorHAnsi" w:cstheme="minorBidi"/>
          <w:szCs w:val="22"/>
        </w:rPr>
      </w:pPr>
      <w:r>
        <w:t>11.</w:t>
      </w:r>
      <w:r>
        <w:tab/>
        <w:t>Orders relating to practice and procedure</w:t>
      </w:r>
      <w:r>
        <w:tab/>
      </w:r>
      <w:r>
        <w:fldChar w:fldCharType="begin"/>
      </w:r>
      <w:r>
        <w:instrText xml:space="preserve"> PAGEREF _Toc155088357 \h </w:instrText>
      </w:r>
      <w:r>
        <w:fldChar w:fldCharType="separate"/>
      </w:r>
      <w:r>
        <w:t>6</w:t>
      </w:r>
      <w:r>
        <w:fldChar w:fldCharType="end"/>
      </w:r>
    </w:p>
    <w:p>
      <w:pPr>
        <w:pStyle w:val="TOC8"/>
        <w:rPr>
          <w:rFonts w:asciiTheme="minorHAnsi" w:eastAsiaTheme="minorEastAsia" w:hAnsiTheme="minorHAnsi" w:cstheme="minorBidi"/>
          <w:szCs w:val="22"/>
        </w:rPr>
      </w:pPr>
      <w:r>
        <w:t>12.</w:t>
      </w:r>
      <w:r>
        <w:tab/>
        <w:t>Costs orders</w:t>
      </w:r>
      <w:r>
        <w:tab/>
      </w:r>
      <w:r>
        <w:fldChar w:fldCharType="begin"/>
      </w:r>
      <w:r>
        <w:instrText xml:space="preserve"> PAGEREF _Toc155088358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tab/>
        <w:t>Authentication of decisions of Commission</w:t>
      </w:r>
      <w:r>
        <w:tab/>
      </w:r>
      <w:r>
        <w:fldChar w:fldCharType="begin"/>
      </w:r>
      <w:r>
        <w:instrText xml:space="preserve"> PAGEREF _Toc155088360 \h </w:instrText>
      </w:r>
      <w:r>
        <w:fldChar w:fldCharType="separate"/>
      </w:r>
      <w:r>
        <w:t>7</w:t>
      </w:r>
      <w:r>
        <w:fldChar w:fldCharType="end"/>
      </w:r>
    </w:p>
    <w:p>
      <w:pPr>
        <w:pStyle w:val="TOC8"/>
        <w:rPr>
          <w:rFonts w:asciiTheme="minorHAnsi" w:eastAsiaTheme="minorEastAsia" w:hAnsiTheme="minorHAnsi" w:cstheme="minorBidi"/>
          <w:szCs w:val="22"/>
        </w:rPr>
      </w:pPr>
      <w:r>
        <w:t>14.</w:t>
      </w:r>
      <w:r>
        <w:tab/>
        <w:t>Obtaining copies of documents in relation to proceedings</w:t>
      </w:r>
      <w:r>
        <w:tab/>
      </w:r>
      <w:r>
        <w:fldChar w:fldCharType="begin"/>
      </w:r>
      <w:r>
        <w:instrText xml:space="preserve"> PAGEREF _Toc155088361 \h </w:instrText>
      </w:r>
      <w:r>
        <w:fldChar w:fldCharType="separate"/>
      </w:r>
      <w:r>
        <w:t>7</w:t>
      </w:r>
      <w:r>
        <w:fldChar w:fldCharType="end"/>
      </w:r>
    </w:p>
    <w:p>
      <w:pPr>
        <w:pStyle w:val="TOC8"/>
        <w:rPr>
          <w:rFonts w:asciiTheme="minorHAnsi" w:eastAsiaTheme="minorEastAsia" w:hAnsiTheme="minorHAnsi" w:cstheme="minorBidi"/>
          <w:szCs w:val="22"/>
        </w:rPr>
      </w:pPr>
      <w:r>
        <w:t>15.</w:t>
      </w:r>
      <w:r>
        <w:tab/>
        <w:t>Costs and charges payable in relation to proceedings</w:t>
      </w:r>
      <w:r>
        <w:tab/>
      </w:r>
      <w:r>
        <w:fldChar w:fldCharType="begin"/>
      </w:r>
      <w:r>
        <w:instrText xml:space="preserve"> PAGEREF _Toc155088362 \h </w:instrText>
      </w:r>
      <w:r>
        <w:fldChar w:fldCharType="separate"/>
      </w:r>
      <w:r>
        <w:t>7</w:t>
      </w:r>
      <w:r>
        <w:fldChar w:fldCharType="end"/>
      </w:r>
    </w:p>
    <w:p>
      <w:pPr>
        <w:pStyle w:val="TOC8"/>
        <w:rPr>
          <w:rFonts w:asciiTheme="minorHAnsi" w:eastAsiaTheme="minorEastAsia" w:hAnsiTheme="minorHAnsi" w:cstheme="minorBidi"/>
          <w:szCs w:val="22"/>
        </w:rPr>
      </w:pPr>
      <w:r>
        <w:t>16.</w:t>
      </w:r>
      <w:r>
        <w:tab/>
        <w:t>Repeal and savings</w:t>
      </w:r>
      <w:r>
        <w:tab/>
      </w:r>
      <w:r>
        <w:fldChar w:fldCharType="begin"/>
      </w:r>
      <w:r>
        <w:instrText xml:space="preserve"> PAGEREF _Toc155088363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Costs and charges payable in relation to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_Toc155088366 \h </w:instrText>
      </w:r>
      <w:r>
        <w:fldChar w:fldCharType="separate"/>
      </w:r>
      <w:r>
        <w:t>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_Toc155088367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3" w:name="_Toc15508834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8345"/>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rules</w:t>
      </w:r>
      <w:r>
        <w:t xml:space="preserve"> are the </w:t>
      </w:r>
      <w:r>
        <w:rPr>
          <w:i/>
        </w:rPr>
        <w:t>Liquor Commission Rules 2007</w:t>
      </w:r>
      <w:r>
        <w:t>.</w:t>
      </w:r>
    </w:p>
    <w:p>
      <w:pPr>
        <w:pStyle w:val="Heading5"/>
      </w:pPr>
      <w:bookmarkStart w:id="6" w:name="_Toc155088346"/>
      <w:r>
        <w:rPr>
          <w:rStyle w:val="CharSectno"/>
        </w:rPr>
        <w:t>2</w:t>
      </w:r>
      <w:r>
        <w:t>.</w:t>
      </w:r>
      <w:r>
        <w:tab/>
        <w:t>Commencement</w:t>
      </w:r>
      <w:bookmarkEnd w:id="6"/>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7" w:name="_Toc155088347"/>
      <w:r>
        <w:rPr>
          <w:rStyle w:val="CharSectno"/>
        </w:rPr>
        <w:t>3</w:t>
      </w:r>
      <w:r>
        <w:t>.</w:t>
      </w:r>
      <w:r>
        <w:tab/>
        <w:t>Terms used</w:t>
      </w:r>
      <w:bookmarkEnd w:id="7"/>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lastRenderedPageBreak/>
        <w:tab/>
        <w:t>(e)</w:t>
      </w:r>
      <w:r>
        <w:tab/>
        <w:t>an application under section 115AD(3) of the Act; or</w:t>
      </w:r>
    </w:p>
    <w:p>
      <w:pPr>
        <w:pStyle w:val="Defpara"/>
      </w:pPr>
      <w:r>
        <w:tab/>
        <w:t>(f)</w:t>
      </w:r>
      <w:r>
        <w:tab/>
        <w:t>an application under section 152NH(2) of the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 SL 2022/218 r. 4.]</w:t>
      </w:r>
    </w:p>
    <w:p>
      <w:pPr>
        <w:pStyle w:val="Heading5"/>
        <w:rPr>
          <w:rStyle w:val="CharSectno"/>
        </w:rPr>
      </w:pPr>
      <w:bookmarkStart w:id="8" w:name="_Toc155088348"/>
      <w:r>
        <w:rPr>
          <w:rStyle w:val="CharSectno"/>
        </w:rPr>
        <w:t>4</w:t>
      </w:r>
      <w:r>
        <w:t>.</w:t>
      </w:r>
      <w:r>
        <w:rPr>
          <w:rStyle w:val="CharSectno"/>
        </w:rPr>
        <w:tab/>
      </w:r>
      <w:r>
        <w:t>Application of these rules</w:t>
      </w:r>
      <w:bookmarkEnd w:id="8"/>
    </w:p>
    <w:p>
      <w:pPr>
        <w:pStyle w:val="Subsection"/>
      </w:pPr>
      <w:r>
        <w:tab/>
      </w:r>
      <w:r>
        <w:tab/>
        <w:t>Unless the Commission in a particular case orders otherwise, these rules apply in all proceedings.</w:t>
      </w:r>
    </w:p>
    <w:p>
      <w:pPr>
        <w:pStyle w:val="Heading2"/>
      </w:pPr>
      <w:bookmarkStart w:id="9" w:name="_Toc155088349"/>
      <w:r>
        <w:rPr>
          <w:rStyle w:val="CharPartNo"/>
        </w:rPr>
        <w:lastRenderedPageBreak/>
        <w:t>Part 2 </w:t>
      </w:r>
      <w:r>
        <w:t>—</w:t>
      </w:r>
      <w:r>
        <w:rPr>
          <w:rStyle w:val="CharDivText"/>
        </w:rPr>
        <w:t> </w:t>
      </w:r>
      <w:r>
        <w:rPr>
          <w:rStyle w:val="CharPartText"/>
        </w:rPr>
        <w:t>Practice and procedure</w:t>
      </w:r>
      <w:bookmarkEnd w:id="9"/>
    </w:p>
    <w:p>
      <w:pPr>
        <w:pStyle w:val="Heading5"/>
      </w:pPr>
      <w:bookmarkStart w:id="10" w:name="_Toc155088350"/>
      <w:r>
        <w:rPr>
          <w:rStyle w:val="CharSectno"/>
        </w:rPr>
        <w:t>5</w:t>
      </w:r>
      <w:r>
        <w:t>.</w:t>
      </w:r>
      <w:r>
        <w:tab/>
        <w:t>Applications for review of decision of Director (s. 25 of Act)</w:t>
      </w:r>
      <w:bookmarkEnd w:id="10"/>
    </w:p>
    <w:p>
      <w:pPr>
        <w:pStyle w:val="Subsection"/>
      </w:pPr>
      <w:r>
        <w:tab/>
        <w:t>(1A)</w:t>
      </w:r>
      <w:r>
        <w:tab/>
        <w:t xml:space="preserve">In this rule — </w:t>
      </w:r>
    </w:p>
    <w:p>
      <w:pPr>
        <w:pStyle w:val="Defstart"/>
      </w:pPr>
      <w:r>
        <w:tab/>
      </w:r>
      <w:r>
        <w:rPr>
          <w:rStyle w:val="CharDefText"/>
        </w:rPr>
        <w:t>interested person</w:t>
      </w:r>
      <w:r>
        <w:t xml:space="preserve"> and </w:t>
      </w:r>
      <w:r>
        <w:rPr>
          <w:rStyle w:val="CharDefText"/>
        </w:rPr>
        <w:t>reviewable decision</w:t>
      </w:r>
      <w:r>
        <w:t xml:space="preserve"> have the meanings given in section 25(1A) of the Act.</w:t>
      </w:r>
    </w:p>
    <w:p>
      <w:pPr>
        <w:pStyle w:val="Subsection"/>
      </w:pPr>
      <w:r>
        <w:tab/>
        <w:t>(1)</w:t>
      </w:r>
      <w:r>
        <w:tab/>
        <w:t xml:space="preserve">If an interested person wants to apply under section 25 of the Act for the Commission to review a reviewable decision, the interested person must — </w:t>
      </w:r>
    </w:p>
    <w:p>
      <w:pPr>
        <w:pStyle w:val="Indenta"/>
      </w:pPr>
      <w:r>
        <w:tab/>
        <w:t>(a)</w:t>
      </w:r>
      <w:r>
        <w:tab/>
        <w:t>within the time period referred to in section 25(2) of the Act,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interested person.</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pPr>
      <w:r>
        <w:tab/>
        <w:t>[Rule 5 amended: SL 2022/218 r. 5.]</w:t>
      </w:r>
    </w:p>
    <w:p>
      <w:pPr>
        <w:pStyle w:val="Heading5"/>
      </w:pPr>
      <w:bookmarkStart w:id="11" w:name="_Toc155088351"/>
      <w:r>
        <w:rPr>
          <w:rStyle w:val="CharSectno"/>
        </w:rPr>
        <w:lastRenderedPageBreak/>
        <w:t>6</w:t>
      </w:r>
      <w:r>
        <w:t>.</w:t>
      </w:r>
      <w:r>
        <w:tab/>
        <w:t>Appeals against decision of Commission constituted by one member (s. 28(4a) of Act)</w:t>
      </w:r>
      <w:bookmarkEnd w:id="11"/>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12" w:name="_Toc155088352"/>
      <w:r>
        <w:rPr>
          <w:rStyle w:val="CharSectno"/>
        </w:rPr>
        <w:t>7</w:t>
      </w:r>
      <w:r>
        <w:t>.</w:t>
      </w:r>
      <w:r>
        <w:tab/>
        <w:t>Complaints (s. 95 of Act)</w:t>
      </w:r>
      <w:bookmarkEnd w:id="12"/>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lastRenderedPageBreak/>
        <w:tab/>
        <w:t>(d)</w:t>
      </w:r>
      <w:r>
        <w:tab/>
        <w:t>by email.</w:t>
      </w:r>
    </w:p>
    <w:p>
      <w:pPr>
        <w:pStyle w:val="Heading5"/>
      </w:pPr>
      <w:bookmarkStart w:id="13" w:name="_Toc155088353"/>
      <w:r>
        <w:rPr>
          <w:rStyle w:val="CharSectno"/>
        </w:rPr>
        <w:t>8A</w:t>
      </w:r>
      <w:r>
        <w:t>.</w:t>
      </w:r>
      <w:r>
        <w:tab/>
        <w:t>Lodging written submissions for proceedings</w:t>
      </w:r>
      <w:bookmarkEnd w:id="13"/>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14" w:name="_Toc155088354"/>
      <w:r>
        <w:rPr>
          <w:rStyle w:val="CharSectno"/>
        </w:rPr>
        <w:t>8</w:t>
      </w:r>
      <w:r>
        <w:t>.</w:t>
      </w:r>
      <w:r>
        <w:tab/>
        <w:t>Separate proceedings determined simultaneously</w:t>
      </w:r>
      <w:bookmarkEnd w:id="14"/>
    </w:p>
    <w:p>
      <w:pPr>
        <w:pStyle w:val="Subsection"/>
      </w:pPr>
      <w:r>
        <w:tab/>
      </w:r>
      <w:r>
        <w:tab/>
        <w:t xml:space="preserve">The Commission may, on an application by a party or on its own initiative, order that separate proceedings be determined simultaneously, irrespective of when the applications, appeals, </w:t>
      </w:r>
      <w:r>
        <w:lastRenderedPageBreak/>
        <w:t>complaints or referrals giving rise to the proceedings were made.</w:t>
      </w:r>
    </w:p>
    <w:p>
      <w:pPr>
        <w:pStyle w:val="Heading5"/>
      </w:pPr>
      <w:bookmarkStart w:id="15" w:name="_Toc155088355"/>
      <w:r>
        <w:rPr>
          <w:rStyle w:val="CharSectno"/>
        </w:rPr>
        <w:t>9</w:t>
      </w:r>
      <w:r>
        <w:t>.</w:t>
      </w:r>
      <w:r>
        <w:tab/>
        <w:t>Separate proceedings heard together</w:t>
      </w:r>
      <w:bookmarkEnd w:id="15"/>
    </w:p>
    <w:p>
      <w:pPr>
        <w:pStyle w:val="Subsection"/>
      </w:pPr>
      <w:r>
        <w:tab/>
      </w:r>
      <w:r>
        <w:tab/>
        <w:t>The Commission may, on an application by a party or on its own initiative, order that separate proceedings be heard together.</w:t>
      </w:r>
    </w:p>
    <w:p>
      <w:pPr>
        <w:pStyle w:val="Heading5"/>
      </w:pPr>
      <w:bookmarkStart w:id="16" w:name="_Toc155088356"/>
      <w:r>
        <w:rPr>
          <w:rStyle w:val="CharSectno"/>
        </w:rPr>
        <w:t>10</w:t>
      </w:r>
      <w:r>
        <w:t>.</w:t>
      </w:r>
      <w:r>
        <w:tab/>
        <w:t>Withdrawal</w:t>
      </w:r>
      <w:bookmarkEnd w:id="16"/>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17" w:name="_Toc155088357"/>
      <w:r>
        <w:rPr>
          <w:rStyle w:val="CharSectno"/>
        </w:rPr>
        <w:t>11</w:t>
      </w:r>
      <w:r>
        <w:t>.</w:t>
      </w:r>
      <w:r>
        <w:tab/>
        <w:t>Orders relating to practice and procedure</w:t>
      </w:r>
      <w:bookmarkEnd w:id="17"/>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18" w:name="_Toc155088358"/>
      <w:r>
        <w:rPr>
          <w:rStyle w:val="CharSectno"/>
        </w:rPr>
        <w:t>12</w:t>
      </w:r>
      <w:r>
        <w:t>.</w:t>
      </w:r>
      <w:r>
        <w:tab/>
        <w:t>Costs orders</w:t>
      </w:r>
      <w:bookmarkEnd w:id="18"/>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19" w:name="_Toc155088359"/>
      <w:r>
        <w:rPr>
          <w:rStyle w:val="CharPartNo"/>
        </w:rPr>
        <w:lastRenderedPageBreak/>
        <w:t>Part 3</w:t>
      </w:r>
      <w:r>
        <w:rPr>
          <w:rStyle w:val="CharDivNo"/>
        </w:rPr>
        <w:t> </w:t>
      </w:r>
      <w:r>
        <w:t>—</w:t>
      </w:r>
      <w:r>
        <w:rPr>
          <w:rStyle w:val="CharDivText"/>
        </w:rPr>
        <w:t> </w:t>
      </w:r>
      <w:r>
        <w:rPr>
          <w:rStyle w:val="CharPartText"/>
        </w:rPr>
        <w:t>Miscellaneous</w:t>
      </w:r>
      <w:bookmarkEnd w:id="19"/>
    </w:p>
    <w:p>
      <w:pPr>
        <w:pStyle w:val="Heading5"/>
      </w:pPr>
      <w:bookmarkStart w:id="20" w:name="_Toc155088360"/>
      <w:r>
        <w:rPr>
          <w:rStyle w:val="CharSectno"/>
        </w:rPr>
        <w:t>13</w:t>
      </w:r>
      <w:r>
        <w:t>.</w:t>
      </w:r>
      <w:r>
        <w:tab/>
        <w:t>Authentication of decisions of Commission</w:t>
      </w:r>
      <w:bookmarkEnd w:id="20"/>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21" w:name="_Toc155088361"/>
      <w:r>
        <w:rPr>
          <w:rStyle w:val="CharSectno"/>
        </w:rPr>
        <w:t>14</w:t>
      </w:r>
      <w:r>
        <w:t>.</w:t>
      </w:r>
      <w:r>
        <w:tab/>
        <w:t>Obtaining copies of documents in relation to proceedings</w:t>
      </w:r>
      <w:bookmarkEnd w:id="21"/>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22" w:name="_Toc155088362"/>
      <w:r>
        <w:rPr>
          <w:rStyle w:val="CharSectno"/>
        </w:rPr>
        <w:t>15</w:t>
      </w:r>
      <w:r>
        <w:t>.</w:t>
      </w:r>
      <w:r>
        <w:tab/>
        <w:t>Costs and charges payable in relation to proceedings</w:t>
      </w:r>
      <w:bookmarkEnd w:id="22"/>
    </w:p>
    <w:p>
      <w:pPr>
        <w:pStyle w:val="Subsection"/>
      </w:pPr>
      <w:r>
        <w:tab/>
      </w:r>
      <w:r>
        <w:tab/>
        <w:t>The costs and charges set out in Schedule 1 are payable in relation to proceedings.</w:t>
      </w:r>
    </w:p>
    <w:p>
      <w:pPr>
        <w:pStyle w:val="Heading5"/>
      </w:pPr>
      <w:bookmarkStart w:id="23" w:name="_Toc155088363"/>
      <w:r>
        <w:rPr>
          <w:rStyle w:val="CharSectno"/>
        </w:rPr>
        <w:t>16</w:t>
      </w:r>
      <w:r>
        <w:t>.</w:t>
      </w:r>
      <w:r>
        <w:tab/>
        <w:t>Repeal and savings</w:t>
      </w:r>
      <w:bookmarkEnd w:id="23"/>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4" w:name="_Toc155088364"/>
      <w:r>
        <w:rPr>
          <w:rStyle w:val="CharSchNo"/>
        </w:rPr>
        <w:lastRenderedPageBreak/>
        <w:t>Schedule 1</w:t>
      </w:r>
      <w:r>
        <w:rPr>
          <w:rStyle w:val="CharSDivNo"/>
        </w:rPr>
        <w:t> </w:t>
      </w:r>
      <w:r>
        <w:t>—</w:t>
      </w:r>
      <w:r>
        <w:rPr>
          <w:rStyle w:val="CharSDivText"/>
        </w:rPr>
        <w:t> </w:t>
      </w:r>
      <w:r>
        <w:rPr>
          <w:rStyle w:val="CharSchText"/>
        </w:rPr>
        <w:t>Costs and charges payable in relation to proceedings</w:t>
      </w:r>
      <w:bookmarkEnd w:id="24"/>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r>
              <w:rPr>
                <w:szCs w:val="22"/>
              </w:rPr>
              <w:t>430.00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r>
              <w:rPr>
                <w:szCs w:val="22"/>
              </w:rPr>
              <w:t>430.00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 SL 2022/72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6" w:name="_Toc155088365"/>
      <w:r>
        <w:lastRenderedPageBreak/>
        <w:t>Notes</w:t>
      </w:r>
      <w:bookmarkEnd w:id="26"/>
    </w:p>
    <w:p>
      <w:pPr>
        <w:pStyle w:val="nStatement"/>
      </w:pPr>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 w:name="_Toc155088366"/>
      <w:r>
        <w:t>Compilation table</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cantSplit/>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392" w:type="dxa"/>
            <w:gridSpan w:val="2"/>
            <w:tcBorders>
              <w:bottom w:val="single" w:sz="8" w:space="0" w:color="auto"/>
            </w:tcBorders>
            <w:shd w:val="clear" w:color="auto" w:fill="auto"/>
          </w:tcPr>
          <w:p>
            <w:pPr>
              <w:pStyle w:val="nTable"/>
              <w:spacing w:after="40"/>
              <w:rPr>
                <w:b/>
              </w:rPr>
            </w:pPr>
            <w:r>
              <w:rPr>
                <w:b/>
              </w:rPr>
              <w:t>Commencement</w:t>
            </w:r>
          </w:p>
        </w:tc>
      </w:tr>
      <w:tr>
        <w:trPr>
          <w:cantSplit/>
        </w:trPr>
        <w:tc>
          <w:tcPr>
            <w:tcW w:w="3118" w:type="dxa"/>
            <w:gridSpan w:val="2"/>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gridSpan w:val="2"/>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rPr>
          <w:cantSplit/>
        </w:trPr>
        <w:tc>
          <w:tcPr>
            <w:tcW w:w="3118" w:type="dxa"/>
            <w:gridSpan w:val="2"/>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gridSpan w:val="2"/>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rPr>
          <w:cantSplit/>
        </w:trPr>
        <w:tc>
          <w:tcPr>
            <w:tcW w:w="3118" w:type="dxa"/>
            <w:gridSpan w:val="2"/>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gridSpan w:val="2"/>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rPr>
          <w:cantSplit/>
        </w:trPr>
        <w:tc>
          <w:tcPr>
            <w:tcW w:w="3118" w:type="dxa"/>
            <w:gridSpan w:val="2"/>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gridSpan w:val="2"/>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rPr>
          <w:cantSplit/>
        </w:trPr>
        <w:tc>
          <w:tcPr>
            <w:tcW w:w="6786"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r>
        <w:trPr>
          <w:cantSplit/>
        </w:trPr>
        <w:tc>
          <w:tcPr>
            <w:tcW w:w="3108" w:type="dxa"/>
            <w:tcBorders>
              <w:top w:val="nil"/>
              <w:bottom w:val="nil"/>
            </w:tcBorders>
            <w:shd w:val="clear" w:color="auto" w:fill="auto"/>
          </w:tcPr>
          <w:p>
            <w:pPr>
              <w:pStyle w:val="nTable"/>
              <w:spacing w:after="40"/>
              <w:rPr>
                <w:b/>
                <w:bCs/>
                <w:snapToGrid w:val="0"/>
                <w:spacing w:val="-2"/>
              </w:rPr>
            </w:pPr>
            <w:r>
              <w:rPr>
                <w:i/>
              </w:rPr>
              <w:t>Liquor Commission Amendment Rules 2019</w:t>
            </w:r>
          </w:p>
        </w:tc>
        <w:tc>
          <w:tcPr>
            <w:tcW w:w="1315" w:type="dxa"/>
            <w:gridSpan w:val="3"/>
            <w:tcBorders>
              <w:top w:val="nil"/>
              <w:bottom w:val="nil"/>
            </w:tcBorders>
            <w:shd w:val="clear" w:color="auto" w:fill="auto"/>
          </w:tcPr>
          <w:p>
            <w:pPr>
              <w:pStyle w:val="nTable"/>
              <w:spacing w:after="40"/>
            </w:pPr>
            <w:r>
              <w:t>10 Sep 2019 p. 3225-6</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r. 1 and 2: 10 Sep 2019 (see r. 2(a));</w:t>
            </w:r>
            <w:r>
              <w:rPr>
                <w:bCs/>
                <w:snapToGrid w:val="0"/>
                <w:spacing w:val="-2"/>
              </w:rPr>
              <w:br/>
              <w:t>Rules other than r. 1 and 2: 1 Jan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2020</w:t>
            </w:r>
          </w:p>
        </w:tc>
        <w:tc>
          <w:tcPr>
            <w:tcW w:w="1315" w:type="dxa"/>
            <w:gridSpan w:val="3"/>
            <w:tcBorders>
              <w:top w:val="nil"/>
              <w:bottom w:val="nil"/>
            </w:tcBorders>
            <w:shd w:val="clear" w:color="auto" w:fill="auto"/>
          </w:tcPr>
          <w:p>
            <w:pPr>
              <w:pStyle w:val="nTable"/>
              <w:spacing w:after="40"/>
            </w:pPr>
            <w:r>
              <w:t>SL 2020/29</w:t>
            </w:r>
            <w:r>
              <w:br/>
              <w:t xml:space="preserve">31 Mar 2020 </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2022</w:t>
            </w:r>
          </w:p>
        </w:tc>
        <w:tc>
          <w:tcPr>
            <w:tcW w:w="1315" w:type="dxa"/>
            <w:gridSpan w:val="3"/>
            <w:tcBorders>
              <w:top w:val="nil"/>
              <w:bottom w:val="nil"/>
            </w:tcBorders>
            <w:shd w:val="clear" w:color="auto" w:fill="auto"/>
          </w:tcPr>
          <w:p>
            <w:pPr>
              <w:pStyle w:val="nTable"/>
              <w:spacing w:after="40"/>
            </w:pPr>
            <w:r>
              <w:t>SL 2022/72 3 Jun 2022</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Jun 2022</w:t>
            </w:r>
            <w:r>
              <w:rPr>
                <w:bCs/>
                <w:snapToGrid w:val="0"/>
                <w:spacing w:val="-2"/>
              </w:rPr>
              <w:t xml:space="preserve"> (see r. 2(a));</w:t>
            </w:r>
            <w:r>
              <w:rPr>
                <w:bCs/>
                <w:snapToGrid w:val="0"/>
                <w:spacing w:val="-2"/>
              </w:rPr>
              <w:br/>
            </w:r>
            <w:r>
              <w:t>Rules other than r. 1 and 2: 1 Jan 2023 (see r. 2(b))</w:t>
            </w:r>
          </w:p>
        </w:tc>
      </w:tr>
      <w:tr>
        <w:trPr>
          <w:cantSplit/>
        </w:trPr>
        <w:tc>
          <w:tcPr>
            <w:tcW w:w="3108" w:type="dxa"/>
            <w:tcBorders>
              <w:top w:val="nil"/>
              <w:bottom w:val="single" w:sz="4" w:space="0" w:color="auto"/>
            </w:tcBorders>
            <w:shd w:val="clear" w:color="auto" w:fill="auto"/>
          </w:tcPr>
          <w:p>
            <w:pPr>
              <w:pStyle w:val="nTable"/>
              <w:spacing w:after="40"/>
              <w:rPr>
                <w:i/>
              </w:rPr>
            </w:pPr>
            <w:r>
              <w:rPr>
                <w:i/>
              </w:rPr>
              <w:lastRenderedPageBreak/>
              <w:t>Liquor Commission Amendment Rules (No. 2) 2022</w:t>
            </w:r>
          </w:p>
        </w:tc>
        <w:tc>
          <w:tcPr>
            <w:tcW w:w="1315" w:type="dxa"/>
            <w:gridSpan w:val="3"/>
            <w:tcBorders>
              <w:top w:val="nil"/>
              <w:bottom w:val="single" w:sz="4" w:space="0" w:color="auto"/>
            </w:tcBorders>
            <w:shd w:val="clear" w:color="auto" w:fill="auto"/>
          </w:tcPr>
          <w:p>
            <w:pPr>
              <w:pStyle w:val="nTable"/>
              <w:spacing w:after="40"/>
            </w:pPr>
            <w:r>
              <w:t>SL 2022/218 23 Dec 2022</w:t>
            </w:r>
          </w:p>
        </w:tc>
        <w:tc>
          <w:tcPr>
            <w:tcW w:w="2363" w:type="dxa"/>
            <w:tcBorders>
              <w:top w:val="nil"/>
              <w:bottom w:val="single" w:sz="4" w:space="0" w:color="auto"/>
            </w:tcBorders>
            <w:shd w:val="clear" w:color="auto" w:fill="auto"/>
          </w:tcPr>
          <w:p>
            <w:pPr>
              <w:pStyle w:val="nTable"/>
              <w:spacing w:after="40"/>
              <w:rPr>
                <w:bCs/>
                <w:snapToGrid w:val="0"/>
                <w:spacing w:val="-2"/>
              </w:rPr>
            </w:pPr>
            <w:r>
              <w:t>r. 1 and 2: 23 Dec 2022 (see r. 2(a));</w:t>
            </w:r>
            <w:r>
              <w:br/>
              <w:t>Rules other than r. 1 and 2: 24 Dec 2022 (see r. 2(b))</w:t>
            </w:r>
          </w:p>
        </w:tc>
      </w:tr>
    </w:tbl>
    <w:p>
      <w:pPr>
        <w:pStyle w:val="nHeading3"/>
      </w:pPr>
      <w:bookmarkStart w:id="28" w:name="_Toc155088367"/>
      <w:r>
        <w:t>Uncommenced provisions table</w:t>
      </w:r>
      <w:bookmarkEnd w:id="2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Liquor Commission Amendment Rules 2023 </w:t>
            </w:r>
            <w:r>
              <w:t>r. 3 and 4</w:t>
            </w:r>
          </w:p>
        </w:tc>
        <w:tc>
          <w:tcPr>
            <w:tcW w:w="1276" w:type="dxa"/>
          </w:tcPr>
          <w:p>
            <w:pPr>
              <w:pStyle w:val="nTable"/>
              <w:spacing w:after="40"/>
            </w:pPr>
            <w:r>
              <w:t>SL 2023/160 24 Oct 2023</w:t>
            </w:r>
          </w:p>
        </w:tc>
        <w:tc>
          <w:tcPr>
            <w:tcW w:w="2693" w:type="dxa"/>
          </w:tcPr>
          <w:p>
            <w:pPr>
              <w:pStyle w:val="nTable"/>
              <w:spacing w:after="40"/>
            </w:pPr>
            <w:r>
              <w:t>1 Jan 2024 (see r. 2(b))</w:t>
            </w:r>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30" w:name="_Toc155088368"/>
      <w:r>
        <w:rPr>
          <w:sz w:val="28"/>
        </w:rPr>
        <w:lastRenderedPageBreak/>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8A(2)</w:t>
      </w:r>
    </w:p>
    <w:p>
      <w:pPr>
        <w:pStyle w:val="DefinedTerms"/>
      </w:pPr>
      <w:r>
        <w:t>commencement day</w:t>
      </w:r>
      <w:r>
        <w:tab/>
        <w:t>16(3)</w:t>
      </w:r>
    </w:p>
    <w:p>
      <w:pPr>
        <w:pStyle w:val="DefinedTerms"/>
      </w:pPr>
      <w:r>
        <w:t>document</w:t>
      </w:r>
      <w:r>
        <w:tab/>
        <w:t>3</w:t>
      </w:r>
    </w:p>
    <w:p>
      <w:pPr>
        <w:pStyle w:val="DefinedTerms"/>
      </w:pPr>
      <w:r>
        <w:t>interested person</w:t>
      </w:r>
      <w:r>
        <w:tab/>
        <w:t>5(1A)</w:t>
      </w:r>
    </w:p>
    <w:p>
      <w:pPr>
        <w:pStyle w:val="DefinedTerms"/>
      </w:pPr>
      <w:r>
        <w:t>lodge</w:t>
      </w:r>
      <w:r>
        <w:tab/>
        <w:t>3</w:t>
      </w:r>
    </w:p>
    <w:p>
      <w:pPr>
        <w:pStyle w:val="DefinedTerms"/>
      </w:pPr>
      <w:r>
        <w:t>party</w:t>
      </w:r>
      <w:r>
        <w:tab/>
        <w:t>3</w:t>
      </w:r>
    </w:p>
    <w:p>
      <w:pPr>
        <w:pStyle w:val="DefinedTerms"/>
      </w:pPr>
      <w:r>
        <w:t>proceedings</w:t>
      </w:r>
      <w:r>
        <w:tab/>
        <w:t>3</w:t>
      </w:r>
    </w:p>
    <w:p>
      <w:pPr>
        <w:pStyle w:val="DefinedTerms"/>
      </w:pPr>
      <w:r>
        <w:t>record</w:t>
      </w:r>
      <w:r>
        <w:tab/>
        <w:t>3</w:t>
      </w:r>
    </w:p>
    <w:p>
      <w:pPr>
        <w:pStyle w:val="DefinedTerms"/>
      </w:pPr>
      <w:r>
        <w:t>repealed rules</w:t>
      </w:r>
      <w:r>
        <w:tab/>
        <w:t>16(3)</w:t>
      </w:r>
    </w:p>
    <w:p>
      <w:pPr>
        <w:pStyle w:val="DefinedTerms"/>
      </w:pPr>
      <w:r>
        <w:t>reviewable decision</w:t>
      </w:r>
      <w:r>
        <w:tab/>
        <w:t>5(1A)</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7ADD68"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0E492D6" w14:textId="6E2056D5" w:rsidR="005F02A6" w:rsidRDefault="005F02A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BE1E8B1" w14:textId="77777777" w:rsidR="005F02A6" w:rsidRDefault="005F02A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4A8BD0C" w14:textId="7009BF81" w:rsidR="005F02A6" w:rsidRDefault="005F02A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8693AAB" w14:textId="77777777" w:rsidR="005F02A6" w:rsidRDefault="005F02A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1" w:name="DefinedTerms"/>
    <w:bookmarkEnd w:id="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5403"/>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 w:name="WAFER_2022122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224_GUID" w:val="63dad29c-36ef-4ffa-8e20-0629336cf0e3"/>
    <w:docVar w:name="WAFER_20221223101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427_GUID" w:val="ccdb8da8-c9d4-42b0-8438-199e5fe567e8"/>
    <w:docVar w:name="WAFER_20231023101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01532_GUID" w:val="f7a1bd43-0952-44a3-a5c3-58588f903bd1"/>
    <w:docVar w:name="WAFER_20231023123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23506_GUID" w:val="fd563f47-f04f-4391-94b0-d85cb77919d0"/>
    <w:docVar w:name="WAFER_202312281451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5119_GUID" w:val="e2e372d2-e1e1-4d08-a776-34853d7c3fa0"/>
    <w:docVar w:name="WAFER_202312281454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5403_GUID" w:val="8485c584-7c77-4282-9621-44163bf851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C5BA-BEED-4EB5-85CD-28E10581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2230</Words>
  <Characters>10442</Characters>
  <Application>Microsoft Office Word</Application>
  <DocSecurity>0</DocSecurity>
  <Lines>386</Lines>
  <Paragraphs>275</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2007 - 01-h0-01</dc:title>
  <dc:subject/>
  <dc:creator/>
  <cp:keywords/>
  <dc:description/>
  <cp:lastModifiedBy>Master Repository Process</cp:lastModifiedBy>
  <cp:revision>4</cp:revision>
  <cp:lastPrinted>2017-03-21T01:20:00Z</cp:lastPrinted>
  <dcterms:created xsi:type="dcterms:W3CDTF">2024-01-02T03:45:00Z</dcterms:created>
  <dcterms:modified xsi:type="dcterms:W3CDTF">2024-01-02T03:45:00Z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24 Oct 2023</vt:lpwstr>
  </property>
  <property fmtid="{D5CDD505-2E9C-101B-9397-08002B2CF9AE}" pid="8" name="Suffix">
    <vt:lpwstr>01-h0-01</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