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_Toc161388868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_Toc161388869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_Toc161388870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_Toc161388871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_Toc161388873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_Toc161388874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_Toc161388875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_Toc161388876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_Toc161388878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_Toc161388879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_Toc161388880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_Toc161388881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_Toc161388882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Evidentiary provisions for certain AIDS related actions</w:t>
      </w:r>
      <w:r>
        <w:tab/>
      </w:r>
      <w:r>
        <w:fldChar w:fldCharType="begin"/>
      </w:r>
      <w:r>
        <w:instrText xml:space="preserve"> PAGEREF _Toc161388883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_Toc161388884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_Toc161388886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_Toc161388887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_Toc161388888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2" w:name="_Toc161388820"/>
      <w:bookmarkStart w:id="3" w:name="_Toc161388867"/>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6138886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rPr>
        <w:t>.</w:t>
      </w:r>
    </w:p>
    <w:p>
      <w:pPr>
        <w:pStyle w:val="Heading5"/>
        <w:rPr>
          <w:snapToGrid w:val="0"/>
        </w:rPr>
      </w:pPr>
      <w:bookmarkStart w:id="5" w:name="_Toc16138886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6" w:name="_Toc161388870"/>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lastRenderedPageBreak/>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 xml:space="preserve">Health (Miscellaneous Provisions) Act 1911 </w:t>
      </w:r>
      <w:r>
        <w:t xml:space="preserve">or the </w:t>
      </w:r>
      <w:r>
        <w:rPr>
          <w:i/>
        </w:rPr>
        <w:t>Public Health Act 2016</w:t>
      </w:r>
      <w:r>
        <w:t>; and</w:t>
      </w:r>
    </w:p>
    <w:p>
      <w:pPr>
        <w:pStyle w:val="Defpara"/>
      </w:pPr>
      <w:r>
        <w:tab/>
        <w:t>(b)</w:t>
      </w:r>
      <w:r>
        <w:tab/>
        <w:t>consist of or include provisions that provide for or require a person donating blood to make a declaration.</w:t>
      </w:r>
    </w:p>
    <w:p>
      <w:pPr>
        <w:pStyle w:val="Footnotesection"/>
      </w:pPr>
      <w:r>
        <w:lastRenderedPageBreak/>
        <w:tab/>
        <w:t xml:space="preserve">[Section 3 amended: No. 103 of 1994 s. 18; No. 22 of 2008 </w:t>
      </w:r>
      <w:r>
        <w:rPr>
          <w:iCs/>
          <w:szCs w:val="24"/>
        </w:rPr>
        <w:t>Sch. 3 cl. 6</w:t>
      </w:r>
      <w:r>
        <w:t>; No. 35 of 2010 s. 36; No. 11 of 2016 s. 285(2); No. 19 of 2016 s. 110 and 281.]</w:t>
      </w:r>
    </w:p>
    <w:p>
      <w:pPr>
        <w:pStyle w:val="Heading5"/>
        <w:rPr>
          <w:snapToGrid w:val="0"/>
        </w:rPr>
      </w:pPr>
      <w:bookmarkStart w:id="7" w:name="_Toc161388871"/>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7"/>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No. 52 of 1987 s. 4; amended: No. 42 of 2004 s. 156 and 174; No. 11 of 2016 s. 285(3).]</w:t>
      </w:r>
    </w:p>
    <w:p>
      <w:pPr>
        <w:pStyle w:val="Heading2"/>
      </w:pPr>
      <w:bookmarkStart w:id="8" w:name="_Toc161388825"/>
      <w:bookmarkStart w:id="9" w:name="_Toc161388872"/>
      <w:r>
        <w:rPr>
          <w:rStyle w:val="CharPartNo"/>
        </w:rPr>
        <w:lastRenderedPageBreak/>
        <w:t>Part II</w:t>
      </w:r>
      <w:r>
        <w:rPr>
          <w:rStyle w:val="CharDivNo"/>
        </w:rPr>
        <w:t> </w:t>
      </w:r>
      <w:r>
        <w:t>—</w:t>
      </w:r>
      <w:r>
        <w:rPr>
          <w:rStyle w:val="CharDivText"/>
        </w:rPr>
        <w:t> </w:t>
      </w:r>
      <w:r>
        <w:rPr>
          <w:rStyle w:val="CharPartText"/>
        </w:rPr>
        <w:t>Initial limitation of liability</w:t>
      </w:r>
      <w:bookmarkEnd w:id="8"/>
      <w:bookmarkEnd w:id="9"/>
    </w:p>
    <w:p>
      <w:pPr>
        <w:pStyle w:val="Heading5"/>
        <w:rPr>
          <w:snapToGrid w:val="0"/>
        </w:rPr>
      </w:pPr>
      <w:bookmarkStart w:id="10" w:name="_Toc161388873"/>
      <w:r>
        <w:rPr>
          <w:rStyle w:val="CharSectno"/>
        </w:rPr>
        <w:t>4</w:t>
      </w:r>
      <w:r>
        <w:rPr>
          <w:snapToGrid w:val="0"/>
        </w:rPr>
        <w:t>.</w:t>
      </w:r>
      <w:r>
        <w:rPr>
          <w:snapToGrid w:val="0"/>
        </w:rPr>
        <w:tab/>
        <w:t>AIDS related actions to which this Part applies</w:t>
      </w:r>
      <w:bookmarkEnd w:id="10"/>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1</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11" w:name="_Toc161388874"/>
      <w:r>
        <w:rPr>
          <w:rStyle w:val="CharSectno"/>
        </w:rPr>
        <w:t>5</w:t>
      </w:r>
      <w:r>
        <w:rPr>
          <w:snapToGrid w:val="0"/>
        </w:rPr>
        <w:t>.</w:t>
      </w:r>
      <w:r>
        <w:rPr>
          <w:snapToGrid w:val="0"/>
        </w:rPr>
        <w:tab/>
        <w:t>AIDS related actions against Society, hospitals etc., defences to</w:t>
      </w:r>
      <w:bookmarkEnd w:id="1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 xml:space="preserve">caused, before the relevant blood was supplied to be administered to a person, </w:t>
      </w:r>
      <w:r>
        <w:rPr>
          <w:snapToGrid w:val="0"/>
        </w:rPr>
        <w:lastRenderedPageBreak/>
        <w:t>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 xml:space="preserve">the Society or a hospital if, after the Society or the hospital, as the case requires, had taken blood to be supplied for the purpose of being administered to a </w:t>
      </w:r>
      <w:r>
        <w:rPr>
          <w:snapToGrid w:val="0"/>
        </w:rPr>
        <w:lastRenderedPageBreak/>
        <w:t>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lastRenderedPageBreak/>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12" w:name="_Toc161388875"/>
      <w:r>
        <w:rPr>
          <w:rStyle w:val="CharSectno"/>
        </w:rPr>
        <w:t>6</w:t>
      </w:r>
      <w:r>
        <w:rPr>
          <w:snapToGrid w:val="0"/>
        </w:rPr>
        <w:t>.</w:t>
      </w:r>
      <w:r>
        <w:rPr>
          <w:snapToGrid w:val="0"/>
        </w:rPr>
        <w:tab/>
        <w:t>AIDS related actions against people administering blood, defences to</w:t>
      </w:r>
      <w:bookmarkEnd w:id="1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 xml:space="preserve">caused, before that blood was supplied to be administered to a person, or to be used in the preparation of a blood product to be so administered, a sample of that blood to be tested, using such equipment and in </w:t>
      </w:r>
      <w:r>
        <w:rPr>
          <w:snapToGrid w:val="0"/>
        </w:rPr>
        <w:lastRenderedPageBreak/>
        <w:t>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medical practitioner or person referred to in subsection (1)(b) if, at the time when the relevant blood or blood product was administered, that medical practitioner or person has reasonable grounds for </w:t>
      </w:r>
      <w:r>
        <w:rPr>
          <w:snapToGrid w:val="0"/>
        </w:rPr>
        <w:lastRenderedPageBreak/>
        <w:t>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13" w:name="_Toc161388876"/>
      <w:r>
        <w:rPr>
          <w:rStyle w:val="CharSectno"/>
        </w:rPr>
        <w:t>7</w:t>
      </w:r>
      <w:r>
        <w:rPr>
          <w:snapToGrid w:val="0"/>
        </w:rPr>
        <w:t>.</w:t>
      </w:r>
      <w:r>
        <w:rPr>
          <w:snapToGrid w:val="0"/>
        </w:rPr>
        <w:tab/>
        <w:t>Donors, liability of</w:t>
      </w:r>
      <w:bookmarkEnd w:id="13"/>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14" w:name="_Toc161388830"/>
      <w:bookmarkStart w:id="15" w:name="_Toc161388877"/>
      <w:r>
        <w:rPr>
          <w:rStyle w:val="CharPartNo"/>
        </w:rPr>
        <w:lastRenderedPageBreak/>
        <w:t>Part III</w:t>
      </w:r>
      <w:r>
        <w:rPr>
          <w:rStyle w:val="CharDivNo"/>
        </w:rPr>
        <w:t> </w:t>
      </w:r>
      <w:r>
        <w:t>—</w:t>
      </w:r>
      <w:r>
        <w:rPr>
          <w:rStyle w:val="CharDivText"/>
        </w:rPr>
        <w:t> </w:t>
      </w:r>
      <w:r>
        <w:rPr>
          <w:rStyle w:val="CharPartText"/>
        </w:rPr>
        <w:t>Subsequent limitation of liability</w:t>
      </w:r>
      <w:bookmarkEnd w:id="14"/>
      <w:bookmarkEnd w:id="15"/>
    </w:p>
    <w:p>
      <w:pPr>
        <w:pStyle w:val="Heading5"/>
        <w:rPr>
          <w:snapToGrid w:val="0"/>
        </w:rPr>
      </w:pPr>
      <w:bookmarkStart w:id="16" w:name="_Toc161388878"/>
      <w:r>
        <w:rPr>
          <w:rStyle w:val="CharSectno"/>
        </w:rPr>
        <w:t>8</w:t>
      </w:r>
      <w:r>
        <w:rPr>
          <w:snapToGrid w:val="0"/>
        </w:rPr>
        <w:t>.</w:t>
      </w:r>
      <w:r>
        <w:rPr>
          <w:snapToGrid w:val="0"/>
        </w:rPr>
        <w:tab/>
        <w:t>AIDS related actions to which this Part applies</w:t>
      </w:r>
      <w:bookmarkEnd w:id="16"/>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17" w:name="_Toc161388879"/>
      <w:r>
        <w:rPr>
          <w:rStyle w:val="CharSectno"/>
        </w:rPr>
        <w:t>9</w:t>
      </w:r>
      <w:r>
        <w:rPr>
          <w:snapToGrid w:val="0"/>
        </w:rPr>
        <w:t>.</w:t>
      </w:r>
      <w:r>
        <w:rPr>
          <w:snapToGrid w:val="0"/>
        </w:rPr>
        <w:tab/>
        <w:t>AIDS related actions against Society, hospitals etc., defences to</w:t>
      </w:r>
      <w:bookmarkEnd w:id="1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 xml:space="preserve">caused, before the relevant blood was supplied to be administered to a person, or to be used in the preparation of a blood product to be administered to a person, a sample of that blood to be </w:t>
      </w:r>
      <w:r>
        <w:rPr>
          <w:snapToGrid w:val="0"/>
        </w:rPr>
        <w:lastRenderedPageBreak/>
        <w:t>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lastRenderedPageBreak/>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lastRenderedPageBreak/>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No. 11 of 2016 s. 285(4).]</w:t>
      </w:r>
    </w:p>
    <w:p>
      <w:pPr>
        <w:pStyle w:val="Heading5"/>
        <w:rPr>
          <w:snapToGrid w:val="0"/>
        </w:rPr>
      </w:pPr>
      <w:bookmarkStart w:id="18" w:name="_Toc161388880"/>
      <w:r>
        <w:rPr>
          <w:rStyle w:val="CharSectno"/>
        </w:rPr>
        <w:t>10</w:t>
      </w:r>
      <w:r>
        <w:rPr>
          <w:snapToGrid w:val="0"/>
        </w:rPr>
        <w:t>.</w:t>
      </w:r>
      <w:r>
        <w:rPr>
          <w:snapToGrid w:val="0"/>
        </w:rPr>
        <w:tab/>
        <w:t>AIDS related actions against people administering blood, defences to</w:t>
      </w:r>
      <w:bookmarkEnd w:id="1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xml:space="preserve">) or other person at whose premises blood </w:t>
      </w:r>
      <w:r>
        <w:rPr>
          <w:snapToGrid w:val="0"/>
        </w:rPr>
        <w:lastRenderedPageBreak/>
        <w:t>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 xml:space="preserve">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w:t>
      </w:r>
      <w:r>
        <w:rPr>
          <w:snapToGrid w:val="0"/>
        </w:rPr>
        <w:lastRenderedPageBreak/>
        <w:t>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medical practitioner or person referred to in subsection (1)(b) if, at the time when the relevant blood or blood product was administered, that medical practitioner or person had reasonable grounds for </w:t>
      </w:r>
      <w:r>
        <w:rPr>
          <w:snapToGrid w:val="0"/>
        </w:rPr>
        <w:lastRenderedPageBreak/>
        <w:t>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19" w:name="_Toc161388881"/>
      <w:r>
        <w:rPr>
          <w:rStyle w:val="CharSectno"/>
        </w:rPr>
        <w:lastRenderedPageBreak/>
        <w:t>11</w:t>
      </w:r>
      <w:r>
        <w:rPr>
          <w:snapToGrid w:val="0"/>
        </w:rPr>
        <w:t>.</w:t>
      </w:r>
      <w:r>
        <w:rPr>
          <w:snapToGrid w:val="0"/>
        </w:rPr>
        <w:tab/>
        <w:t>Donor declarations, before whom to be made</w:t>
      </w:r>
      <w:bookmarkEnd w:id="19"/>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 xml:space="preserve">Health Practitioner Regulation National Law (Western Australia) </w:t>
      </w:r>
      <w:r>
        <w:t>in the nursing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No. 50 of </w:t>
      </w:r>
      <w:r>
        <w:rPr>
          <w:szCs w:val="24"/>
        </w:rPr>
        <w:t xml:space="preserve">2006 </w:t>
      </w:r>
      <w:r>
        <w:rPr>
          <w:iCs/>
          <w:szCs w:val="24"/>
        </w:rPr>
        <w:t>Sch. 3 cl. 1</w:t>
      </w:r>
      <w:r>
        <w:t>; No. 35 of 2010 s. 37; No. 4 of 2018 s. 101.]</w:t>
      </w:r>
    </w:p>
    <w:p>
      <w:pPr>
        <w:pStyle w:val="Heading5"/>
        <w:rPr>
          <w:snapToGrid w:val="0"/>
        </w:rPr>
      </w:pPr>
      <w:bookmarkStart w:id="20" w:name="_Toc161388882"/>
      <w:r>
        <w:rPr>
          <w:rStyle w:val="CharSectno"/>
        </w:rPr>
        <w:lastRenderedPageBreak/>
        <w:t>12</w:t>
      </w:r>
      <w:r>
        <w:rPr>
          <w:snapToGrid w:val="0"/>
        </w:rPr>
        <w:t>.</w:t>
      </w:r>
      <w:r>
        <w:rPr>
          <w:snapToGrid w:val="0"/>
        </w:rPr>
        <w:tab/>
        <w:t>Donors, liability of</w:t>
      </w:r>
      <w:bookmarkEnd w:id="20"/>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21" w:name="_Toc161388883"/>
      <w:r>
        <w:rPr>
          <w:rStyle w:val="CharSectno"/>
        </w:rPr>
        <w:t>13</w:t>
      </w:r>
      <w:r>
        <w:rPr>
          <w:snapToGrid w:val="0"/>
        </w:rPr>
        <w:t>.</w:t>
      </w:r>
      <w:r>
        <w:rPr>
          <w:snapToGrid w:val="0"/>
        </w:rPr>
        <w:tab/>
        <w:t>Evidentiary provisions for certain AIDS related actions</w:t>
      </w:r>
      <w:bookmarkEnd w:id="21"/>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22" w:name="_Toc161388884"/>
      <w:r>
        <w:rPr>
          <w:rStyle w:val="CharSectno"/>
        </w:rPr>
        <w:t>14</w:t>
      </w:r>
      <w:r>
        <w:rPr>
          <w:snapToGrid w:val="0"/>
        </w:rPr>
        <w:t>.</w:t>
      </w:r>
      <w:r>
        <w:rPr>
          <w:snapToGrid w:val="0"/>
        </w:rPr>
        <w:tab/>
        <w:t>Regulations</w:t>
      </w:r>
      <w:bookmarkEnd w:id="22"/>
    </w:p>
    <w:p>
      <w:pPr>
        <w:pStyle w:val="Subsection"/>
        <w:rPr>
          <w:snapToGrid w:val="0"/>
        </w:rPr>
      </w:pPr>
      <w:r>
        <w:rPr>
          <w:snapToGrid w:val="0"/>
        </w:rPr>
        <w:tab/>
      </w:r>
      <w:r>
        <w:rPr>
          <w:snapToGrid w:val="0"/>
        </w:rPr>
        <w:tab/>
        <w:t xml:space="preserve">The Governor may make regulations prescribing all matters that are required or permitted by this Act to be prescribed, or are necessary or convenient to be prescribed, for giving effect to this Act and, in particular, prescribing, or adopting with or </w:t>
      </w:r>
      <w:r>
        <w:rPr>
          <w:snapToGrid w:val="0"/>
        </w:rPr>
        <w:lastRenderedPageBreak/>
        <w:t>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3" w:name="_Toc161388838"/>
      <w:bookmarkStart w:id="24" w:name="_Toc161388885"/>
      <w:r>
        <w:lastRenderedPageBreak/>
        <w:t>Notes</w:t>
      </w:r>
      <w:bookmarkEnd w:id="23"/>
      <w:bookmarkEnd w:id="24"/>
    </w:p>
    <w:p>
      <w:pPr>
        <w:pStyle w:val="nStatement"/>
      </w:pPr>
      <w:r>
        <w:t xml:space="preserve">This is a compilation of the </w:t>
      </w:r>
      <w:r>
        <w:rPr>
          <w:i/>
          <w:noProof/>
        </w:rPr>
        <w:t>Blood Donation (Limitation of Liability) Act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61388886"/>
      <w:r>
        <w:t>Compilation table</w:t>
      </w:r>
      <w:bookmarkEnd w:id="2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Blood Donation (Limitation of Liability) Act 1985</w:t>
            </w:r>
          </w:p>
        </w:tc>
        <w:tc>
          <w:tcPr>
            <w:tcW w:w="1134" w:type="dxa"/>
          </w:tcPr>
          <w:p>
            <w:pPr>
              <w:pStyle w:val="nTable"/>
              <w:spacing w:after="40"/>
            </w:pPr>
            <w:r>
              <w:t>88 of 1985</w:t>
            </w:r>
          </w:p>
        </w:tc>
        <w:tc>
          <w:tcPr>
            <w:tcW w:w="1134" w:type="dxa"/>
          </w:tcPr>
          <w:p>
            <w:pPr>
              <w:pStyle w:val="nTable"/>
              <w:spacing w:after="40"/>
            </w:pPr>
            <w:r>
              <w:t>4 Dec 1985</w:t>
            </w:r>
          </w:p>
        </w:tc>
        <w:tc>
          <w:tcPr>
            <w:tcW w:w="2552" w:type="dxa"/>
          </w:tcPr>
          <w:p>
            <w:pPr>
              <w:pStyle w:val="nTable"/>
              <w:spacing w:after="40"/>
            </w:pPr>
            <w:r>
              <w:t>30 Jun 1985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4" w:type="dxa"/>
          </w:tcPr>
          <w:p>
            <w:pPr>
              <w:pStyle w:val="nTable"/>
              <w:spacing w:after="40"/>
            </w:pPr>
            <w:r>
              <w:t>30 Oct 1987</w:t>
            </w:r>
          </w:p>
        </w:tc>
        <w:tc>
          <w:tcPr>
            <w:tcW w:w="2552" w:type="dxa"/>
          </w:tcPr>
          <w:p>
            <w:pPr>
              <w:pStyle w:val="nTable"/>
              <w:spacing w:after="40"/>
            </w:pPr>
            <w:r>
              <w:t>30 Jun 1985 (see s. 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4" w:type="dxa"/>
            <w:tcBorders>
              <w:top w:val="nil"/>
              <w:bottom w:val="nil"/>
            </w:tcBorders>
          </w:tcPr>
          <w:p>
            <w:pPr>
              <w:pStyle w:val="nTable"/>
              <w:spacing w:after="40"/>
            </w:pPr>
            <w:r>
              <w:t>9 Nov 2004</w:t>
            </w:r>
          </w:p>
        </w:tc>
        <w:tc>
          <w:tcPr>
            <w:tcW w:w="2552"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4" w:type="dxa"/>
            <w:tcBorders>
              <w:top w:val="nil"/>
              <w:bottom w:val="nil"/>
            </w:tcBorders>
            <w:shd w:val="clear" w:color="auto" w:fill="auto"/>
          </w:tcPr>
          <w:p>
            <w:pPr>
              <w:pStyle w:val="nTable"/>
              <w:spacing w:after="40"/>
            </w:pPr>
            <w:r>
              <w:rPr>
                <w:snapToGrid w:val="0"/>
              </w:rPr>
              <w:t>30 Aug 2010</w:t>
            </w:r>
          </w:p>
        </w:tc>
        <w:tc>
          <w:tcPr>
            <w:tcW w:w="2552"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4" w:type="dxa"/>
            <w:tcBorders>
              <w:top w:val="nil"/>
              <w:bottom w:val="nil"/>
            </w:tcBorders>
            <w:shd w:val="clear" w:color="auto" w:fill="auto"/>
          </w:tcPr>
          <w:p>
            <w:pPr>
              <w:pStyle w:val="nTable"/>
              <w:spacing w:after="40"/>
            </w:pPr>
            <w:r>
              <w:t>26 May 2016</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snapToGrid w:val="0"/>
              </w:rPr>
            </w:pPr>
            <w:r>
              <w:rPr>
                <w:i/>
              </w:rPr>
              <w:lastRenderedPageBreak/>
              <w:t xml:space="preserve">Public Health (Consequential </w:t>
            </w:r>
            <w:r>
              <w:rPr>
                <w:i/>
                <w:noProof/>
                <w:snapToGrid w:val="0"/>
              </w:rPr>
              <w:t>Provisions</w:t>
            </w:r>
            <w:r>
              <w:rPr>
                <w:i/>
              </w:rPr>
              <w:t>) Act 2016</w:t>
            </w:r>
            <w:r>
              <w:t xml:space="preserve"> Pt. 3 Div. 5 and </w:t>
            </w:r>
            <w:r>
              <w:rPr>
                <w:snapToGrid w:val="0"/>
              </w:rPr>
              <w:t>Pt. 5 Div. 2</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t xml:space="preserve">Pt. 5 Div. 2: 20 Sep 2017 (see s. 2(1)(c) 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rPr>
                <w:i/>
              </w:rPr>
            </w:pPr>
            <w:r>
              <w:rPr>
                <w:i/>
              </w:rPr>
              <w:t>Health Practitioner Regulation National Law (WA) Amendment Act 2018</w:t>
            </w:r>
            <w:r>
              <w:t xml:space="preserve"> s. 101</w:t>
            </w:r>
          </w:p>
        </w:tc>
        <w:tc>
          <w:tcPr>
            <w:tcW w:w="1134" w:type="dxa"/>
            <w:tcBorders>
              <w:top w:val="nil"/>
              <w:bottom w:val="single" w:sz="4" w:space="0" w:color="auto"/>
            </w:tcBorders>
            <w:shd w:val="clear" w:color="auto" w:fill="auto"/>
          </w:tcPr>
          <w:p>
            <w:pPr>
              <w:pStyle w:val="nTable"/>
              <w:spacing w:after="40"/>
            </w:pPr>
            <w:r>
              <w:t>4 of 2018</w:t>
            </w:r>
          </w:p>
        </w:tc>
        <w:tc>
          <w:tcPr>
            <w:tcW w:w="1134" w:type="dxa"/>
            <w:tcBorders>
              <w:top w:val="nil"/>
              <w:bottom w:val="single" w:sz="4" w:space="0" w:color="auto"/>
            </w:tcBorders>
            <w:shd w:val="clear" w:color="auto" w:fill="auto"/>
          </w:tcPr>
          <w:p>
            <w:pPr>
              <w:pStyle w:val="nTable"/>
              <w:spacing w:after="40"/>
            </w:pPr>
            <w:r>
              <w:t>19 Apr 2018</w:t>
            </w:r>
          </w:p>
        </w:tc>
        <w:tc>
          <w:tcPr>
            <w:tcW w:w="2552" w:type="dxa"/>
            <w:tcBorders>
              <w:top w:val="nil"/>
              <w:bottom w:val="single" w:sz="4" w:space="0" w:color="auto"/>
            </w:tcBorders>
            <w:shd w:val="clear" w:color="auto" w:fill="auto"/>
          </w:tcPr>
          <w:p>
            <w:pPr>
              <w:pStyle w:val="nTable"/>
              <w:spacing w:after="40"/>
            </w:pPr>
            <w:r>
              <w:t xml:space="preserve">1 Dec 2018 (see s. 2(d) and </w:t>
            </w:r>
            <w:r>
              <w:rPr>
                <w:i/>
              </w:rPr>
              <w:t>Gazette</w:t>
            </w:r>
            <w:r>
              <w:t xml:space="preserve"> 13 Nov 2018 p. 4427</w:t>
            </w:r>
            <w:r>
              <w:noBreakHyphen/>
              <w:t>8)</w:t>
            </w:r>
          </w:p>
        </w:tc>
      </w:tr>
    </w:tbl>
    <w:p>
      <w:pPr>
        <w:pStyle w:val="nHeading3"/>
      </w:pPr>
      <w:bookmarkStart w:id="26" w:name="_Toc161388887"/>
      <w:r>
        <w:t>Uncommenced provisions table</w:t>
      </w:r>
      <w:bookmarkEnd w:id="2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shd w:val="clear" w:color="auto" w:fill="auto"/>
          </w:tcPr>
          <w:p>
            <w:pPr>
              <w:pStyle w:val="nTable"/>
              <w:spacing w:after="40"/>
            </w:pPr>
            <w:r>
              <w:t>21 of 2023</w:t>
            </w:r>
          </w:p>
        </w:tc>
        <w:tc>
          <w:tcPr>
            <w:tcW w:w="1134" w:type="dxa"/>
            <w:tcBorders>
              <w:top w:val="nil"/>
              <w:bottom w:val="single" w:sz="4" w:space="0" w:color="auto"/>
            </w:tcBorders>
            <w:shd w:val="clear" w:color="auto" w:fill="auto"/>
          </w:tcPr>
          <w:p>
            <w:pPr>
              <w:pStyle w:val="nTable"/>
              <w:spacing w:after="40"/>
              <w:rPr>
                <w:highlight w:val="yellow"/>
              </w:rPr>
            </w:pPr>
            <w:r>
              <w:t>24 Oct 2023</w:t>
            </w:r>
          </w:p>
        </w:tc>
        <w:tc>
          <w:tcPr>
            <w:tcW w:w="2552" w:type="dxa"/>
            <w:tcBorders>
              <w:top w:val="nil"/>
              <w:bottom w:val="single" w:sz="4" w:space="0" w:color="auto"/>
            </w:tcBorders>
            <w:shd w:val="clear" w:color="auto" w:fill="auto"/>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27" w:name="_Toc161388888"/>
      <w:r>
        <w:t>Other notes</w:t>
      </w:r>
      <w:bookmarkEnd w:id="27"/>
    </w:p>
    <w:p>
      <w:pPr>
        <w:pStyle w:val="nNote"/>
        <w:spacing w:before="200"/>
      </w:pPr>
      <w:r>
        <w:rPr>
          <w:vertAlign w:val="superscript"/>
        </w:rPr>
        <w:t>1</w:t>
      </w:r>
      <w:r>
        <w:tab/>
        <w:t xml:space="preserve">Day fixed is 15 September 1986 (see </w:t>
      </w:r>
      <w:r>
        <w:rPr>
          <w:i/>
        </w:rPr>
        <w:t>Gazette</w:t>
      </w:r>
      <w:r>
        <w:t xml:space="preserve"> 12 Sep 1986 p. 3343).</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29" w:name="_Toc161388842"/>
      <w:bookmarkStart w:id="30" w:name="_Toc161388889"/>
      <w:r>
        <w:rPr>
          <w:sz w:val="28"/>
        </w:rPr>
        <w:lastRenderedPageBreak/>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Chief Health Officer</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225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EA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E7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E9A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E8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139"/>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 w:name="WAFER_20231019133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9133303_GUID" w:val="1241caca-6563-4625-b640-f2ef28ce6a38"/>
    <w:docVar w:name="WAFER_20231221163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557_GUID" w:val="5b293b2f-f23e-4f4d-99d3-0609d93c51e1"/>
    <w:docVar w:name="WAFER_20240314162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139_GUID" w:val="73bc9712-6f2f-44ff-87d5-943469a27ed3"/>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87E7101-C7E6-4700-B1ED-20B9D2F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0B7D-86E4-4A23-9D42-21CB357B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5418</Words>
  <Characters>25953</Characters>
  <Application>Microsoft Office Word</Application>
  <DocSecurity>0</DocSecurity>
  <Lines>786</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1985 - 02-i0-02</dc:title>
  <dc:subject/>
  <dc:creator/>
  <cp:keywords/>
  <dc:description/>
  <cp:lastModifiedBy>Master Repository Process</cp:lastModifiedBy>
  <cp:revision>4</cp:revision>
  <cp:lastPrinted>2017-09-19T09:34:00Z</cp:lastPrinted>
  <dcterms:created xsi:type="dcterms:W3CDTF">2024-03-19T04:52:00Z</dcterms:created>
  <dcterms:modified xsi:type="dcterms:W3CDTF">2024-03-19T04:52:00Z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24 Oct 2023</vt:lpwstr>
  </property>
  <property fmtid="{D5CDD505-2E9C-101B-9397-08002B2CF9AE}" pid="8" name="Suffix">
    <vt:lpwstr>02-i0-02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