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_Toc161403466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_Toc161403467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_Toc161403468 \h </w:instrText>
      </w:r>
      <w:r>
        <w:fldChar w:fldCharType="separate"/>
      </w:r>
      <w:r>
        <w:t>1</w:t>
      </w:r>
      <w:r>
        <w:fldChar w:fldCharType="end"/>
      </w:r>
    </w:p>
    <w:p>
      <w:pPr>
        <w:pStyle w:val="TOC8"/>
        <w:rPr>
          <w:rFonts w:asciiTheme="minorHAnsi" w:eastAsiaTheme="minorEastAsia" w:hAnsiTheme="minorHAnsi" w:cstheme="minorBidi"/>
          <w:szCs w:val="22"/>
        </w:rPr>
      </w:pPr>
      <w:r>
        <w:t>3A.</w:t>
      </w:r>
      <w:r>
        <w:tab/>
        <w:t>Eligible community organisations</w:t>
      </w:r>
      <w:r>
        <w:tab/>
      </w:r>
      <w:r>
        <w:fldChar w:fldCharType="begin"/>
      </w:r>
      <w:r>
        <w:instrText xml:space="preserve"> PAGEREF _Toc161403469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Insurance Commission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Commission and the board of commissioners</w:t>
      </w:r>
    </w:p>
    <w:p>
      <w:pPr>
        <w:pStyle w:val="TOC8"/>
        <w:rPr>
          <w:rFonts w:asciiTheme="minorHAnsi" w:eastAsiaTheme="minorEastAsia" w:hAnsiTheme="minorHAnsi" w:cstheme="minorBidi"/>
          <w:szCs w:val="22"/>
        </w:rPr>
      </w:pPr>
      <w:r>
        <w:t>4</w:t>
      </w:r>
      <w:r>
        <w:rPr>
          <w:snapToGrid w:val="0"/>
        </w:rPr>
        <w:t>.</w:t>
      </w:r>
      <w:r>
        <w:rPr>
          <w:snapToGrid w:val="0"/>
        </w:rPr>
        <w:tab/>
        <w:t>Insurance Commission of Western Australia: corporate identity and status</w:t>
      </w:r>
      <w:r>
        <w:tab/>
      </w:r>
      <w:r>
        <w:fldChar w:fldCharType="begin"/>
      </w:r>
      <w:r>
        <w:instrText xml:space="preserve"> PAGEREF _Toc161403472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Agent of Crown</w:t>
      </w:r>
      <w:r>
        <w:tab/>
      </w:r>
      <w:r>
        <w:fldChar w:fldCharType="begin"/>
      </w:r>
      <w:r>
        <w:instrText xml:space="preserve"> PAGEREF _Toc161403473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of commissioners</w:t>
      </w:r>
      <w:r>
        <w:tab/>
      </w:r>
      <w:r>
        <w:fldChar w:fldCharType="begin"/>
      </w:r>
      <w:r>
        <w:instrText xml:space="preserve"> PAGEREF _Toc161403474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powers of the Commission</w:t>
      </w:r>
    </w:p>
    <w:p>
      <w:pPr>
        <w:pStyle w:val="TOC8"/>
        <w:rPr>
          <w:rFonts w:asciiTheme="minorHAnsi" w:eastAsiaTheme="minorEastAsia" w:hAnsiTheme="minorHAnsi" w:cstheme="minorBidi"/>
          <w:szCs w:val="22"/>
        </w:rPr>
      </w:pPr>
      <w:r>
        <w:t>6</w:t>
      </w:r>
      <w:r>
        <w:rPr>
          <w:snapToGrid w:val="0"/>
        </w:rPr>
        <w:t>.</w:t>
      </w:r>
      <w:r>
        <w:rPr>
          <w:snapToGrid w:val="0"/>
        </w:rPr>
        <w:tab/>
        <w:t>Functions</w:t>
      </w:r>
      <w:r>
        <w:tab/>
      </w:r>
      <w:r>
        <w:fldChar w:fldCharType="begin"/>
      </w:r>
      <w:r>
        <w:instrText xml:space="preserve"> PAGEREF _Toc161403476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w:t>
      </w:r>
      <w:r>
        <w:tab/>
      </w:r>
      <w:r>
        <w:fldChar w:fldCharType="begin"/>
      </w:r>
      <w:r>
        <w:instrText xml:space="preserve"> PAGEREF _Toc161403477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 to act efficiently and economically</w:t>
      </w:r>
      <w:r>
        <w:tab/>
      </w:r>
      <w:r>
        <w:fldChar w:fldCharType="begin"/>
      </w:r>
      <w:r>
        <w:instrText xml:space="preserve"> PAGEREF _Toc161403478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w:t>
      </w:r>
      <w:r>
        <w:tab/>
      </w:r>
      <w:r>
        <w:fldChar w:fldCharType="begin"/>
      </w:r>
      <w:r>
        <w:instrText xml:space="preserve"> PAGEREF _Toc161403479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Directions by Minister</w:t>
      </w:r>
      <w:r>
        <w:tab/>
      </w:r>
      <w:r>
        <w:fldChar w:fldCharType="begin"/>
      </w:r>
      <w:r>
        <w:instrText xml:space="preserve"> PAGEREF _Toc161403480 \h </w:instrText>
      </w:r>
      <w:r>
        <w:fldChar w:fldCharType="separate"/>
      </w:r>
      <w:r>
        <w:t>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Minister to have access to information</w:t>
      </w:r>
      <w:r>
        <w:tab/>
      </w:r>
      <w:r>
        <w:fldChar w:fldCharType="begin"/>
      </w:r>
      <w:r>
        <w:instrText xml:space="preserve"> PAGEREF _Toc161403481 \h </w:instrText>
      </w:r>
      <w:r>
        <w:fldChar w:fldCharType="separate"/>
      </w:r>
      <w:r>
        <w:t>1</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Confidential information</w:t>
      </w:r>
      <w:r>
        <w:tab/>
      </w:r>
      <w:r>
        <w:fldChar w:fldCharType="begin"/>
      </w:r>
      <w:r>
        <w:instrText xml:space="preserve"> PAGEREF _Toc161403482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 of the Commission</w:t>
      </w:r>
    </w:p>
    <w:p>
      <w:pPr>
        <w:pStyle w:val="TOC8"/>
        <w:rPr>
          <w:rFonts w:asciiTheme="minorHAnsi" w:eastAsiaTheme="minorEastAsia" w:hAnsiTheme="minorHAnsi" w:cstheme="minorBidi"/>
          <w:szCs w:val="22"/>
        </w:rPr>
      </w:pPr>
      <w:r>
        <w:t>11</w:t>
      </w:r>
      <w:r>
        <w:rPr>
          <w:snapToGrid w:val="0"/>
        </w:rPr>
        <w:t>.</w:t>
      </w:r>
      <w:r>
        <w:rPr>
          <w:snapToGrid w:val="0"/>
        </w:rPr>
        <w:tab/>
        <w:t>Managing director</w:t>
      </w:r>
      <w:r>
        <w:tab/>
      </w:r>
      <w:r>
        <w:fldChar w:fldCharType="begin"/>
      </w:r>
      <w:r>
        <w:instrText xml:space="preserve"> PAGEREF _Toc161403484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Appointment of staff and consultants</w:t>
      </w:r>
      <w:r>
        <w:tab/>
      </w:r>
      <w:r>
        <w:fldChar w:fldCharType="begin"/>
      </w:r>
      <w:r>
        <w:instrText xml:space="preserve"> PAGEREF _Toc161403485 \h </w:instrText>
      </w:r>
      <w:r>
        <w:fldChar w:fldCharType="separate"/>
      </w:r>
      <w:r>
        <w:t>1</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Status of managing director and officers and employees of Commission</w:t>
      </w:r>
      <w:r>
        <w:tab/>
      </w:r>
      <w:r>
        <w:fldChar w:fldCharType="begin"/>
      </w:r>
      <w:r>
        <w:instrText xml:space="preserve"> PAGEREF _Toc161403486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Use of staff and facilities of departments and instrumentalities</w:t>
      </w:r>
      <w:r>
        <w:tab/>
      </w:r>
      <w:r>
        <w:fldChar w:fldCharType="begin"/>
      </w:r>
      <w:r>
        <w:instrText xml:space="preserve"> PAGEREF _Toc161403487 \h </w:instrText>
      </w:r>
      <w:r>
        <w:fldChar w:fldCharType="separate"/>
      </w:r>
      <w:r>
        <w:t>1</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Use of staff and facilities of insurer</w:t>
      </w:r>
      <w:r>
        <w:tab/>
      </w:r>
      <w:r>
        <w:fldChar w:fldCharType="begin"/>
      </w:r>
      <w:r>
        <w:instrText xml:space="preserve"> PAGEREF _Toc161403488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Superannuation</w:t>
      </w:r>
      <w:r>
        <w:tab/>
      </w:r>
      <w:r>
        <w:fldChar w:fldCharType="begin"/>
      </w:r>
      <w:r>
        <w:instrText xml:space="preserve"> PAGEREF _Toc161403489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3A — Strategic development plan and statement of corporate intent</w:t>
      </w:r>
    </w:p>
    <w:p>
      <w:pPr>
        <w:pStyle w:val="TOC8"/>
        <w:rPr>
          <w:rFonts w:asciiTheme="minorHAnsi" w:eastAsiaTheme="minorEastAsia" w:hAnsiTheme="minorHAnsi" w:cstheme="minorBidi"/>
          <w:szCs w:val="22"/>
        </w:rPr>
      </w:pPr>
      <w:r>
        <w:t>14A.</w:t>
      </w:r>
      <w:r>
        <w:tab/>
        <w:t>Duty to observe policy instruments</w:t>
      </w:r>
      <w:r>
        <w:tab/>
      </w:r>
      <w:r>
        <w:fldChar w:fldCharType="begin"/>
      </w:r>
      <w:r>
        <w:instrText xml:space="preserve"> PAGEREF _Toc161403491 \h </w:instrText>
      </w:r>
      <w:r>
        <w:fldChar w:fldCharType="separate"/>
      </w:r>
      <w:r>
        <w:t>1</w:t>
      </w:r>
      <w:r>
        <w:fldChar w:fldCharType="end"/>
      </w:r>
    </w:p>
    <w:p>
      <w:pPr>
        <w:pStyle w:val="TOC8"/>
        <w:rPr>
          <w:rFonts w:asciiTheme="minorHAnsi" w:eastAsiaTheme="minorEastAsia" w:hAnsiTheme="minorHAnsi" w:cstheme="minorBidi"/>
          <w:szCs w:val="22"/>
        </w:rPr>
      </w:pPr>
      <w:r>
        <w:t>14B.</w:t>
      </w:r>
      <w:r>
        <w:tab/>
        <w:t>Strategic development plan and statement of corporate intent</w:t>
      </w:r>
      <w:r>
        <w:tab/>
      </w:r>
      <w:r>
        <w:fldChar w:fldCharType="begin"/>
      </w:r>
      <w:r>
        <w:instrText xml:space="preserve"> PAGEREF _Toc161403492 \h </w:instrText>
      </w:r>
      <w:r>
        <w:fldChar w:fldCharType="separate"/>
      </w:r>
      <w:r>
        <w:t>1</w:t>
      </w:r>
      <w:r>
        <w:fldChar w:fldCharType="end"/>
      </w:r>
    </w:p>
    <w:p>
      <w:pPr>
        <w:pStyle w:val="TOC8"/>
        <w:rPr>
          <w:rFonts w:asciiTheme="minorHAnsi" w:eastAsiaTheme="minorEastAsia" w:hAnsiTheme="minorHAnsi" w:cstheme="minorBidi"/>
          <w:szCs w:val="22"/>
        </w:rPr>
      </w:pPr>
      <w:r>
        <w:t>14C.</w:t>
      </w:r>
      <w:r>
        <w:tab/>
        <w:t>Laying directions about strategic development plan or statement of corporate intent before Parliament</w:t>
      </w:r>
      <w:r>
        <w:tab/>
      </w:r>
      <w:r>
        <w:fldChar w:fldCharType="begin"/>
      </w:r>
      <w:r>
        <w:instrText xml:space="preserve"> PAGEREF _Toc161403493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Financial provisions relating to the Commission</w:t>
      </w:r>
    </w:p>
    <w:p>
      <w:pPr>
        <w:pStyle w:val="TOC6"/>
        <w:tabs>
          <w:tab w:val="right" w:leader="dot" w:pos="7077"/>
        </w:tabs>
        <w:rPr>
          <w:rFonts w:asciiTheme="minorHAnsi" w:eastAsiaTheme="minorEastAsia" w:hAnsiTheme="minorHAnsi" w:cstheme="minorBidi"/>
          <w:b w:val="0"/>
          <w:sz w:val="22"/>
          <w:szCs w:val="22"/>
        </w:rPr>
      </w:pPr>
      <w:r>
        <w:rPr>
          <w:snapToGrid w:val="0"/>
        </w:rPr>
        <w:t>Subdivision A — Income, expenditure and property of the Commission</w:t>
      </w:r>
    </w:p>
    <w:p>
      <w:pPr>
        <w:pStyle w:val="TOC8"/>
        <w:rPr>
          <w:rFonts w:asciiTheme="minorHAnsi" w:eastAsiaTheme="minorEastAsia" w:hAnsiTheme="minorHAnsi" w:cstheme="minorBidi"/>
          <w:szCs w:val="22"/>
        </w:rPr>
      </w:pPr>
      <w:r>
        <w:t>15</w:t>
      </w:r>
      <w:r>
        <w:rPr>
          <w:snapToGrid w:val="0"/>
        </w:rPr>
        <w:t>.</w:t>
      </w:r>
      <w:r>
        <w:rPr>
          <w:snapToGrid w:val="0"/>
        </w:rPr>
        <w:tab/>
        <w:t>Moneys available to Commission</w:t>
      </w:r>
      <w:r>
        <w:tab/>
      </w:r>
      <w:r>
        <w:fldChar w:fldCharType="begin"/>
      </w:r>
      <w:r>
        <w:instrText xml:space="preserve"> PAGEREF _Toc161403496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Establishment and composition of Funds</w:t>
      </w:r>
      <w:r>
        <w:tab/>
      </w:r>
      <w:r>
        <w:fldChar w:fldCharType="begin"/>
      </w:r>
      <w:r>
        <w:instrText xml:space="preserve"> PAGEREF _Toc161403497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Apportionment of income, expenditure and assets</w:t>
      </w:r>
      <w:r>
        <w:tab/>
      </w:r>
      <w:r>
        <w:fldChar w:fldCharType="begin"/>
      </w:r>
      <w:r>
        <w:instrText xml:space="preserve"> PAGEREF _Toc161403498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Transfer between Funds</w:t>
      </w:r>
      <w:r>
        <w:tab/>
      </w:r>
      <w:r>
        <w:fldChar w:fldCharType="begin"/>
      </w:r>
      <w:r>
        <w:instrText xml:space="preserve"> PAGEREF _Toc161403499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ab/>
      </w:r>
      <w:r>
        <w:rPr>
          <w:snapToGrid w:val="0"/>
        </w:rPr>
        <w:t>Subdivision Aa — Investment and property management</w:t>
      </w:r>
    </w:p>
    <w:p>
      <w:pPr>
        <w:pStyle w:val="TOC8"/>
        <w:rPr>
          <w:rFonts w:asciiTheme="minorHAnsi" w:eastAsiaTheme="minorEastAsia" w:hAnsiTheme="minorHAnsi" w:cstheme="minorBidi"/>
          <w:szCs w:val="22"/>
        </w:rPr>
      </w:pPr>
      <w:r>
        <w:t>19</w:t>
      </w:r>
      <w:r>
        <w:rPr>
          <w:snapToGrid w:val="0"/>
        </w:rPr>
        <w:t>.</w:t>
      </w:r>
      <w:r>
        <w:rPr>
          <w:snapToGrid w:val="0"/>
        </w:rPr>
        <w:tab/>
        <w:t>Arrangements for appointment of investment managers</w:t>
      </w:r>
      <w:r>
        <w:tab/>
      </w:r>
      <w:r>
        <w:fldChar w:fldCharType="begin"/>
      </w:r>
      <w:r>
        <w:instrText xml:space="preserve"> PAGEREF _Toc161403501 \h </w:instrText>
      </w:r>
      <w:r>
        <w:fldChar w:fldCharType="separate"/>
      </w:r>
      <w:r>
        <w:t>1</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Investment policy</w:t>
      </w:r>
      <w:r>
        <w:tab/>
      </w:r>
      <w:r>
        <w:fldChar w:fldCharType="begin"/>
      </w:r>
      <w:r>
        <w:instrText xml:space="preserve"> PAGEREF _Toc161403502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Financial administration, audit and reporting</w:t>
      </w:r>
    </w:p>
    <w:p>
      <w:pPr>
        <w:pStyle w:val="TOC8"/>
        <w:rPr>
          <w:rFonts w:asciiTheme="minorHAnsi" w:eastAsiaTheme="minorEastAsia" w:hAnsiTheme="minorHAnsi" w:cstheme="minorBidi"/>
          <w:szCs w:val="22"/>
        </w:rPr>
      </w:pPr>
      <w: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r>
        <w:tab/>
      </w:r>
      <w:r>
        <w:fldChar w:fldCharType="begin"/>
      </w:r>
      <w:r>
        <w:instrText xml:space="preserve"> PAGEREF _Toc161403504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Provisions and reserves</w:t>
      </w:r>
      <w:r>
        <w:tab/>
      </w:r>
      <w:r>
        <w:fldChar w:fldCharType="begin"/>
      </w:r>
      <w:r>
        <w:instrText xml:space="preserve"> PAGEREF _Toc161403505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Accounts</w:t>
      </w:r>
      <w:r>
        <w:tab/>
      </w:r>
      <w:r>
        <w:fldChar w:fldCharType="begin"/>
      </w:r>
      <w:r>
        <w:instrText xml:space="preserve"> PAGEREF _Toc161403506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Annual reports, financial statements</w:t>
      </w:r>
      <w:r>
        <w:tab/>
      </w:r>
      <w:r>
        <w:fldChar w:fldCharType="begin"/>
      </w:r>
      <w:r>
        <w:instrText xml:space="preserve"> PAGEREF _Toc161403507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Borrowing and financial accommodation</w:t>
      </w:r>
    </w:p>
    <w:p>
      <w:pPr>
        <w:pStyle w:val="TOC8"/>
        <w:rPr>
          <w:rFonts w:asciiTheme="minorHAnsi" w:eastAsiaTheme="minorEastAsia" w:hAnsiTheme="minorHAnsi" w:cstheme="minorBidi"/>
          <w:szCs w:val="22"/>
        </w:rPr>
      </w:pPr>
      <w:r>
        <w:t>24</w:t>
      </w:r>
      <w:r>
        <w:rPr>
          <w:snapToGrid w:val="0"/>
        </w:rPr>
        <w:t>.</w:t>
      </w:r>
      <w:r>
        <w:rPr>
          <w:snapToGrid w:val="0"/>
        </w:rPr>
        <w:tab/>
        <w:t>Power to borrow etc., generally</w:t>
      </w:r>
      <w:r>
        <w:tab/>
      </w:r>
      <w:r>
        <w:fldChar w:fldCharType="begin"/>
      </w:r>
      <w:r>
        <w:instrText xml:space="preserve"> PAGEREF _Toc161403509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to make provision to pay off loans</w:t>
      </w:r>
      <w:r>
        <w:tab/>
      </w:r>
      <w:r>
        <w:fldChar w:fldCharType="begin"/>
      </w:r>
      <w:r>
        <w:instrText xml:space="preserve"> PAGEREF _Toc161403510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Borrowing power, from Treasury sources</w:t>
      </w:r>
      <w:r>
        <w:tab/>
      </w:r>
      <w:r>
        <w:fldChar w:fldCharType="begin"/>
      </w:r>
      <w:r>
        <w:instrText xml:space="preserve"> PAGEREF _Toc161403511 \h </w:instrText>
      </w:r>
      <w:r>
        <w:fldChar w:fldCharType="separate"/>
      </w:r>
      <w:r>
        <w:t>1</w:t>
      </w:r>
      <w:r>
        <w:fldChar w:fldCharType="end"/>
      </w:r>
    </w:p>
    <w:p>
      <w:pPr>
        <w:pStyle w:val="TOC8"/>
        <w:rPr>
          <w:rFonts w:asciiTheme="minorHAnsi" w:eastAsiaTheme="minorEastAsia" w:hAnsiTheme="minorHAnsi" w:cstheme="minorBidi"/>
          <w:szCs w:val="22"/>
        </w:rPr>
      </w:pPr>
      <w:r>
        <w:lastRenderedPageBreak/>
        <w:t>27</w:t>
      </w:r>
      <w:r>
        <w:rPr>
          <w:snapToGrid w:val="0"/>
        </w:rPr>
        <w:t>.</w:t>
      </w:r>
      <w:r>
        <w:rPr>
          <w:snapToGrid w:val="0"/>
        </w:rPr>
        <w:tab/>
        <w:t>Specific State guarantees</w:t>
      </w:r>
      <w:r>
        <w:tab/>
      </w:r>
      <w:r>
        <w:fldChar w:fldCharType="begin"/>
      </w:r>
      <w:r>
        <w:instrText xml:space="preserve"> PAGEREF _Toc161403512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D — Dividends to State</w:t>
      </w:r>
    </w:p>
    <w:p>
      <w:pPr>
        <w:pStyle w:val="TOC8"/>
        <w:rPr>
          <w:rFonts w:asciiTheme="minorHAnsi" w:eastAsiaTheme="minorEastAsia" w:hAnsiTheme="minorHAnsi" w:cstheme="minorBidi"/>
          <w:szCs w:val="22"/>
        </w:rPr>
      </w:pPr>
      <w:r>
        <w:t>28.</w:t>
      </w:r>
      <w:r>
        <w:tab/>
        <w:t>Interim dividend</w:t>
      </w:r>
      <w:r>
        <w:tab/>
      </w:r>
      <w:r>
        <w:fldChar w:fldCharType="begin"/>
      </w:r>
      <w:r>
        <w:instrText xml:space="preserve"> PAGEREF _Toc161403514 \h </w:instrText>
      </w:r>
      <w:r>
        <w:fldChar w:fldCharType="separate"/>
      </w:r>
      <w:r>
        <w:t>1</w:t>
      </w:r>
      <w:r>
        <w:fldChar w:fldCharType="end"/>
      </w:r>
    </w:p>
    <w:p>
      <w:pPr>
        <w:pStyle w:val="TOC8"/>
        <w:rPr>
          <w:rFonts w:asciiTheme="minorHAnsi" w:eastAsiaTheme="minorEastAsia" w:hAnsiTheme="minorHAnsi" w:cstheme="minorBidi"/>
          <w:szCs w:val="22"/>
        </w:rPr>
      </w:pPr>
      <w:r>
        <w:t>29.</w:t>
      </w:r>
      <w:r>
        <w:tab/>
        <w:t>Annual dividend</w:t>
      </w:r>
      <w:r>
        <w:tab/>
      </w:r>
      <w:r>
        <w:fldChar w:fldCharType="begin"/>
      </w:r>
      <w:r>
        <w:instrText xml:space="preserve"> PAGEREF _Toc161403515 \h </w:instrText>
      </w:r>
      <w:r>
        <w:fldChar w:fldCharType="separate"/>
      </w:r>
      <w:r>
        <w:t>1</w:t>
      </w:r>
      <w:r>
        <w:fldChar w:fldCharType="end"/>
      </w:r>
    </w:p>
    <w:p>
      <w:pPr>
        <w:pStyle w:val="TOC8"/>
        <w:rPr>
          <w:rFonts w:asciiTheme="minorHAnsi" w:eastAsiaTheme="minorEastAsia" w:hAnsiTheme="minorHAnsi" w:cstheme="minorBidi"/>
          <w:szCs w:val="22"/>
        </w:rPr>
      </w:pPr>
      <w:r>
        <w:t>30.</w:t>
      </w:r>
      <w:r>
        <w:tab/>
        <w:t>Provisions for s. 28 and 29</w:t>
      </w:r>
      <w:r>
        <w:tab/>
      </w:r>
      <w:r>
        <w:fldChar w:fldCharType="begin"/>
      </w:r>
      <w:r>
        <w:instrText xml:space="preserve"> PAGEREF _Toc161403516 \h </w:instrText>
      </w:r>
      <w:r>
        <w:fldChar w:fldCharType="separate"/>
      </w:r>
      <w:r>
        <w:t>1</w:t>
      </w:r>
      <w:r>
        <w:fldChar w:fldCharType="end"/>
      </w:r>
    </w:p>
    <w:p>
      <w:pPr>
        <w:pStyle w:val="TOC8"/>
        <w:rPr>
          <w:rFonts w:asciiTheme="minorHAnsi" w:eastAsiaTheme="minorEastAsia" w:hAnsiTheme="minorHAnsi" w:cstheme="minorBidi"/>
          <w:szCs w:val="22"/>
        </w:rPr>
      </w:pPr>
      <w:r>
        <w:t>31.</w:t>
      </w:r>
      <w:r>
        <w:tab/>
        <w:t xml:space="preserve">Transitional provisions for </w:t>
      </w:r>
      <w:r>
        <w:rPr>
          <w:i/>
        </w:rPr>
        <w:t>Insurance Commission of Western Australia Amendment Act 2013</w:t>
      </w:r>
      <w:r>
        <w:t>: interim dividends</w:t>
      </w:r>
      <w:r>
        <w:tab/>
      </w:r>
      <w:r>
        <w:fldChar w:fldCharType="begin"/>
      </w:r>
      <w:r>
        <w:instrText xml:space="preserve"> PAGEREF _Toc161403517 \h </w:instrText>
      </w:r>
      <w:r>
        <w:fldChar w:fldCharType="separate"/>
      </w:r>
      <w:r>
        <w:t>1</w:t>
      </w:r>
      <w:r>
        <w:fldChar w:fldCharType="end"/>
      </w:r>
    </w:p>
    <w:p>
      <w:pPr>
        <w:pStyle w:val="TOC8"/>
        <w:rPr>
          <w:rFonts w:asciiTheme="minorHAnsi" w:eastAsiaTheme="minorEastAsia" w:hAnsiTheme="minorHAnsi" w:cstheme="minorBidi"/>
          <w:szCs w:val="22"/>
        </w:rPr>
      </w:pPr>
      <w:r>
        <w:t>32.</w:t>
      </w:r>
      <w:r>
        <w:tab/>
        <w:t xml:space="preserve">Transitional provisions for </w:t>
      </w:r>
      <w:r>
        <w:rPr>
          <w:i/>
        </w:rPr>
        <w:t>Insurance Commission of Western Australia Amendment Act 2013</w:t>
      </w:r>
      <w:r>
        <w:t>: annual dividends</w:t>
      </w:r>
      <w:r>
        <w:tab/>
      </w:r>
      <w:r>
        <w:fldChar w:fldCharType="begin"/>
      </w:r>
      <w:r>
        <w:instrText xml:space="preserve"> PAGEREF _Toc161403518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42</w:t>
      </w:r>
      <w:r>
        <w:rPr>
          <w:snapToGrid w:val="0"/>
        </w:rPr>
        <w:t>.</w:t>
      </w:r>
      <w:r>
        <w:rPr>
          <w:snapToGrid w:val="0"/>
        </w:rPr>
        <w:tab/>
        <w:t>Secrecy</w:t>
      </w:r>
      <w:r>
        <w:tab/>
      </w:r>
      <w:r>
        <w:fldChar w:fldCharType="begin"/>
      </w:r>
      <w:r>
        <w:instrText xml:space="preserve"> PAGEREF _Toc161403520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Execution of documents and entry into contracts</w:t>
      </w:r>
      <w:r>
        <w:tab/>
      </w:r>
      <w:r>
        <w:fldChar w:fldCharType="begin"/>
      </w:r>
      <w:r>
        <w:instrText xml:space="preserve"> PAGEREF _Toc161403521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Exemption of certain public authorities from workers’ compensation insurance requirements</w:t>
      </w:r>
      <w:r>
        <w:tab/>
      </w:r>
      <w:r>
        <w:fldChar w:fldCharType="begin"/>
      </w:r>
      <w:r>
        <w:instrText xml:space="preserve"> PAGEREF _Toc161403522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Regulations</w:t>
      </w:r>
      <w:r>
        <w:tab/>
      </w:r>
      <w:r>
        <w:fldChar w:fldCharType="begin"/>
      </w:r>
      <w:r>
        <w:instrText xml:space="preserve"> PAGEREF _Toc161403523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 — Repeal, amendments, saving, validation and transitional</w:t>
      </w:r>
    </w:p>
    <w:p>
      <w:pPr>
        <w:pStyle w:val="TOC8"/>
        <w:rPr>
          <w:rFonts w:asciiTheme="minorHAnsi" w:eastAsiaTheme="minorEastAsia" w:hAnsiTheme="minorHAnsi" w:cstheme="minorBidi"/>
          <w:szCs w:val="22"/>
        </w:rPr>
      </w:pPr>
      <w:r>
        <w:t>46</w:t>
      </w:r>
      <w:r>
        <w:rPr>
          <w:snapToGrid w:val="0"/>
        </w:rPr>
        <w:t>.</w:t>
      </w:r>
      <w:r>
        <w:rPr>
          <w:snapToGrid w:val="0"/>
        </w:rPr>
        <w:tab/>
        <w:t>Repeal and amendments</w:t>
      </w:r>
      <w:r>
        <w:tab/>
      </w:r>
      <w:r>
        <w:fldChar w:fldCharType="begin"/>
      </w:r>
      <w:r>
        <w:instrText xml:space="preserve"> PAGEREF _Toc161403525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Saving, validation and transitional provisions</w:t>
      </w:r>
      <w:r>
        <w:tab/>
      </w:r>
      <w:r>
        <w:fldChar w:fldCharType="begin"/>
      </w:r>
      <w:r>
        <w:instrText xml:space="preserve"> PAGEREF _Toc161403526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Oversight by Public Accounts Committee</w:t>
      </w:r>
      <w:r>
        <w:tab/>
      </w:r>
      <w:r>
        <w:fldChar w:fldCharType="begin"/>
      </w:r>
      <w:r>
        <w:instrText xml:space="preserve"> PAGEREF _Toc161403527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commissioners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_Toc161403529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Commissioners — terms and vacation of office</w:t>
      </w:r>
      <w:r>
        <w:tab/>
      </w:r>
      <w:r>
        <w:fldChar w:fldCharType="begin"/>
      </w:r>
      <w:r>
        <w:instrText xml:space="preserve"> PAGEREF _Toc161403530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Alternate commissioners</w:t>
      </w:r>
      <w:r>
        <w:tab/>
      </w:r>
      <w:r>
        <w:fldChar w:fldCharType="begin"/>
      </w:r>
      <w:r>
        <w:instrText xml:space="preserve"> PAGEREF _Toc161403531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Chairman and deputy chairman — term and vacation of office</w:t>
      </w:r>
      <w:r>
        <w:tab/>
      </w:r>
      <w:r>
        <w:fldChar w:fldCharType="begin"/>
      </w:r>
      <w:r>
        <w:instrText xml:space="preserve"> PAGEREF _Toc161403532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Disclosure of pecuniary interests</w:t>
      </w:r>
      <w:r>
        <w:tab/>
      </w:r>
      <w:r>
        <w:fldChar w:fldCharType="begin"/>
      </w:r>
      <w:r>
        <w:instrText xml:space="preserve"> PAGEREF _Toc161403533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_Toc161403534 \h </w:instrText>
      </w:r>
      <w:r>
        <w:fldChar w:fldCharType="separate"/>
      </w:r>
      <w:r>
        <w:t>1</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Telephone and video meetings</w:t>
      </w:r>
      <w:r>
        <w:tab/>
      </w:r>
      <w:r>
        <w:fldChar w:fldCharType="begin"/>
      </w:r>
      <w:r>
        <w:instrText xml:space="preserve"> PAGEREF _Toc161403535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Committees</w:t>
      </w:r>
      <w:r>
        <w:tab/>
      </w:r>
      <w:r>
        <w:fldChar w:fldCharType="begin"/>
      </w:r>
      <w:r>
        <w:instrText xml:space="preserve"> PAGEREF _Toc161403536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Resolution may be passed without meeting</w:t>
      </w:r>
      <w:r>
        <w:tab/>
      </w:r>
      <w:r>
        <w:fldChar w:fldCharType="begin"/>
      </w:r>
      <w:r>
        <w:instrText xml:space="preserve"> PAGEREF _Toc161403537 \h </w:instrText>
      </w:r>
      <w:r>
        <w:fldChar w:fldCharType="separate"/>
      </w:r>
      <w:r>
        <w:t>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Minutes of meetings etc.</w:t>
      </w:r>
      <w:r>
        <w:tab/>
      </w:r>
      <w:r>
        <w:fldChar w:fldCharType="begin"/>
      </w:r>
      <w:r>
        <w:instrText xml:space="preserve"> PAGEREF _Toc161403538 \h </w:instrText>
      </w:r>
      <w:r>
        <w:fldChar w:fldCharType="separate"/>
      </w:r>
      <w:r>
        <w:t>1</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Leave of absence</w:t>
      </w:r>
      <w:r>
        <w:tab/>
      </w:r>
      <w:r>
        <w:fldChar w:fldCharType="begin"/>
      </w:r>
      <w:r>
        <w:instrText xml:space="preserve"> PAGEREF _Toc161403539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Board to determine own procedures</w:t>
      </w:r>
      <w:r>
        <w:tab/>
      </w:r>
      <w:r>
        <w:fldChar w:fldCharType="begin"/>
      </w:r>
      <w:r>
        <w:instrText xml:space="preserve"> PAGEREF _Toc161403540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commissioners</w:t>
      </w:r>
      <w:r>
        <w:tab/>
      </w:r>
      <w:r>
        <w:fldChar w:fldCharType="begin"/>
      </w:r>
      <w:r>
        <w:instrText xml:space="preserve"> PAGEREF _Toc161403541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4 — Saving, validation and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_Toc161403543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Transfer of assets, liabilities and records of MVIT</w:t>
      </w:r>
      <w:r>
        <w:tab/>
      </w:r>
      <w:r>
        <w:fldChar w:fldCharType="begin"/>
      </w:r>
      <w:r>
        <w:instrText xml:space="preserve"> PAGEREF _Toc161403544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MVIT insurance policies</w:t>
      </w:r>
      <w:r>
        <w:tab/>
      </w:r>
      <w:r>
        <w:fldChar w:fldCharType="begin"/>
      </w:r>
      <w:r>
        <w:instrText xml:space="preserve"> PAGEREF _Toc161403545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instruments, determinations and proceedings generally</w:t>
      </w:r>
      <w:r>
        <w:tab/>
      </w:r>
      <w:r>
        <w:fldChar w:fldCharType="begin"/>
      </w:r>
      <w:r>
        <w:instrText xml:space="preserve"> PAGEREF _Toc161403546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Final reports on operations of MVIT</w:t>
      </w:r>
      <w:r>
        <w:tab/>
      </w:r>
      <w:r>
        <w:fldChar w:fldCharType="begin"/>
      </w:r>
      <w:r>
        <w:instrText xml:space="preserve"> PAGEREF _Toc161403547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Assessment as to sufficiency of income</w:t>
      </w:r>
      <w:r>
        <w:tab/>
      </w:r>
      <w:r>
        <w:fldChar w:fldCharType="begin"/>
      </w:r>
      <w:r>
        <w:instrText xml:space="preserve"> PAGEREF _Toc161403548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Employment of current officers</w:t>
      </w:r>
      <w:r>
        <w:tab/>
      </w:r>
      <w:r>
        <w:fldChar w:fldCharType="begin"/>
      </w:r>
      <w:r>
        <w:instrText xml:space="preserve"> PAGEREF _Toc161403549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References to MVIT in laws</w:t>
      </w:r>
      <w:r>
        <w:tab/>
      </w:r>
      <w:r>
        <w:fldChar w:fldCharType="begin"/>
      </w:r>
      <w:r>
        <w:instrText xml:space="preserve"> PAGEREF _Toc161403550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of assets, liabilities and records of SGIO</w:t>
      </w:r>
      <w:r>
        <w:tab/>
      </w:r>
      <w:r>
        <w:fldChar w:fldCharType="begin"/>
      </w:r>
      <w:r>
        <w:instrText xml:space="preserve"> PAGEREF _Toc161403551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SGIO insurance policies and re</w:t>
      </w:r>
      <w:r>
        <w:rPr>
          <w:snapToGrid w:val="0"/>
        </w:rPr>
        <w:noBreakHyphen/>
        <w:t>insurance</w:t>
      </w:r>
      <w:r>
        <w:tab/>
      </w:r>
      <w:r>
        <w:fldChar w:fldCharType="begin"/>
      </w:r>
      <w:r>
        <w:instrText xml:space="preserve"> PAGEREF _Toc161403552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Agents and brokers</w:t>
      </w:r>
      <w:r>
        <w:tab/>
      </w:r>
      <w:r>
        <w:fldChar w:fldCharType="begin"/>
      </w:r>
      <w:r>
        <w:instrText xml:space="preserve"> PAGEREF _Toc161403553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 instruments and proceedings generally</w:t>
      </w:r>
      <w:r>
        <w:tab/>
      </w:r>
      <w:r>
        <w:fldChar w:fldCharType="begin"/>
      </w:r>
      <w:r>
        <w:instrText xml:space="preserve"> PAGEREF _Toc161403554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Final reports on operations of SGIO</w:t>
      </w:r>
      <w:r>
        <w:tab/>
      </w:r>
      <w:r>
        <w:fldChar w:fldCharType="begin"/>
      </w:r>
      <w:r>
        <w:instrText xml:space="preserve"> PAGEREF _Toc161403555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outstanding obligations to be met by Commission</w:t>
      </w:r>
      <w:r>
        <w:tab/>
      </w:r>
      <w:r>
        <w:fldChar w:fldCharType="begin"/>
      </w:r>
      <w:r>
        <w:instrText xml:space="preserve"> PAGEREF _Toc161403556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Saving of presumption and protection</w:t>
      </w:r>
      <w:r>
        <w:tab/>
      </w:r>
      <w:r>
        <w:fldChar w:fldCharType="begin"/>
      </w:r>
      <w:r>
        <w:instrText xml:space="preserve"> PAGEREF _Toc161403557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Employment of staff of SGIO</w:t>
      </w:r>
      <w:r>
        <w:tab/>
      </w:r>
      <w:r>
        <w:fldChar w:fldCharType="begin"/>
      </w:r>
      <w:r>
        <w:instrText xml:space="preserve"> PAGEREF _Toc161403558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References to the SGIO in laws</w:t>
      </w:r>
      <w:r>
        <w:tab/>
      </w:r>
      <w:r>
        <w:fldChar w:fldCharType="begin"/>
      </w:r>
      <w:r>
        <w:instrText xml:space="preserve"> PAGEREF _Toc161403559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Apportionment of assets and liabilities</w:t>
      </w:r>
      <w:r>
        <w:tab/>
      </w:r>
      <w:r>
        <w:fldChar w:fldCharType="begin"/>
      </w:r>
      <w:r>
        <w:instrText xml:space="preserve"> PAGEREF _Toc161403560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Interpretation Act to apply</w:t>
      </w:r>
      <w:r>
        <w:tab/>
      </w:r>
      <w:r>
        <w:fldChar w:fldCharType="begin"/>
      </w:r>
      <w:r>
        <w:instrText xml:space="preserve"> PAGEREF _Toc161403561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_Toc161403563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_Toc161403564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_Toc161403565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600"/>
      </w:pPr>
      <w:r>
        <w:t>Insurance Commission of Western Australia Act 1986</w:t>
      </w:r>
    </w:p>
    <w:p>
      <w:pPr>
        <w:pStyle w:val="LongTitle"/>
        <w:spacing w:before="240"/>
        <w:rPr>
          <w:snapToGrid w:val="0"/>
        </w:rPr>
      </w:pPr>
      <w:r>
        <w:rPr>
          <w:snapToGrid w:val="0"/>
        </w:rPr>
        <w:t xml:space="preserve">An Act to provide for the constitution and functions of the Insurance Commission of Western Australia, and for related purposes. </w:t>
      </w:r>
    </w:p>
    <w:p>
      <w:pPr>
        <w:pStyle w:val="Footnotelongtitle"/>
      </w:pPr>
      <w:r>
        <w:tab/>
        <w:t>[Long title inserted: No. 45 of 1996 s. 4.]</w:t>
      </w:r>
    </w:p>
    <w:p>
      <w:pPr>
        <w:pStyle w:val="Heading2"/>
      </w:pPr>
      <w:bookmarkStart w:id="2" w:name="_Toc161403465"/>
      <w:r>
        <w:rPr>
          <w:rStyle w:val="CharPartNo"/>
        </w:rPr>
        <w:lastRenderedPageBreak/>
        <w:t>Part I</w:t>
      </w:r>
      <w:r>
        <w:rPr>
          <w:rStyle w:val="CharDivNo"/>
        </w:rPr>
        <w:t> </w:t>
      </w:r>
      <w:r>
        <w:t>—</w:t>
      </w:r>
      <w:r>
        <w:rPr>
          <w:rStyle w:val="CharDivText"/>
        </w:rPr>
        <w:t> </w:t>
      </w:r>
      <w:r>
        <w:rPr>
          <w:rStyle w:val="CharPartText"/>
        </w:rPr>
        <w:t>Preliminary</w:t>
      </w:r>
      <w:bookmarkEnd w:id="2"/>
      <w:r>
        <w:rPr>
          <w:rStyle w:val="CharPartText"/>
        </w:rPr>
        <w:t xml:space="preserve"> </w:t>
      </w:r>
    </w:p>
    <w:p>
      <w:pPr>
        <w:pStyle w:val="Heading5"/>
        <w:spacing w:before="240"/>
        <w:rPr>
          <w:snapToGrid w:val="0"/>
        </w:rPr>
      </w:pPr>
      <w:bookmarkStart w:id="3" w:name="_Toc161403466"/>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rPr>
        <w:t>.</w:t>
      </w:r>
    </w:p>
    <w:p>
      <w:pPr>
        <w:pStyle w:val="Footnotesection"/>
      </w:pPr>
      <w:r>
        <w:tab/>
        <w:t>[Section 1 amended: No. 45 of 1996 s. 5.]</w:t>
      </w:r>
    </w:p>
    <w:p>
      <w:pPr>
        <w:pStyle w:val="Heading5"/>
        <w:spacing w:before="240"/>
        <w:rPr>
          <w:snapToGrid w:val="0"/>
        </w:rPr>
      </w:pPr>
      <w:bookmarkStart w:id="4" w:name="_Toc16140346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spacing w:before="240"/>
        <w:rPr>
          <w:snapToGrid w:val="0"/>
        </w:rPr>
      </w:pPr>
      <w:bookmarkStart w:id="5" w:name="_Toc161403468"/>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keepNext/>
      </w:pPr>
      <w:r>
        <w:lastRenderedPageBreak/>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or taken to be incorporated, under the </w:t>
      </w:r>
      <w:r>
        <w:rPr>
          <w:i/>
        </w:rPr>
        <w:t>Associations Incorporation Act 2015</w:t>
      </w:r>
      <w:r>
        <w:t>; or</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t xml:space="preserve"> or the </w:t>
      </w:r>
      <w:r>
        <w:rPr>
          <w:i/>
        </w:rPr>
        <w:t>Life Insurance Act 1945</w:t>
      </w:r>
      <w:r>
        <w:rPr>
          <w:vertAlign w:val="superscript"/>
        </w:rPr>
        <w:t xml:space="preserve"> 1</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keepNext/>
      </w:pPr>
      <w:r>
        <w:rPr>
          <w:b/>
        </w:rPr>
        <w:lastRenderedPageBreak/>
        <w:tab/>
      </w:r>
      <w:r>
        <w:rPr>
          <w:rStyle w:val="CharDefText"/>
        </w:rPr>
        <w:t>Treasurer</w:t>
      </w:r>
      <w:r>
        <w:t xml:space="preserve"> means the Treasurer of the State.</w:t>
      </w:r>
    </w:p>
    <w:p>
      <w:pPr>
        <w:pStyle w:val="Footnotesection"/>
      </w:pPr>
      <w:r>
        <w:tab/>
        <w:t xml:space="preserve">[Section 3 amended: No. 45 of 1996 s. 6; No. 34 of 2002 s. 4; No. 30 of 2015 s. 219.] </w:t>
      </w:r>
    </w:p>
    <w:p>
      <w:pPr>
        <w:pStyle w:val="Heading5"/>
      </w:pPr>
      <w:bookmarkStart w:id="6" w:name="_Toc161403469"/>
      <w:r>
        <w:rPr>
          <w:rStyle w:val="CharSectno"/>
        </w:rPr>
        <w:t>3A</w:t>
      </w:r>
      <w:r>
        <w:t>.</w:t>
      </w:r>
      <w:r>
        <w:tab/>
        <w:t>Eligible community organisations</w:t>
      </w:r>
      <w:bookmarkEnd w:id="6"/>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No. 34 of 2002 s. 5.]</w:t>
      </w:r>
    </w:p>
    <w:p>
      <w:pPr>
        <w:pStyle w:val="Heading2"/>
      </w:pPr>
      <w:bookmarkStart w:id="7" w:name="_Toc161403470"/>
      <w:r>
        <w:rPr>
          <w:rStyle w:val="CharPartNo"/>
        </w:rPr>
        <w:lastRenderedPageBreak/>
        <w:t>Part II</w:t>
      </w:r>
      <w:r>
        <w:t> — </w:t>
      </w:r>
      <w:r>
        <w:rPr>
          <w:rStyle w:val="CharPartText"/>
        </w:rPr>
        <w:t>Insurance Commission of Western Australia</w:t>
      </w:r>
      <w:bookmarkEnd w:id="7"/>
      <w:r>
        <w:rPr>
          <w:rStyle w:val="CharPartText"/>
        </w:rPr>
        <w:t xml:space="preserve"> </w:t>
      </w:r>
    </w:p>
    <w:p>
      <w:pPr>
        <w:pStyle w:val="Footnoteheading"/>
        <w:rPr>
          <w:snapToGrid w:val="0"/>
        </w:rPr>
      </w:pPr>
      <w:r>
        <w:rPr>
          <w:snapToGrid w:val="0"/>
        </w:rPr>
        <w:tab/>
        <w:t xml:space="preserve">[Heading inserted: No. 45 of 1996 s. 7.] </w:t>
      </w:r>
    </w:p>
    <w:p>
      <w:pPr>
        <w:pStyle w:val="Heading3"/>
        <w:rPr>
          <w:snapToGrid w:val="0"/>
        </w:rPr>
      </w:pPr>
      <w:bookmarkStart w:id="8" w:name="_Toc161403471"/>
      <w:r>
        <w:rPr>
          <w:rStyle w:val="CharDivNo"/>
        </w:rPr>
        <w:t>Division 1</w:t>
      </w:r>
      <w:r>
        <w:rPr>
          <w:snapToGrid w:val="0"/>
        </w:rPr>
        <w:t> — </w:t>
      </w:r>
      <w:r>
        <w:rPr>
          <w:rStyle w:val="CharDivText"/>
        </w:rPr>
        <w:t>The Commission and the board of commissioners</w:t>
      </w:r>
      <w:bookmarkEnd w:id="8"/>
      <w:r>
        <w:rPr>
          <w:rStyle w:val="CharDivText"/>
        </w:rPr>
        <w:t xml:space="preserve"> </w:t>
      </w:r>
    </w:p>
    <w:p>
      <w:pPr>
        <w:pStyle w:val="Footnoteheading"/>
        <w:rPr>
          <w:snapToGrid w:val="0"/>
        </w:rPr>
      </w:pPr>
      <w:r>
        <w:rPr>
          <w:snapToGrid w:val="0"/>
        </w:rPr>
        <w:tab/>
        <w:t xml:space="preserve">[Heading inserted: No. 45 of 1996 s. 7.] </w:t>
      </w:r>
    </w:p>
    <w:p>
      <w:pPr>
        <w:pStyle w:val="Heading5"/>
        <w:rPr>
          <w:snapToGrid w:val="0"/>
        </w:rPr>
      </w:pPr>
      <w:bookmarkStart w:id="9" w:name="_Toc161403472"/>
      <w:r>
        <w:rPr>
          <w:rStyle w:val="CharSectno"/>
        </w:rPr>
        <w:t>4</w:t>
      </w:r>
      <w:r>
        <w:rPr>
          <w:snapToGrid w:val="0"/>
        </w:rPr>
        <w:t>.</w:t>
      </w:r>
      <w:r>
        <w:rPr>
          <w:snapToGrid w:val="0"/>
        </w:rPr>
        <w:tab/>
        <w:t>Insurance Commission of Western Australia: corporate identity and status</w:t>
      </w:r>
      <w:bookmarkEnd w:id="9"/>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rPr>
        <w:t xml:space="preserve"> 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No. 45 of 1996 s. 8.] </w:t>
      </w:r>
    </w:p>
    <w:p>
      <w:pPr>
        <w:pStyle w:val="Heading5"/>
        <w:rPr>
          <w:snapToGrid w:val="0"/>
        </w:rPr>
      </w:pPr>
      <w:bookmarkStart w:id="10" w:name="_Toc161403473"/>
      <w:r>
        <w:rPr>
          <w:rStyle w:val="CharSectno"/>
        </w:rPr>
        <w:t>4A</w:t>
      </w:r>
      <w:r>
        <w:rPr>
          <w:snapToGrid w:val="0"/>
        </w:rPr>
        <w:t>.</w:t>
      </w:r>
      <w:r>
        <w:rPr>
          <w:snapToGrid w:val="0"/>
        </w:rPr>
        <w:tab/>
        <w:t>Agent of Crown</w:t>
      </w:r>
      <w:bookmarkEnd w:id="10"/>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No. 45 of 1996 s. 8.]</w:t>
      </w:r>
    </w:p>
    <w:p>
      <w:pPr>
        <w:pStyle w:val="Heading5"/>
        <w:rPr>
          <w:snapToGrid w:val="0"/>
        </w:rPr>
      </w:pPr>
      <w:bookmarkStart w:id="11" w:name="_Toc161403474"/>
      <w:r>
        <w:rPr>
          <w:rStyle w:val="CharSectno"/>
        </w:rPr>
        <w:lastRenderedPageBreak/>
        <w:t>5</w:t>
      </w:r>
      <w:r>
        <w:rPr>
          <w:snapToGrid w:val="0"/>
        </w:rPr>
        <w:t>.</w:t>
      </w:r>
      <w:r>
        <w:rPr>
          <w:snapToGrid w:val="0"/>
        </w:rPr>
        <w:tab/>
        <w:t>Board of commissioners</w:t>
      </w:r>
      <w:bookmarkEnd w:id="11"/>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 No. 45 of 1996 s. 9; No. 39 of 2010 s. 89.]</w:t>
      </w:r>
    </w:p>
    <w:p>
      <w:pPr>
        <w:pStyle w:val="Heading3"/>
        <w:rPr>
          <w:snapToGrid w:val="0"/>
        </w:rPr>
      </w:pPr>
      <w:bookmarkStart w:id="12" w:name="_Toc161403475"/>
      <w:r>
        <w:rPr>
          <w:rStyle w:val="CharDivNo"/>
        </w:rPr>
        <w:lastRenderedPageBreak/>
        <w:t>Division 2</w:t>
      </w:r>
      <w:r>
        <w:rPr>
          <w:snapToGrid w:val="0"/>
        </w:rPr>
        <w:t> — </w:t>
      </w:r>
      <w:r>
        <w:rPr>
          <w:rStyle w:val="CharDivText"/>
        </w:rPr>
        <w:t>Functions and powers of the Commission</w:t>
      </w:r>
      <w:bookmarkEnd w:id="12"/>
      <w:r>
        <w:rPr>
          <w:rStyle w:val="CharDivText"/>
        </w:rPr>
        <w:t xml:space="preserve"> </w:t>
      </w:r>
    </w:p>
    <w:p>
      <w:pPr>
        <w:pStyle w:val="Heading5"/>
        <w:rPr>
          <w:snapToGrid w:val="0"/>
        </w:rPr>
      </w:pPr>
      <w:bookmarkStart w:id="13" w:name="_Toc161403476"/>
      <w:r>
        <w:rPr>
          <w:rStyle w:val="CharSectno"/>
        </w:rPr>
        <w:t>6</w:t>
      </w:r>
      <w:r>
        <w:rPr>
          <w:snapToGrid w:val="0"/>
        </w:rPr>
        <w:t>.</w:t>
      </w:r>
      <w:r>
        <w:rPr>
          <w:snapToGrid w:val="0"/>
        </w:rPr>
        <w:tab/>
        <w:t>Functions</w:t>
      </w:r>
      <w:bookmarkEnd w:id="13"/>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lastRenderedPageBreak/>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No. 49 of 1992 s. 28; No. 45 of 1996 s. 10; No. 34 of 2002 s. 6; No. 42 of 2004 s. 174; No. 8 of 2009 s. 79(2); No. 8 of 2016 s. 40.] </w:t>
      </w:r>
    </w:p>
    <w:p>
      <w:pPr>
        <w:pStyle w:val="Heading5"/>
        <w:rPr>
          <w:snapToGrid w:val="0"/>
        </w:rPr>
      </w:pPr>
      <w:bookmarkStart w:id="14" w:name="_Toc161403477"/>
      <w:r>
        <w:rPr>
          <w:rStyle w:val="CharSectno"/>
        </w:rPr>
        <w:t>7</w:t>
      </w:r>
      <w:r>
        <w:rPr>
          <w:snapToGrid w:val="0"/>
        </w:rPr>
        <w:t>.</w:t>
      </w:r>
      <w:r>
        <w:rPr>
          <w:snapToGrid w:val="0"/>
        </w:rPr>
        <w:tab/>
        <w:t>Powers</w:t>
      </w:r>
      <w:bookmarkEnd w:id="14"/>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 xml:space="preserve">with the approval of the Treasurer and subject to such terms and conditions as the Treasurer may approve, to open, maintain and operate accounts in the name of the Commission with such bank or banks as the Treasurer </w:t>
      </w:r>
      <w:r>
        <w:rPr>
          <w:snapToGrid w:val="0"/>
        </w:rPr>
        <w:lastRenderedPageBreak/>
        <w:t>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spacing w:before="60"/>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spacing w:before="60"/>
        <w:rPr>
          <w:snapToGrid w:val="0"/>
        </w:rPr>
      </w:pPr>
      <w:r>
        <w:rPr>
          <w:snapToGrid w:val="0"/>
        </w:rPr>
        <w:tab/>
        <w:t>(m)</w:t>
      </w:r>
      <w:r>
        <w:rPr>
          <w:snapToGrid w:val="0"/>
        </w:rPr>
        <w:tab/>
        <w:t>to act as agent for other persons or public authorities; and</w:t>
      </w:r>
    </w:p>
    <w:p>
      <w:pPr>
        <w:pStyle w:val="Indenta"/>
        <w:spacing w:before="60"/>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spacing w:before="60"/>
        <w:rPr>
          <w:snapToGrid w:val="0"/>
        </w:rPr>
      </w:pPr>
      <w:r>
        <w:rPr>
          <w:snapToGrid w:val="0"/>
        </w:rPr>
        <w:tab/>
        <w:t>[(o)</w:t>
      </w:r>
      <w:r>
        <w:rPr>
          <w:snapToGrid w:val="0"/>
        </w:rPr>
        <w:tab/>
        <w:t>deleted]</w:t>
      </w:r>
    </w:p>
    <w:p>
      <w:pPr>
        <w:pStyle w:val="Indenta"/>
        <w:spacing w:before="60"/>
        <w:rPr>
          <w:snapToGrid w:val="0"/>
        </w:rPr>
      </w:pPr>
      <w:r>
        <w:rPr>
          <w:snapToGrid w:val="0"/>
        </w:rPr>
        <w:tab/>
        <w:t>(p)</w:t>
      </w:r>
      <w:r>
        <w:rPr>
          <w:snapToGrid w:val="0"/>
        </w:rPr>
        <w:tab/>
        <w:t>to do anything incidental to any of its powers.</w:t>
      </w:r>
    </w:p>
    <w:p>
      <w:pPr>
        <w:pStyle w:val="Subsection"/>
        <w:spacing w:before="120"/>
        <w:rPr>
          <w:snapToGrid w:val="0"/>
        </w:rPr>
      </w:pPr>
      <w:r>
        <w:rPr>
          <w:snapToGrid w:val="0"/>
        </w:rPr>
        <w:lastRenderedPageBreak/>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spacing w:before="120"/>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spacing w:before="60"/>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spacing w:before="70"/>
        <w:rPr>
          <w:snapToGrid w:val="0"/>
        </w:rPr>
      </w:pPr>
      <w:r>
        <w:rPr>
          <w:snapToGrid w:val="0"/>
        </w:rPr>
        <w:tab/>
        <w:t>(a)</w:t>
      </w:r>
      <w:r>
        <w:rPr>
          <w:snapToGrid w:val="0"/>
        </w:rPr>
        <w:tab/>
        <w:t>power to invest in real or personal property of any kind; and</w:t>
      </w:r>
    </w:p>
    <w:p>
      <w:pPr>
        <w:pStyle w:val="Indenta"/>
        <w:spacing w:before="70"/>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No. 49 of 1992 s. 28; No. 45 of 1996 s. 11; No. 34 of 2002 s. 7; No. 42 of 2004 s. 174.] </w:t>
      </w:r>
    </w:p>
    <w:p>
      <w:pPr>
        <w:pStyle w:val="Heading5"/>
        <w:spacing w:before="180"/>
        <w:rPr>
          <w:snapToGrid w:val="0"/>
        </w:rPr>
      </w:pPr>
      <w:bookmarkStart w:id="15" w:name="_Toc161403478"/>
      <w:r>
        <w:rPr>
          <w:rStyle w:val="CharSectno"/>
        </w:rPr>
        <w:t>8</w:t>
      </w:r>
      <w:r>
        <w:rPr>
          <w:snapToGrid w:val="0"/>
        </w:rPr>
        <w:t>.</w:t>
      </w:r>
      <w:r>
        <w:rPr>
          <w:snapToGrid w:val="0"/>
        </w:rPr>
        <w:tab/>
        <w:t>Commission to act efficiently and economically</w:t>
      </w:r>
      <w:bookmarkEnd w:id="15"/>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16" w:name="_Toc161403479"/>
      <w:r>
        <w:rPr>
          <w:rStyle w:val="CharSectno"/>
        </w:rPr>
        <w:lastRenderedPageBreak/>
        <w:t>9</w:t>
      </w:r>
      <w:r>
        <w:rPr>
          <w:snapToGrid w:val="0"/>
        </w:rPr>
        <w:t>.</w:t>
      </w:r>
      <w:r>
        <w:rPr>
          <w:snapToGrid w:val="0"/>
        </w:rPr>
        <w:tab/>
        <w:t>Delegation</w:t>
      </w:r>
      <w:bookmarkEnd w:id="16"/>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80"/>
        <w:ind w:left="890" w:hanging="890"/>
      </w:pPr>
      <w:r>
        <w:tab/>
        <w:t>[Section 9 amended: No. 49 of 1992 s. 28.]</w:t>
      </w:r>
    </w:p>
    <w:p>
      <w:pPr>
        <w:pStyle w:val="Heading5"/>
        <w:spacing w:before="180"/>
        <w:rPr>
          <w:snapToGrid w:val="0"/>
        </w:rPr>
      </w:pPr>
      <w:bookmarkStart w:id="17" w:name="_Toc161403480"/>
      <w:r>
        <w:rPr>
          <w:rStyle w:val="CharSectno"/>
        </w:rPr>
        <w:t>10</w:t>
      </w:r>
      <w:r>
        <w:rPr>
          <w:snapToGrid w:val="0"/>
        </w:rPr>
        <w:t>.</w:t>
      </w:r>
      <w:r>
        <w:rPr>
          <w:snapToGrid w:val="0"/>
        </w:rPr>
        <w:tab/>
        <w:t>Directions by Minister</w:t>
      </w:r>
      <w:bookmarkEnd w:id="17"/>
      <w:r>
        <w:rPr>
          <w:snapToGrid w:val="0"/>
        </w:rPr>
        <w:t xml:space="preserve"> </w:t>
      </w:r>
    </w:p>
    <w:p>
      <w:pPr>
        <w:pStyle w:val="Subsection"/>
        <w:spacing w:before="120"/>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10 amended: No. 5 of 1989 s. 16; No. 41 of 1996 s. 3; No. 77 of 2006 Sch. 1 cl. 91(1).]</w:t>
      </w:r>
    </w:p>
    <w:p>
      <w:pPr>
        <w:pStyle w:val="Heading5"/>
        <w:rPr>
          <w:snapToGrid w:val="0"/>
        </w:rPr>
      </w:pPr>
      <w:bookmarkStart w:id="18" w:name="_Toc161403481"/>
      <w:r>
        <w:rPr>
          <w:rStyle w:val="CharSectno"/>
        </w:rPr>
        <w:t>10A</w:t>
      </w:r>
      <w:r>
        <w:rPr>
          <w:snapToGrid w:val="0"/>
        </w:rPr>
        <w:t>.</w:t>
      </w:r>
      <w:r>
        <w:rPr>
          <w:snapToGrid w:val="0"/>
        </w:rPr>
        <w:tab/>
        <w:t>Minister to have access to information</w:t>
      </w:r>
      <w:bookmarkEnd w:id="18"/>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lastRenderedPageBreak/>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spacing w:before="90"/>
        <w:ind w:left="890" w:hanging="890"/>
      </w:pPr>
      <w:r>
        <w:tab/>
        <w:t xml:space="preserve">[Section 10A inserted: No. 45 of 1996 s. 12.] </w:t>
      </w:r>
    </w:p>
    <w:p>
      <w:pPr>
        <w:pStyle w:val="Heading5"/>
        <w:rPr>
          <w:snapToGrid w:val="0"/>
        </w:rPr>
      </w:pPr>
      <w:bookmarkStart w:id="19" w:name="_Toc161403482"/>
      <w:r>
        <w:rPr>
          <w:rStyle w:val="CharSectno"/>
        </w:rPr>
        <w:t>10B</w:t>
      </w:r>
      <w:r>
        <w:rPr>
          <w:snapToGrid w:val="0"/>
        </w:rPr>
        <w:t>.</w:t>
      </w:r>
      <w:r>
        <w:rPr>
          <w:snapToGrid w:val="0"/>
        </w:rPr>
        <w:tab/>
        <w:t>Confidential information</w:t>
      </w:r>
      <w:bookmarkEnd w:id="19"/>
      <w:r>
        <w:rPr>
          <w:snapToGrid w:val="0"/>
        </w:rPr>
        <w:t xml:space="preserve"> </w:t>
      </w:r>
    </w:p>
    <w:p>
      <w:pPr>
        <w:pStyle w:val="Subsection"/>
        <w:spacing w:before="14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4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40"/>
        <w:rPr>
          <w:snapToGrid w:val="0"/>
        </w:rPr>
      </w:pPr>
      <w:r>
        <w:rPr>
          <w:snapToGrid w:val="0"/>
        </w:rPr>
        <w:tab/>
        <w:t>(3)</w:t>
      </w:r>
      <w:r>
        <w:rPr>
          <w:snapToGrid w:val="0"/>
        </w:rPr>
        <w:tab/>
        <w:t xml:space="preserve">In this section — </w:t>
      </w:r>
    </w:p>
    <w:p>
      <w:pPr>
        <w:pStyle w:val="Defstart"/>
      </w:pPr>
      <w:r>
        <w:rPr>
          <w:b/>
        </w:rPr>
        <w:lastRenderedPageBreak/>
        <w:tab/>
      </w:r>
      <w:r>
        <w:rPr>
          <w:rStyle w:val="CharDefText"/>
        </w:rPr>
        <w:t>Commission</w:t>
      </w:r>
      <w:r>
        <w:t xml:space="preserve"> includes the State Government Insurance Office established by the </w:t>
      </w:r>
      <w:r>
        <w:rPr>
          <w:i/>
        </w:rPr>
        <w:t>State Government Insurance Office Act 1938</w:t>
      </w:r>
      <w:r>
        <w:rPr>
          <w:vertAlign w:val="superscript"/>
        </w:rPr>
        <w:t> 2</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90"/>
        <w:ind w:left="890" w:hanging="890"/>
      </w:pPr>
      <w:r>
        <w:tab/>
        <w:t xml:space="preserve">[Section 10B inserted: No. 45 of 1996 s. 12.] </w:t>
      </w:r>
    </w:p>
    <w:p>
      <w:pPr>
        <w:pStyle w:val="Heading3"/>
        <w:pageBreakBefore/>
        <w:spacing w:before="0"/>
        <w:rPr>
          <w:snapToGrid w:val="0"/>
        </w:rPr>
      </w:pPr>
      <w:bookmarkStart w:id="20" w:name="_Toc161403483"/>
      <w:r>
        <w:rPr>
          <w:rStyle w:val="CharDivNo"/>
        </w:rPr>
        <w:lastRenderedPageBreak/>
        <w:t>Division 3</w:t>
      </w:r>
      <w:r>
        <w:rPr>
          <w:snapToGrid w:val="0"/>
        </w:rPr>
        <w:t> — </w:t>
      </w:r>
      <w:r>
        <w:rPr>
          <w:rStyle w:val="CharDivText"/>
        </w:rPr>
        <w:t>Staff of the Commission</w:t>
      </w:r>
      <w:bookmarkEnd w:id="20"/>
      <w:r>
        <w:rPr>
          <w:rStyle w:val="CharDivText"/>
        </w:rPr>
        <w:t xml:space="preserve"> </w:t>
      </w:r>
    </w:p>
    <w:p>
      <w:pPr>
        <w:pStyle w:val="Heading5"/>
        <w:spacing w:before="200"/>
        <w:rPr>
          <w:snapToGrid w:val="0"/>
        </w:rPr>
      </w:pPr>
      <w:bookmarkStart w:id="21" w:name="_Toc161403484"/>
      <w:r>
        <w:rPr>
          <w:rStyle w:val="CharSectno"/>
        </w:rPr>
        <w:t>11</w:t>
      </w:r>
      <w:r>
        <w:rPr>
          <w:snapToGrid w:val="0"/>
        </w:rPr>
        <w:t>.</w:t>
      </w:r>
      <w:r>
        <w:rPr>
          <w:snapToGrid w:val="0"/>
        </w:rPr>
        <w:tab/>
        <w:t>Managing director</w:t>
      </w:r>
      <w:bookmarkEnd w:id="21"/>
      <w:r>
        <w:rPr>
          <w:snapToGrid w:val="0"/>
        </w:rPr>
        <w:t xml:space="preserve"> </w:t>
      </w:r>
    </w:p>
    <w:p>
      <w:pPr>
        <w:pStyle w:val="Subsection"/>
        <w:spacing w:before="140"/>
        <w:rPr>
          <w:snapToGrid w:val="0"/>
        </w:rPr>
      </w:pPr>
      <w:r>
        <w:rPr>
          <w:snapToGrid w:val="0"/>
        </w:rPr>
        <w:tab/>
        <w:t>(1)</w:t>
      </w:r>
      <w:r>
        <w:rPr>
          <w:snapToGrid w:val="0"/>
        </w:rPr>
        <w:tab/>
        <w:t>There shall be an office of managing director of the Commission.</w:t>
      </w:r>
    </w:p>
    <w:p>
      <w:pPr>
        <w:pStyle w:val="Subsection"/>
        <w:spacing w:before="140"/>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spacing w:before="140"/>
        <w:rPr>
          <w:snapToGrid w:val="0"/>
        </w:rPr>
      </w:pPr>
      <w:r>
        <w:rPr>
          <w:snapToGrid w:val="0"/>
        </w:rPr>
        <w:tab/>
        <w:t>(3)</w:t>
      </w:r>
      <w:r>
        <w:rPr>
          <w:snapToGrid w:val="0"/>
        </w:rPr>
        <w:tab/>
        <w:t>The managing director shall be appointed by the Governor on the nomination of the Minister.</w:t>
      </w:r>
    </w:p>
    <w:p>
      <w:pPr>
        <w:pStyle w:val="Subsection"/>
        <w:spacing w:before="140"/>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spacing w:before="140"/>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spacing w:before="140"/>
        <w:rPr>
          <w:snapToGrid w:val="0"/>
        </w:rPr>
      </w:pPr>
      <w:r>
        <w:rPr>
          <w:snapToGrid w:val="0"/>
        </w:rPr>
        <w:tab/>
        <w:t>(6)</w:t>
      </w:r>
      <w:r>
        <w:rPr>
          <w:snapToGrid w:val="0"/>
        </w:rPr>
        <w:tab/>
        <w:t>The managing director may resign his office by notice in writing delivered to the Minister.</w:t>
      </w:r>
    </w:p>
    <w:p>
      <w:pPr>
        <w:pStyle w:val="Subsection"/>
        <w:spacing w:before="140"/>
        <w:rPr>
          <w:snapToGrid w:val="0"/>
        </w:rPr>
      </w:pPr>
      <w:r>
        <w:rPr>
          <w:snapToGrid w:val="0"/>
        </w:rPr>
        <w:tab/>
        <w:t>(7)</w:t>
      </w:r>
      <w:r>
        <w:rPr>
          <w:snapToGrid w:val="0"/>
        </w:rPr>
        <w:tab/>
        <w:t>The managing director may be removed from office by the Governor for any reason mentioned in clause 2(4) of Schedule 1.</w:t>
      </w:r>
    </w:p>
    <w:p>
      <w:pPr>
        <w:pStyle w:val="Subsection"/>
        <w:spacing w:before="140"/>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spacing w:before="100"/>
      </w:pPr>
      <w:r>
        <w:tab/>
        <w:t>[Section 11 amended: No. 39 of 2010 s. 89.]</w:t>
      </w:r>
    </w:p>
    <w:p>
      <w:pPr>
        <w:pStyle w:val="Heading5"/>
        <w:spacing w:before="200"/>
        <w:rPr>
          <w:snapToGrid w:val="0"/>
        </w:rPr>
      </w:pPr>
      <w:bookmarkStart w:id="22" w:name="_Toc161403485"/>
      <w:r>
        <w:rPr>
          <w:rStyle w:val="CharSectno"/>
        </w:rPr>
        <w:lastRenderedPageBreak/>
        <w:t>12</w:t>
      </w:r>
      <w:r>
        <w:rPr>
          <w:snapToGrid w:val="0"/>
        </w:rPr>
        <w:t>.</w:t>
      </w:r>
      <w:r>
        <w:rPr>
          <w:snapToGrid w:val="0"/>
        </w:rPr>
        <w:tab/>
        <w:t>Appointment of staff and consultants</w:t>
      </w:r>
      <w:bookmarkEnd w:id="22"/>
      <w:r>
        <w:rPr>
          <w:snapToGrid w:val="0"/>
        </w:rPr>
        <w:t xml:space="preserve"> </w:t>
      </w:r>
    </w:p>
    <w:p>
      <w:pPr>
        <w:pStyle w:val="Subsection"/>
        <w:spacing w:before="140"/>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w:t>
      </w:r>
      <w:r>
        <w:t xml:space="preserve"> </w:t>
      </w:r>
      <w:r>
        <w:rPr>
          <w:snapToGrid w:val="0"/>
        </w:rPr>
        <w:t>to carry out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the board considers necessary to enable the Commission to carry out its functions.</w:t>
      </w:r>
    </w:p>
    <w:p>
      <w:pPr>
        <w:pStyle w:val="Footnotesection"/>
      </w:pPr>
      <w:r>
        <w:tab/>
        <w:t>[Section 12 amended: No. 45 of 1996 s. 13.]</w:t>
      </w:r>
    </w:p>
    <w:p>
      <w:pPr>
        <w:pStyle w:val="Heading5"/>
        <w:rPr>
          <w:snapToGrid w:val="0"/>
        </w:rPr>
      </w:pPr>
      <w:bookmarkStart w:id="23" w:name="_Toc161403486"/>
      <w:r>
        <w:rPr>
          <w:rStyle w:val="CharSectno"/>
        </w:rPr>
        <w:t>12A</w:t>
      </w:r>
      <w:r>
        <w:rPr>
          <w:snapToGrid w:val="0"/>
        </w:rPr>
        <w:t>.</w:t>
      </w:r>
      <w:r>
        <w:rPr>
          <w:snapToGrid w:val="0"/>
        </w:rPr>
        <w:tab/>
        <w:t>Status of managing director and officers and employees of Commission</w:t>
      </w:r>
      <w:bookmarkEnd w:id="23"/>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3</w:t>
      </w:r>
      <w:r>
        <w:rPr>
          <w:snapToGrid w:val="0"/>
        </w:rPr>
        <w:t xml:space="preserve"> an inconsistency between this Act and that Act that Act shall prevail.</w:t>
      </w:r>
    </w:p>
    <w:p>
      <w:pPr>
        <w:pStyle w:val="Footnotesection"/>
      </w:pPr>
      <w:r>
        <w:tab/>
        <w:t xml:space="preserve">[Section 12A inserted: No. 113 of 1987 s. 32.] </w:t>
      </w:r>
    </w:p>
    <w:p>
      <w:pPr>
        <w:pStyle w:val="Heading5"/>
        <w:rPr>
          <w:snapToGrid w:val="0"/>
        </w:rPr>
      </w:pPr>
      <w:bookmarkStart w:id="24" w:name="_Toc161403487"/>
      <w:r>
        <w:rPr>
          <w:rStyle w:val="CharSectno"/>
        </w:rPr>
        <w:lastRenderedPageBreak/>
        <w:t>13</w:t>
      </w:r>
      <w:r>
        <w:rPr>
          <w:snapToGrid w:val="0"/>
        </w:rPr>
        <w:t>.</w:t>
      </w:r>
      <w:r>
        <w:rPr>
          <w:snapToGrid w:val="0"/>
        </w:rPr>
        <w:tab/>
        <w:t>Use of staff and facilities of departments and instrumentalities</w:t>
      </w:r>
      <w:bookmarkEnd w:id="24"/>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No. 32 of 1994 s. 19.]</w:t>
      </w:r>
    </w:p>
    <w:p>
      <w:pPr>
        <w:pStyle w:val="Heading5"/>
        <w:rPr>
          <w:snapToGrid w:val="0"/>
        </w:rPr>
      </w:pPr>
      <w:bookmarkStart w:id="25" w:name="_Toc161403488"/>
      <w:r>
        <w:rPr>
          <w:rStyle w:val="CharSectno"/>
        </w:rPr>
        <w:t>13A</w:t>
      </w:r>
      <w:r>
        <w:rPr>
          <w:snapToGrid w:val="0"/>
        </w:rPr>
        <w:t>.</w:t>
      </w:r>
      <w:r>
        <w:rPr>
          <w:snapToGrid w:val="0"/>
        </w:rPr>
        <w:tab/>
        <w:t>Use of staff and facilities of insurer</w:t>
      </w:r>
      <w:bookmarkEnd w:id="25"/>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No. 49 of 1992 s. 28.] </w:t>
      </w:r>
    </w:p>
    <w:p>
      <w:pPr>
        <w:pStyle w:val="Heading5"/>
        <w:rPr>
          <w:snapToGrid w:val="0"/>
        </w:rPr>
      </w:pPr>
      <w:bookmarkStart w:id="26" w:name="_Toc161403489"/>
      <w:r>
        <w:rPr>
          <w:rStyle w:val="CharSectno"/>
        </w:rPr>
        <w:t>14</w:t>
      </w:r>
      <w:r>
        <w:rPr>
          <w:snapToGrid w:val="0"/>
        </w:rPr>
        <w:t>.</w:t>
      </w:r>
      <w:r>
        <w:rPr>
          <w:snapToGrid w:val="0"/>
        </w:rPr>
        <w:tab/>
        <w:t>Superannuation</w:t>
      </w:r>
      <w:bookmarkEnd w:id="26"/>
      <w:r>
        <w:rPr>
          <w:snapToGrid w:val="0"/>
        </w:rPr>
        <w:t xml:space="preserve"> </w:t>
      </w:r>
    </w:p>
    <w:p>
      <w:pPr>
        <w:pStyle w:val="Subsection"/>
        <w:rPr>
          <w:snapToGrid w:val="0"/>
        </w:rPr>
      </w:pPr>
      <w:r>
        <w:rPr>
          <w:snapToGrid w:val="0"/>
        </w:rPr>
        <w:tab/>
        <w:t>(1)</w:t>
      </w:r>
      <w:r>
        <w:rPr>
          <w:snapToGrid w:val="0"/>
        </w:rPr>
        <w:tab/>
        <w:t xml:space="preserve">The Commission may grant, or make provision for the grant of, pensions, gratuities and retirement benefits to its officers and employees and, for that purpose may establish, manage and </w:t>
      </w:r>
      <w:r>
        <w:rPr>
          <w:snapToGrid w:val="0"/>
        </w:rPr>
        <w:lastRenderedPageBreak/>
        <w:t>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spacing w:before="80"/>
        <w:ind w:left="890" w:hanging="890"/>
      </w:pPr>
      <w:r>
        <w:tab/>
        <w:t xml:space="preserve">[Section 14 amended: No. 49 of 1992 s. 28.] </w:t>
      </w:r>
    </w:p>
    <w:p>
      <w:pPr>
        <w:pStyle w:val="Heading3"/>
        <w:spacing w:before="180"/>
      </w:pPr>
      <w:bookmarkStart w:id="27" w:name="_Toc161403490"/>
      <w:r>
        <w:rPr>
          <w:rStyle w:val="CharDivNo"/>
        </w:rPr>
        <w:t>Division 3A</w:t>
      </w:r>
      <w:r>
        <w:t> — </w:t>
      </w:r>
      <w:r>
        <w:rPr>
          <w:rStyle w:val="CharDivText"/>
        </w:rPr>
        <w:t>Strategic development plan and statement of corporate intent</w:t>
      </w:r>
      <w:bookmarkEnd w:id="27"/>
    </w:p>
    <w:p>
      <w:pPr>
        <w:pStyle w:val="Footnoteheading"/>
        <w:spacing w:before="80"/>
      </w:pPr>
      <w:r>
        <w:tab/>
        <w:t>[Heading inserted: No. 28 of 2006 s. 425.]</w:t>
      </w:r>
    </w:p>
    <w:p>
      <w:pPr>
        <w:pStyle w:val="Heading5"/>
        <w:spacing w:before="180"/>
      </w:pPr>
      <w:bookmarkStart w:id="28" w:name="_Toc161403491"/>
      <w:r>
        <w:rPr>
          <w:rStyle w:val="CharSectno"/>
        </w:rPr>
        <w:t>14A</w:t>
      </w:r>
      <w:r>
        <w:t>.</w:t>
      </w:r>
      <w:r>
        <w:tab/>
        <w:t>Duty to observe policy instruments</w:t>
      </w:r>
      <w:bookmarkEnd w:id="28"/>
    </w:p>
    <w:p>
      <w:pPr>
        <w:pStyle w:val="Subsection"/>
        <w:spacing w:before="120"/>
      </w:pPr>
      <w:r>
        <w:tab/>
      </w:r>
      <w:r>
        <w:tab/>
        <w:t>The Commission is to perform its functions in accordance with its strategic development plan and its statement of corporate intent as existing from time to time.</w:t>
      </w:r>
    </w:p>
    <w:p>
      <w:pPr>
        <w:pStyle w:val="Footnotesection"/>
        <w:spacing w:before="80"/>
        <w:ind w:left="890" w:hanging="890"/>
      </w:pPr>
      <w:r>
        <w:tab/>
        <w:t>[Section 14A inserted: No. 28 of 2006 s. 425.]</w:t>
      </w:r>
    </w:p>
    <w:p>
      <w:pPr>
        <w:pStyle w:val="Heading5"/>
        <w:spacing w:before="180"/>
      </w:pPr>
      <w:bookmarkStart w:id="29" w:name="_Toc161403492"/>
      <w:r>
        <w:rPr>
          <w:rStyle w:val="CharSectno"/>
        </w:rPr>
        <w:t>14B</w:t>
      </w:r>
      <w:r>
        <w:t>.</w:t>
      </w:r>
      <w:r>
        <w:tab/>
        <w:t>Strategic development plan and statement of corporate intent</w:t>
      </w:r>
      <w:bookmarkEnd w:id="29"/>
    </w:p>
    <w:p>
      <w:pPr>
        <w:pStyle w:val="Subsection"/>
        <w:spacing w:before="120"/>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spacing w:before="120"/>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lastRenderedPageBreak/>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r>
        <w:tab/>
        <w:t>[Section 14B inserted: No. 28 of 2006 s. 425.]</w:t>
      </w:r>
    </w:p>
    <w:p>
      <w:pPr>
        <w:pStyle w:val="Heading5"/>
      </w:pPr>
      <w:bookmarkStart w:id="30" w:name="_Toc161403493"/>
      <w:r>
        <w:rPr>
          <w:rStyle w:val="CharSectno"/>
        </w:rPr>
        <w:t>14C</w:t>
      </w:r>
      <w:r>
        <w:t>.</w:t>
      </w:r>
      <w:r>
        <w:tab/>
        <w:t>Laying directions about strategic development plan or statement of corporate intent before Parliament</w:t>
      </w:r>
      <w:bookmarkEnd w:id="30"/>
    </w:p>
    <w:p>
      <w:pPr>
        <w:pStyle w:val="Subsection"/>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lastRenderedPageBreak/>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No. 28 of 2006 s. 425; amended: No. 77 of 2006 Sch. 1 cl. 91(2).]</w:t>
      </w:r>
    </w:p>
    <w:p>
      <w:pPr>
        <w:pStyle w:val="Heading3"/>
        <w:spacing w:before="180"/>
        <w:rPr>
          <w:snapToGrid w:val="0"/>
        </w:rPr>
      </w:pPr>
      <w:bookmarkStart w:id="31" w:name="_Toc161403494"/>
      <w:r>
        <w:rPr>
          <w:rStyle w:val="CharDivNo"/>
        </w:rPr>
        <w:t>Division 4</w:t>
      </w:r>
      <w:r>
        <w:rPr>
          <w:snapToGrid w:val="0"/>
        </w:rPr>
        <w:t> — </w:t>
      </w:r>
      <w:r>
        <w:rPr>
          <w:rStyle w:val="CharDivText"/>
        </w:rPr>
        <w:t>Financial provisions relating to the Commission</w:t>
      </w:r>
      <w:bookmarkEnd w:id="31"/>
      <w:r>
        <w:rPr>
          <w:rStyle w:val="CharDivText"/>
        </w:rPr>
        <w:t xml:space="preserve"> </w:t>
      </w:r>
    </w:p>
    <w:p>
      <w:pPr>
        <w:pStyle w:val="Heading4"/>
        <w:spacing w:before="180"/>
        <w:rPr>
          <w:snapToGrid w:val="0"/>
        </w:rPr>
      </w:pPr>
      <w:bookmarkStart w:id="32" w:name="_Toc161403495"/>
      <w:r>
        <w:rPr>
          <w:snapToGrid w:val="0"/>
        </w:rPr>
        <w:t>Subdivision A — Income, expenditure and property of the Commission</w:t>
      </w:r>
      <w:bookmarkEnd w:id="32"/>
      <w:r>
        <w:rPr>
          <w:snapToGrid w:val="0"/>
        </w:rPr>
        <w:t xml:space="preserve"> </w:t>
      </w:r>
    </w:p>
    <w:p>
      <w:pPr>
        <w:pStyle w:val="Heading5"/>
        <w:spacing w:before="180"/>
        <w:rPr>
          <w:snapToGrid w:val="0"/>
        </w:rPr>
      </w:pPr>
      <w:bookmarkStart w:id="33" w:name="_Toc161403496"/>
      <w:r>
        <w:rPr>
          <w:rStyle w:val="CharSectno"/>
        </w:rPr>
        <w:t>15</w:t>
      </w:r>
      <w:r>
        <w:rPr>
          <w:snapToGrid w:val="0"/>
        </w:rPr>
        <w:t>.</w:t>
      </w:r>
      <w:r>
        <w:rPr>
          <w:snapToGrid w:val="0"/>
        </w:rPr>
        <w:tab/>
        <w:t>Moneys available to Commission</w:t>
      </w:r>
      <w:bookmarkEnd w:id="33"/>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lastRenderedPageBreak/>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Ednotepara"/>
        <w:spacing w:before="80"/>
        <w:rPr>
          <w:snapToGrid w:val="0"/>
        </w:rPr>
      </w:pPr>
      <w:r>
        <w:tab/>
        <w:t>[(d)</w:t>
      </w:r>
      <w:r>
        <w:tab/>
        <w:t>deleted]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Footnotesection"/>
        <w:spacing w:before="80"/>
        <w:ind w:left="890" w:hanging="890"/>
      </w:pPr>
      <w:r>
        <w:tab/>
        <w:t>[Section 15 amended: No. 45 of 1996 s. 14.]</w:t>
      </w:r>
    </w:p>
    <w:p>
      <w:pPr>
        <w:pStyle w:val="Heading5"/>
        <w:spacing w:before="180"/>
        <w:rPr>
          <w:snapToGrid w:val="0"/>
        </w:rPr>
      </w:pPr>
      <w:bookmarkStart w:id="34" w:name="_Toc161403497"/>
      <w:r>
        <w:rPr>
          <w:rStyle w:val="CharSectno"/>
        </w:rPr>
        <w:t>16</w:t>
      </w:r>
      <w:r>
        <w:rPr>
          <w:snapToGrid w:val="0"/>
        </w:rPr>
        <w:t>.</w:t>
      </w:r>
      <w:r>
        <w:rPr>
          <w:snapToGrid w:val="0"/>
        </w:rPr>
        <w:tab/>
        <w:t>Establishment and composition of Funds</w:t>
      </w:r>
      <w:bookmarkEnd w:id="34"/>
      <w:r>
        <w:rPr>
          <w:snapToGrid w:val="0"/>
        </w:rPr>
        <w:t xml:space="preserve"> </w:t>
      </w:r>
    </w:p>
    <w:p>
      <w:pPr>
        <w:pStyle w:val="Subsection"/>
        <w:spacing w:before="120"/>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pPr>
      <w:r>
        <w:tab/>
        <w:t>(b)</w:t>
      </w:r>
      <w:r>
        <w:tab/>
        <w:t>a fund to be called the “Motor Vehicle (Catastrophic Injuries)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spacing w:before="120"/>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spacing w:before="120"/>
        <w:rPr>
          <w:snapToGrid w:val="0"/>
        </w:rPr>
      </w:pPr>
      <w:r>
        <w:rPr>
          <w:snapToGrid w:val="0"/>
        </w:rPr>
        <w:lastRenderedPageBreak/>
        <w:tab/>
        <w:t>(2)</w:t>
      </w:r>
      <w:r>
        <w:rPr>
          <w:snapToGrid w:val="0"/>
        </w:rPr>
        <w:tab/>
        <w:t>The Third Party Insurance Fund shall consist of — </w:t>
      </w:r>
    </w:p>
    <w:p>
      <w:pPr>
        <w:pStyle w:val="Indenta"/>
        <w:spacing w:before="60"/>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spacing w:before="60"/>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spacing w:before="60"/>
        <w:rPr>
          <w:snapToGrid w:val="0"/>
        </w:rPr>
      </w:pPr>
      <w:r>
        <w:rPr>
          <w:snapToGrid w:val="0"/>
        </w:rPr>
        <w:tab/>
        <w:t>(c)</w:t>
      </w:r>
      <w:r>
        <w:rPr>
          <w:snapToGrid w:val="0"/>
        </w:rPr>
        <w:tab/>
        <w:t>moneys or other property credited, apportioned or transferred to that Fund under section 17 or 18,</w:t>
      </w:r>
    </w:p>
    <w:p>
      <w:pPr>
        <w:pStyle w:val="Subsection"/>
        <w:spacing w:before="100"/>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pPr>
      <w:r>
        <w:tab/>
        <w:t>(3)</w:t>
      </w:r>
      <w:r>
        <w:tab/>
        <w:t>The Motor Vehicle (Catastrophic Injuries) Fund shall consist of — </w:t>
      </w:r>
    </w:p>
    <w:p>
      <w:pPr>
        <w:pStyle w:val="Indenta"/>
      </w:pPr>
      <w:r>
        <w:tab/>
        <w:t>(a)</w:t>
      </w:r>
      <w:r>
        <w:tab/>
        <w:t>moneys appropriated for, or derived from or in connection with, the Commission’s functions under section 6(aa) or its functions under section 6(e) in so far as they relate to personal injury; and</w:t>
      </w:r>
    </w:p>
    <w:p>
      <w:pPr>
        <w:pStyle w:val="Indenta"/>
      </w:pPr>
      <w:r>
        <w:tab/>
        <w:t>(b)</w:t>
      </w:r>
      <w:r>
        <w:tab/>
        <w:t>other property received or acquired by the Commission in connection with the Commission’s functions referred to in paragraph (a); and</w:t>
      </w:r>
    </w:p>
    <w:p>
      <w:pPr>
        <w:pStyle w:val="Indenta"/>
      </w:pPr>
      <w:r>
        <w:tab/>
        <w:t>(c)</w:t>
      </w:r>
      <w:r>
        <w:tab/>
        <w:t>moneys or other property credited, apportioned or transferred to that Fund under section 17 or 18,</w:t>
      </w:r>
    </w:p>
    <w:p>
      <w:pPr>
        <w:pStyle w:val="Subsection"/>
      </w:pPr>
      <w:r>
        <w:tab/>
      </w:r>
      <w:r>
        <w:tab/>
        <w:t>and, subject to section 18, may be applied for the purpose of carrying out the Commission’s functions referred to in paragraph (a) and for that purpose only.</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 or its functions under section 6(e) in so far as they relate to industrial diseases; and</w:t>
      </w:r>
    </w:p>
    <w:p>
      <w:pPr>
        <w:pStyle w:val="Indenta"/>
        <w:rPr>
          <w:snapToGrid w:val="0"/>
        </w:rPr>
      </w:pPr>
      <w:r>
        <w:rPr>
          <w:snapToGrid w:val="0"/>
        </w:rPr>
        <w:lastRenderedPageBreak/>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lastRenderedPageBreak/>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ind w:left="890" w:hanging="890"/>
      </w:pPr>
      <w:r>
        <w:tab/>
        <w:t>[Section 16 amended: No. 45 of 1996 s. 15; No. 49 of 1996 s. 64; No. 34 of 2002 s. 8; No. 77 of 2006 Sch. 1 cl. 91(3) and (4); No. 8 of 2009 s. 79(3); No. 8 of 2016 s. 41.]</w:t>
      </w:r>
    </w:p>
    <w:p>
      <w:pPr>
        <w:pStyle w:val="Heading5"/>
        <w:rPr>
          <w:snapToGrid w:val="0"/>
        </w:rPr>
      </w:pPr>
      <w:bookmarkStart w:id="35" w:name="_Toc161403498"/>
      <w:r>
        <w:rPr>
          <w:rStyle w:val="CharSectno"/>
        </w:rPr>
        <w:t>17</w:t>
      </w:r>
      <w:r>
        <w:rPr>
          <w:snapToGrid w:val="0"/>
        </w:rPr>
        <w:t>.</w:t>
      </w:r>
      <w:r>
        <w:rPr>
          <w:snapToGrid w:val="0"/>
        </w:rPr>
        <w:tab/>
        <w:t>Apportionment of income, expenditure and assets</w:t>
      </w:r>
      <w:bookmarkEnd w:id="35"/>
      <w:r>
        <w:rPr>
          <w:snapToGrid w:val="0"/>
        </w:rPr>
        <w:t xml:space="preserve"> </w:t>
      </w:r>
    </w:p>
    <w:p>
      <w:pPr>
        <w:pStyle w:val="Subsection"/>
        <w:rPr>
          <w:snapToGrid w:val="0"/>
        </w:rPr>
      </w:pPr>
      <w:r>
        <w:rPr>
          <w:snapToGrid w:val="0"/>
        </w:rPr>
        <w:tab/>
        <w:t>(1)</w:t>
      </w:r>
      <w:r>
        <w:rPr>
          <w:snapToGrid w:val="0"/>
        </w:rPr>
        <w:tab/>
        <w:t xml:space="preserve">Where money received or receivable or expenditure incurred by the Commission relates to the Commission’s operations in relation to 2 or more Funds the receipts or payments in respect </w:t>
      </w:r>
      <w:r>
        <w:rPr>
          <w:snapToGrid w:val="0"/>
        </w:rPr>
        <w:lastRenderedPageBreak/>
        <w:t>of that income or expenditure shall be apportioned by the Commission to the relevant Funds in such proportions as the board of commissioners thinks fit.</w:t>
      </w:r>
    </w:p>
    <w:p>
      <w:pPr>
        <w:pStyle w:val="Subsection"/>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No. 45 of 1996 s. 16.] </w:t>
      </w:r>
    </w:p>
    <w:p>
      <w:pPr>
        <w:pStyle w:val="Heading5"/>
        <w:rPr>
          <w:snapToGrid w:val="0"/>
        </w:rPr>
      </w:pPr>
      <w:bookmarkStart w:id="36" w:name="_Toc161403499"/>
      <w:r>
        <w:rPr>
          <w:rStyle w:val="CharSectno"/>
        </w:rPr>
        <w:t>18</w:t>
      </w:r>
      <w:r>
        <w:rPr>
          <w:snapToGrid w:val="0"/>
        </w:rPr>
        <w:t>.</w:t>
      </w:r>
      <w:r>
        <w:rPr>
          <w:snapToGrid w:val="0"/>
        </w:rPr>
        <w:tab/>
        <w:t>Transfer between Funds</w:t>
      </w:r>
      <w:bookmarkEnd w:id="36"/>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 xml:space="preserve">in respect of the Third Party Insurance Fund, </w:t>
      </w:r>
      <w:r>
        <w:t xml:space="preserve">the Motor Vehicle (Catastrophic Injuries) Fund, </w:t>
      </w:r>
      <w:r>
        <w:rPr>
          <w:snapToGrid w:val="0"/>
        </w:rPr>
        <w:t>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Ednotesubsection"/>
        <w:spacing w:before="120"/>
      </w:pPr>
      <w:r>
        <w:lastRenderedPageBreak/>
        <w:tab/>
        <w:t>[(3)</w:t>
      </w:r>
      <w:r>
        <w:tab/>
        <w:t>deleted]</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No. 6 of 1993 s. 11; No. 34 of 2002 s. 9; No. 77 of 2006 s. 4 and Sch. 1 cl. 91(5)</w:t>
      </w:r>
      <w:r>
        <w:rPr>
          <w:spacing w:val="-4"/>
        </w:rPr>
        <w:t>; No. 47 of 2011 s.</w:t>
      </w:r>
      <w:r>
        <w:t xml:space="preserve"> 6; No. 8 of 2016 s. 42.] </w:t>
      </w:r>
    </w:p>
    <w:p>
      <w:pPr>
        <w:pStyle w:val="Heading4"/>
        <w:keepLines/>
        <w:spacing w:before="180"/>
        <w:rPr>
          <w:snapToGrid w:val="0"/>
        </w:rPr>
      </w:pPr>
      <w:bookmarkStart w:id="37" w:name="_Toc161403500"/>
      <w:r>
        <w:tab/>
      </w:r>
      <w:r>
        <w:rPr>
          <w:snapToGrid w:val="0"/>
        </w:rPr>
        <w:t>Subdivision Aa — Investment and property management</w:t>
      </w:r>
      <w:bookmarkEnd w:id="37"/>
      <w:r>
        <w:rPr>
          <w:snapToGrid w:val="0"/>
        </w:rPr>
        <w:t xml:space="preserve"> </w:t>
      </w:r>
    </w:p>
    <w:p>
      <w:pPr>
        <w:pStyle w:val="Footnoteheading"/>
        <w:keepNext/>
        <w:keepLines/>
      </w:pPr>
      <w:r>
        <w:tab/>
        <w:t>[Heading inserted: No. 45 of 1996 s. 17.]</w:t>
      </w:r>
    </w:p>
    <w:p>
      <w:pPr>
        <w:pStyle w:val="Heading5"/>
        <w:spacing w:before="180"/>
        <w:rPr>
          <w:snapToGrid w:val="0"/>
        </w:rPr>
      </w:pPr>
      <w:bookmarkStart w:id="38" w:name="_Toc161403501"/>
      <w:r>
        <w:rPr>
          <w:rStyle w:val="CharSectno"/>
        </w:rPr>
        <w:t>19</w:t>
      </w:r>
      <w:r>
        <w:rPr>
          <w:snapToGrid w:val="0"/>
        </w:rPr>
        <w:t>.</w:t>
      </w:r>
      <w:r>
        <w:rPr>
          <w:snapToGrid w:val="0"/>
        </w:rPr>
        <w:tab/>
        <w:t>Arrangements for appointment of investment managers</w:t>
      </w:r>
      <w:bookmarkEnd w:id="38"/>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No. 45 of 1996 s. 17.]</w:t>
      </w:r>
    </w:p>
    <w:p>
      <w:pPr>
        <w:pStyle w:val="Heading5"/>
        <w:rPr>
          <w:snapToGrid w:val="0"/>
        </w:rPr>
      </w:pPr>
      <w:bookmarkStart w:id="39" w:name="_Toc161403502"/>
      <w:r>
        <w:rPr>
          <w:rStyle w:val="CharSectno"/>
        </w:rPr>
        <w:t>19A</w:t>
      </w:r>
      <w:r>
        <w:rPr>
          <w:snapToGrid w:val="0"/>
        </w:rPr>
        <w:t>.</w:t>
      </w:r>
      <w:r>
        <w:rPr>
          <w:snapToGrid w:val="0"/>
        </w:rPr>
        <w:tab/>
        <w:t>Investment policy</w:t>
      </w:r>
      <w:bookmarkEnd w:id="39"/>
      <w:r>
        <w:rPr>
          <w:snapToGrid w:val="0"/>
        </w:rPr>
        <w:t xml:space="preserve"> </w:t>
      </w:r>
    </w:p>
    <w:p>
      <w:pPr>
        <w:pStyle w:val="Subsection"/>
        <w:rPr>
          <w:snapToGrid w:val="0"/>
        </w:rPr>
      </w:pPr>
      <w:r>
        <w:rPr>
          <w:snapToGrid w:val="0"/>
        </w:rPr>
        <w:tab/>
        <w:t>(1)</w:t>
      </w:r>
      <w:r>
        <w:rPr>
          <w:snapToGrid w:val="0"/>
        </w:rPr>
        <w:tab/>
        <w:t xml:space="preserve">A person performing a function relating to the investment or management of moneys or other property under the control of </w:t>
      </w:r>
      <w:r>
        <w:rPr>
          <w:snapToGrid w:val="0"/>
        </w:rPr>
        <w:lastRenderedPageBreak/>
        <w:t>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No. 45 of 1996 s. 17.] </w:t>
      </w:r>
    </w:p>
    <w:p>
      <w:pPr>
        <w:pStyle w:val="Heading4"/>
        <w:spacing w:before="180"/>
        <w:rPr>
          <w:snapToGrid w:val="0"/>
        </w:rPr>
      </w:pPr>
      <w:bookmarkStart w:id="40" w:name="_Toc161403503"/>
      <w:r>
        <w:rPr>
          <w:snapToGrid w:val="0"/>
        </w:rPr>
        <w:t>Subdivision B — Financial administration, audit and reporting</w:t>
      </w:r>
      <w:bookmarkEnd w:id="40"/>
      <w:r>
        <w:rPr>
          <w:snapToGrid w:val="0"/>
        </w:rPr>
        <w:t xml:space="preserve"> </w:t>
      </w:r>
    </w:p>
    <w:p>
      <w:pPr>
        <w:pStyle w:val="Heading5"/>
        <w:spacing w:before="180"/>
        <w:rPr>
          <w:snapToGrid w:val="0"/>
        </w:rPr>
      </w:pPr>
      <w:bookmarkStart w:id="41" w:name="_Toc161403504"/>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41"/>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No. 77 of 2006 Sch. 1 cl. 91(6).]</w:t>
      </w:r>
    </w:p>
    <w:p>
      <w:pPr>
        <w:pStyle w:val="Heading5"/>
        <w:spacing w:before="180"/>
        <w:rPr>
          <w:snapToGrid w:val="0"/>
        </w:rPr>
      </w:pPr>
      <w:bookmarkStart w:id="42" w:name="_Toc161403505"/>
      <w:r>
        <w:rPr>
          <w:rStyle w:val="CharSectno"/>
        </w:rPr>
        <w:t>21</w:t>
      </w:r>
      <w:r>
        <w:rPr>
          <w:snapToGrid w:val="0"/>
        </w:rPr>
        <w:t>.</w:t>
      </w:r>
      <w:r>
        <w:rPr>
          <w:snapToGrid w:val="0"/>
        </w:rPr>
        <w:tab/>
        <w:t>Provisions and reserves</w:t>
      </w:r>
      <w:bookmarkEnd w:id="42"/>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180"/>
        <w:rPr>
          <w:snapToGrid w:val="0"/>
        </w:rPr>
      </w:pPr>
      <w:bookmarkStart w:id="43" w:name="_Toc161403506"/>
      <w:r>
        <w:rPr>
          <w:rStyle w:val="CharSectno"/>
        </w:rPr>
        <w:t>22</w:t>
      </w:r>
      <w:r>
        <w:rPr>
          <w:snapToGrid w:val="0"/>
        </w:rPr>
        <w:t>.</w:t>
      </w:r>
      <w:r>
        <w:rPr>
          <w:snapToGrid w:val="0"/>
        </w:rPr>
        <w:tab/>
        <w:t>Accounts</w:t>
      </w:r>
      <w:bookmarkEnd w:id="43"/>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keepLines w:val="0"/>
        <w:spacing w:before="80"/>
        <w:ind w:left="890" w:hanging="890"/>
      </w:pPr>
      <w:r>
        <w:tab/>
        <w:t>[Section 22 amended: No. 45 of 1996 s. 18; No. 77 of 2006 Sch. 1 cl. 91(7).]</w:t>
      </w:r>
    </w:p>
    <w:p>
      <w:pPr>
        <w:pStyle w:val="Heading5"/>
        <w:spacing w:before="240"/>
        <w:rPr>
          <w:snapToGrid w:val="0"/>
        </w:rPr>
      </w:pPr>
      <w:bookmarkStart w:id="44" w:name="_Toc161403507"/>
      <w:r>
        <w:rPr>
          <w:rStyle w:val="CharSectno"/>
        </w:rPr>
        <w:lastRenderedPageBreak/>
        <w:t>23</w:t>
      </w:r>
      <w:r>
        <w:rPr>
          <w:snapToGrid w:val="0"/>
        </w:rPr>
        <w:t>.</w:t>
      </w:r>
      <w:r>
        <w:rPr>
          <w:snapToGrid w:val="0"/>
        </w:rPr>
        <w:tab/>
        <w:t>Annual reports, financial statements</w:t>
      </w:r>
      <w:bookmarkEnd w:id="44"/>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No. 45 of 1996 s. 19; amended: No. 77 of 2006 Sch. 1 cl. 91(8) and (9).] </w:t>
      </w:r>
    </w:p>
    <w:p>
      <w:pPr>
        <w:pStyle w:val="Heading4"/>
        <w:rPr>
          <w:snapToGrid w:val="0"/>
        </w:rPr>
      </w:pPr>
      <w:bookmarkStart w:id="45" w:name="_Toc161403508"/>
      <w:r>
        <w:rPr>
          <w:snapToGrid w:val="0"/>
        </w:rPr>
        <w:t>Subdivision C — Borrowing and financial accommodation</w:t>
      </w:r>
      <w:bookmarkEnd w:id="45"/>
      <w:r>
        <w:rPr>
          <w:snapToGrid w:val="0"/>
        </w:rPr>
        <w:t xml:space="preserve"> </w:t>
      </w:r>
    </w:p>
    <w:p>
      <w:pPr>
        <w:pStyle w:val="Heading5"/>
        <w:rPr>
          <w:snapToGrid w:val="0"/>
        </w:rPr>
      </w:pPr>
      <w:bookmarkStart w:id="46" w:name="_Toc161403509"/>
      <w:r>
        <w:rPr>
          <w:rStyle w:val="CharSectno"/>
        </w:rPr>
        <w:t>24</w:t>
      </w:r>
      <w:r>
        <w:rPr>
          <w:snapToGrid w:val="0"/>
        </w:rPr>
        <w:t>.</w:t>
      </w:r>
      <w:r>
        <w:rPr>
          <w:snapToGrid w:val="0"/>
        </w:rPr>
        <w:tab/>
        <w:t>Power to borrow etc., generally</w:t>
      </w:r>
      <w:bookmarkEnd w:id="46"/>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keepNext/>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47" w:name="_Toc161403510"/>
      <w:r>
        <w:rPr>
          <w:rStyle w:val="CharSectno"/>
        </w:rPr>
        <w:lastRenderedPageBreak/>
        <w:t>25</w:t>
      </w:r>
      <w:r>
        <w:rPr>
          <w:snapToGrid w:val="0"/>
        </w:rPr>
        <w:t>.</w:t>
      </w:r>
      <w:r>
        <w:rPr>
          <w:snapToGrid w:val="0"/>
        </w:rPr>
        <w:tab/>
        <w:t>Power to make provision to pay off loans</w:t>
      </w:r>
      <w:bookmarkEnd w:id="47"/>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48" w:name="_Toc161403511"/>
      <w:r>
        <w:rPr>
          <w:rStyle w:val="CharSectno"/>
        </w:rPr>
        <w:t>26</w:t>
      </w:r>
      <w:r>
        <w:rPr>
          <w:snapToGrid w:val="0"/>
        </w:rPr>
        <w:t>.</w:t>
      </w:r>
      <w:r>
        <w:rPr>
          <w:snapToGrid w:val="0"/>
        </w:rPr>
        <w:tab/>
        <w:t>Borrowing power, from Treasury sources</w:t>
      </w:r>
      <w:bookmarkEnd w:id="48"/>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49" w:name="_Toc161403512"/>
      <w:r>
        <w:rPr>
          <w:rStyle w:val="CharSectno"/>
        </w:rPr>
        <w:t>27</w:t>
      </w:r>
      <w:r>
        <w:rPr>
          <w:snapToGrid w:val="0"/>
        </w:rPr>
        <w:t>.</w:t>
      </w:r>
      <w:r>
        <w:rPr>
          <w:snapToGrid w:val="0"/>
        </w:rPr>
        <w:tab/>
        <w:t>Specific State guarantees</w:t>
      </w:r>
      <w:bookmarkEnd w:id="49"/>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keepNext/>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lastRenderedPageBreak/>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No. 6 of 1993 s. 11; No. 49 of 1996 s. 64; No. 77 of 2006 s. 4.]</w:t>
      </w:r>
    </w:p>
    <w:p>
      <w:pPr>
        <w:pStyle w:val="Heading4"/>
        <w:pageBreakBefore/>
        <w:spacing w:before="0"/>
      </w:pPr>
      <w:bookmarkStart w:id="50" w:name="_Toc161403513"/>
      <w:r>
        <w:lastRenderedPageBreak/>
        <w:t>Subdivision D — Dividends to State</w:t>
      </w:r>
      <w:bookmarkEnd w:id="50"/>
    </w:p>
    <w:p>
      <w:pPr>
        <w:pStyle w:val="Footnoteheading"/>
        <w:keepNext/>
      </w:pPr>
      <w:r>
        <w:tab/>
        <w:t>[Heading inserted: No. 7 of 2013 s. 4.]</w:t>
      </w:r>
    </w:p>
    <w:p>
      <w:pPr>
        <w:pStyle w:val="Heading5"/>
      </w:pPr>
      <w:bookmarkStart w:id="51" w:name="_Toc161403514"/>
      <w:r>
        <w:rPr>
          <w:rStyle w:val="CharSectno"/>
        </w:rPr>
        <w:t>28</w:t>
      </w:r>
      <w:r>
        <w:t>.</w:t>
      </w:r>
      <w:r>
        <w:tab/>
        <w:t>Interim dividend</w:t>
      </w:r>
      <w:bookmarkEnd w:id="51"/>
    </w:p>
    <w:p>
      <w:pPr>
        <w:pStyle w:val="Subsection"/>
      </w:pPr>
      <w:r>
        <w:tab/>
        <w:t>(1)</w:t>
      </w:r>
      <w:r>
        <w:tab/>
        <w:t xml:space="preserve">Not later than the last day of February in each financial year, the Commission must give the Minister a written report that — </w:t>
      </w:r>
    </w:p>
    <w:p>
      <w:pPr>
        <w:pStyle w:val="Indenta"/>
      </w:pPr>
      <w:r>
        <w:tab/>
        <w:t>(a)</w:t>
      </w:r>
      <w:r>
        <w:tab/>
        <w:t>sets out a forecast of the Commission’s net profits for that financial year, prepared in accordance with generally accepted accounting practice; and</w:t>
      </w:r>
    </w:p>
    <w:p>
      <w:pPr>
        <w:pStyle w:val="Indenta"/>
      </w:pPr>
      <w:r>
        <w:tab/>
        <w:t>(b)</w:t>
      </w:r>
      <w:r>
        <w:tab/>
        <w:t>states any factors or circumstances that the Commission has taken into account in accordance with subsection (2) in preparing the forecast and the report’s recommendation; and</w:t>
      </w:r>
    </w:p>
    <w:p>
      <w:pPr>
        <w:pStyle w:val="Indenta"/>
      </w:pPr>
      <w:r>
        <w:tab/>
        <w:t>(c)</w:t>
      </w:r>
      <w:r>
        <w:tab/>
        <w:t xml:space="preserve">recommends — </w:t>
      </w:r>
    </w:p>
    <w:p>
      <w:pPr>
        <w:pStyle w:val="Indenti"/>
      </w:pPr>
      <w:r>
        <w:tab/>
        <w:t>(i)</w:t>
      </w:r>
      <w:r>
        <w:tab/>
        <w:t>whether the Commission should pay the State an interim dividend for that financial year; and</w:t>
      </w:r>
    </w:p>
    <w:p>
      <w:pPr>
        <w:pStyle w:val="Indenti"/>
      </w:pPr>
      <w:r>
        <w:tab/>
        <w:t>(ii)</w:t>
      </w:r>
      <w:r>
        <w:tab/>
        <w:t>the amount of the interim dividend (if any).</w:t>
      </w:r>
    </w:p>
    <w:p>
      <w:pPr>
        <w:pStyle w:val="Subsection"/>
      </w:pPr>
      <w:r>
        <w:tab/>
        <w:t>(2)</w:t>
      </w:r>
      <w:r>
        <w:tab/>
        <w:t>The profit forecast and recommendation may take into account any factors or circumstances that in the Commission’s opinion may have a material effect on the Commission’s financial position (either positively or negatively) as at the end of that financial year.</w:t>
      </w:r>
    </w:p>
    <w:p>
      <w:pPr>
        <w:pStyle w:val="Subsection"/>
      </w:pPr>
      <w:r>
        <w:tab/>
        <w:t>(3)</w:t>
      </w:r>
      <w:r>
        <w:tab/>
        <w:t>On receiving a report under subsection (1), the Minister must —</w:t>
      </w:r>
    </w:p>
    <w:p>
      <w:pPr>
        <w:pStyle w:val="Indenta"/>
      </w:pPr>
      <w:r>
        <w:tab/>
        <w:t>(a)</w:t>
      </w:r>
      <w:r>
        <w:tab/>
        <w:t xml:space="preserve">with the Treasurer’s concurrence, either — </w:t>
      </w:r>
    </w:p>
    <w:p>
      <w:pPr>
        <w:pStyle w:val="Indenti"/>
      </w:pPr>
      <w:r>
        <w:tab/>
        <w:t>(i)</w:t>
      </w:r>
      <w:r>
        <w:tab/>
        <w:t>accept the report’s recommendation on the amount of the interim dividend; or</w:t>
      </w:r>
    </w:p>
    <w:p>
      <w:pPr>
        <w:pStyle w:val="Indenti"/>
      </w:pPr>
      <w:r>
        <w:tab/>
        <w:t>(ii)</w:t>
      </w:r>
      <w:r>
        <w:tab/>
        <w:t>after consulting the Commission, reject the report’s recommendation and fix a different amount (which may be a nil amount) as the amount of the interim dividend;</w:t>
      </w:r>
    </w:p>
    <w:p>
      <w:pPr>
        <w:pStyle w:val="Indenta"/>
      </w:pPr>
      <w:r>
        <w:tab/>
      </w:r>
      <w:r>
        <w:tab/>
        <w:t>and</w:t>
      </w:r>
    </w:p>
    <w:p>
      <w:pPr>
        <w:pStyle w:val="Indenta"/>
      </w:pPr>
      <w:r>
        <w:lastRenderedPageBreak/>
        <w:tab/>
        <w:t>(b)</w:t>
      </w:r>
      <w:r>
        <w:tab/>
        <w:t>notify the Commission of the Minister’s decision and the amount of the interim dividend (if any) payable by the Commission.</w:t>
      </w:r>
    </w:p>
    <w:p>
      <w:pPr>
        <w:pStyle w:val="Subsection"/>
      </w:pPr>
      <w:r>
        <w:tab/>
        <w:t>(4)</w:t>
      </w:r>
      <w:r>
        <w:tab/>
        <w:t>On receiving a notice under subsection (3)(b), the Commission must pay to the State the amount of the interim dividend (if any) notified to the Commission —</w:t>
      </w:r>
    </w:p>
    <w:p>
      <w:pPr>
        <w:pStyle w:val="Indenta"/>
      </w:pPr>
      <w:r>
        <w:tab/>
        <w:t>(a)</w:t>
      </w:r>
      <w:r>
        <w:tab/>
        <w:t>as soon as practicable; but</w:t>
      </w:r>
    </w:p>
    <w:p>
      <w:pPr>
        <w:pStyle w:val="Indenta"/>
      </w:pPr>
      <w:r>
        <w:tab/>
        <w:t>(b)</w:t>
      </w:r>
      <w:r>
        <w:tab/>
        <w:t>in any event before the end of the financial year concerned.</w:t>
      </w:r>
    </w:p>
    <w:p>
      <w:pPr>
        <w:pStyle w:val="Footnotesection"/>
      </w:pPr>
      <w:r>
        <w:tab/>
        <w:t>[Section 28 inserted: No. 7 of 2013 s. 4.]</w:t>
      </w:r>
    </w:p>
    <w:p>
      <w:pPr>
        <w:pStyle w:val="Heading5"/>
      </w:pPr>
      <w:bookmarkStart w:id="52" w:name="_Toc161403515"/>
      <w:r>
        <w:rPr>
          <w:rStyle w:val="CharSectno"/>
        </w:rPr>
        <w:t>29</w:t>
      </w:r>
      <w:r>
        <w:t>.</w:t>
      </w:r>
      <w:r>
        <w:tab/>
        <w:t>Annual dividend</w:t>
      </w:r>
      <w:bookmarkEnd w:id="52"/>
    </w:p>
    <w:p>
      <w:pPr>
        <w:pStyle w:val="Subsection"/>
      </w:pPr>
      <w:r>
        <w:tab/>
        <w:t>(1)</w:t>
      </w:r>
      <w:r>
        <w:tab/>
        <w:t xml:space="preserve">A dividend under this section must be calculated with respect to the Commission’s net profits for a financial year, after first taking into account — </w:t>
      </w:r>
    </w:p>
    <w:p>
      <w:pPr>
        <w:pStyle w:val="Indenta"/>
      </w:pPr>
      <w:r>
        <w:tab/>
        <w:t>(a)</w:t>
      </w:r>
      <w:r>
        <w:tab/>
        <w:t xml:space="preserve">any amount paid or payable to the Treasurer under the </w:t>
      </w:r>
      <w:r>
        <w:rPr>
          <w:i/>
        </w:rPr>
        <w:t>State Enterprises (Commonwealth Tax Equivalents) Act 1996</w:t>
      </w:r>
      <w:r>
        <w:t xml:space="preserve"> for the year; and</w:t>
      </w:r>
    </w:p>
    <w:p>
      <w:pPr>
        <w:pStyle w:val="Indenta"/>
      </w:pPr>
      <w:r>
        <w:tab/>
        <w:t>(b)</w:t>
      </w:r>
      <w:r>
        <w:tab/>
        <w:t>the amount of any interim dividend for the year paid or payable under section 28.</w:t>
      </w:r>
    </w:p>
    <w:p>
      <w:pPr>
        <w:pStyle w:val="Subsection"/>
      </w:pPr>
      <w:r>
        <w:tab/>
        <w:t>(2)</w:t>
      </w:r>
      <w:r>
        <w:tab/>
        <w:t>As soon as practicable after the end of each financial year, the Commission must give the Minister a written report that recommends —</w:t>
      </w:r>
    </w:p>
    <w:p>
      <w:pPr>
        <w:pStyle w:val="Indenta"/>
      </w:pPr>
      <w:r>
        <w:tab/>
        <w:t>(a)</w:t>
      </w:r>
      <w:r>
        <w:tab/>
        <w:t>whether the Commission should pay the State a dividend for that financial year; and</w:t>
      </w:r>
    </w:p>
    <w:p>
      <w:pPr>
        <w:pStyle w:val="Indenta"/>
      </w:pPr>
      <w:r>
        <w:tab/>
        <w:t>(b)</w:t>
      </w:r>
      <w:r>
        <w:tab/>
        <w:t>the amount of the dividend (if any).</w:t>
      </w:r>
    </w:p>
    <w:p>
      <w:pPr>
        <w:pStyle w:val="Subsection"/>
        <w:keepNext/>
      </w:pPr>
      <w:r>
        <w:tab/>
        <w:t>(3)</w:t>
      </w:r>
      <w:r>
        <w:tab/>
        <w:t>On receiving a report under subsection (2), the Minister must —</w:t>
      </w:r>
    </w:p>
    <w:p>
      <w:pPr>
        <w:pStyle w:val="Indenta"/>
      </w:pPr>
      <w:r>
        <w:tab/>
        <w:t>(a)</w:t>
      </w:r>
      <w:r>
        <w:tab/>
        <w:t xml:space="preserve">with the Treasurer’s concurrence, either — </w:t>
      </w:r>
    </w:p>
    <w:p>
      <w:pPr>
        <w:pStyle w:val="Indenti"/>
      </w:pPr>
      <w:r>
        <w:tab/>
        <w:t>(i)</w:t>
      </w:r>
      <w:r>
        <w:tab/>
        <w:t>accept the report’s recommendation on the amount of the dividend; or</w:t>
      </w:r>
    </w:p>
    <w:p>
      <w:pPr>
        <w:pStyle w:val="Indenti"/>
      </w:pPr>
      <w:r>
        <w:lastRenderedPageBreak/>
        <w:tab/>
        <w:t>(ii)</w:t>
      </w:r>
      <w:r>
        <w:tab/>
        <w:t>after consulting the Commission, reject the report’s recommendation and fix a different amount (which may be a nil amount) as the amount of the dividend;</w:t>
      </w:r>
    </w:p>
    <w:p>
      <w:pPr>
        <w:pStyle w:val="Indenta"/>
      </w:pPr>
      <w:r>
        <w:tab/>
      </w:r>
      <w:r>
        <w:tab/>
        <w:t>and</w:t>
      </w:r>
    </w:p>
    <w:p>
      <w:pPr>
        <w:pStyle w:val="Indenta"/>
      </w:pPr>
      <w:r>
        <w:tab/>
        <w:t>(b)</w:t>
      </w:r>
      <w:r>
        <w:tab/>
        <w:t>notify the Commission of the Minister’s decision and the amount of the dividend (if any) payable by the Commission.</w:t>
      </w:r>
    </w:p>
    <w:p>
      <w:pPr>
        <w:pStyle w:val="Subsection"/>
        <w:spacing w:before="130"/>
      </w:pPr>
      <w:r>
        <w:tab/>
        <w:t>(4)</w:t>
      </w:r>
      <w:r>
        <w:tab/>
        <w:t>On receiving a notice under subsection (3)(b), the Commission must pay to the State the amount of the dividend (if any) notified to the Commission —</w:t>
      </w:r>
    </w:p>
    <w:p>
      <w:pPr>
        <w:pStyle w:val="Indenta"/>
        <w:spacing w:before="60"/>
      </w:pPr>
      <w:r>
        <w:tab/>
        <w:t>(a)</w:t>
      </w:r>
      <w:r>
        <w:tab/>
        <w:t>as soon as practicable; but</w:t>
      </w:r>
    </w:p>
    <w:p>
      <w:pPr>
        <w:pStyle w:val="Indenta"/>
        <w:keepNext/>
      </w:pPr>
      <w:r>
        <w:tab/>
        <w:t>(b)</w:t>
      </w:r>
      <w:r>
        <w:tab/>
        <w:t xml:space="preserve">in any event not later than — </w:t>
      </w:r>
    </w:p>
    <w:p>
      <w:pPr>
        <w:pStyle w:val="Indenti"/>
        <w:spacing w:before="60"/>
      </w:pPr>
      <w:r>
        <w:tab/>
        <w:t>(i)</w:t>
      </w:r>
      <w:r>
        <w:tab/>
        <w:t>6 months after the end of the financial year concerned; or</w:t>
      </w:r>
    </w:p>
    <w:p>
      <w:pPr>
        <w:pStyle w:val="Indenti"/>
        <w:spacing w:before="60"/>
      </w:pPr>
      <w:r>
        <w:tab/>
        <w:t>(ii)</w:t>
      </w:r>
      <w:r>
        <w:tab/>
        <w:t>any later time agreed on by the Treasurer and the Commission.</w:t>
      </w:r>
    </w:p>
    <w:p>
      <w:pPr>
        <w:pStyle w:val="Footnotesection"/>
        <w:spacing w:before="80"/>
      </w:pPr>
      <w:r>
        <w:tab/>
        <w:t>[Section 29 inserted: No. 7 of 2013 s. 4.]</w:t>
      </w:r>
    </w:p>
    <w:p>
      <w:pPr>
        <w:pStyle w:val="Heading5"/>
      </w:pPr>
      <w:bookmarkStart w:id="53" w:name="_Toc161403516"/>
      <w:r>
        <w:rPr>
          <w:rStyle w:val="CharSectno"/>
        </w:rPr>
        <w:t>30</w:t>
      </w:r>
      <w:r>
        <w:t>.</w:t>
      </w:r>
      <w:r>
        <w:tab/>
        <w:t>Provisions for s. 28 and 29</w:t>
      </w:r>
      <w:bookmarkEnd w:id="53"/>
    </w:p>
    <w:p>
      <w:pPr>
        <w:pStyle w:val="Subsection"/>
        <w:spacing w:before="120"/>
      </w:pPr>
      <w:r>
        <w:tab/>
        <w:t>(1)</w:t>
      </w:r>
      <w:r>
        <w:tab/>
        <w:t xml:space="preserve">The accountable authority of the Commission under the </w:t>
      </w:r>
      <w:r>
        <w:rPr>
          <w:i/>
        </w:rPr>
        <w:t>Financial Management Act 2006</w:t>
      </w:r>
      <w:r>
        <w:t xml:space="preserve"> must include the text of each notice given under section 28(3)(b) or 29(3)(b) in relation to a financial year in the annual report for that year submitted under Part 5 of that Act.</w:t>
      </w:r>
    </w:p>
    <w:p>
      <w:pPr>
        <w:pStyle w:val="Subsection"/>
        <w:spacing w:before="120"/>
      </w:pPr>
      <w:r>
        <w:tab/>
        <w:t>(2)</w:t>
      </w:r>
      <w:r>
        <w:tab/>
        <w:t xml:space="preserve">If under section 28(3)(b) or 29(3)(b) the Minister notifies the Commission that the Minister rejects a report’s recommendation and fixes a different amount (other than a nil amount) as the amount of the interim dividend or dividend payable by the Commission, that notification is to be taken to be a direction by the Minister to the Commission for the purposes of the </w:t>
      </w:r>
      <w:r>
        <w:rPr>
          <w:i/>
        </w:rPr>
        <w:t>Statutory Corporations (Liability of Directors) Act 1996</w:t>
      </w:r>
      <w:r>
        <w:t>, and that Act applies accordingly.</w:t>
      </w:r>
    </w:p>
    <w:p>
      <w:pPr>
        <w:pStyle w:val="Subsection"/>
        <w:spacing w:before="120"/>
      </w:pPr>
      <w:r>
        <w:lastRenderedPageBreak/>
        <w:tab/>
        <w:t>(3)</w:t>
      </w:r>
      <w:r>
        <w:tab/>
        <w:t>Any interim dividend or dividend paid under section 28 or 29 must be credited to the Consolidated Account.</w:t>
      </w:r>
    </w:p>
    <w:p>
      <w:pPr>
        <w:pStyle w:val="Footnotesection"/>
        <w:spacing w:before="80"/>
      </w:pPr>
      <w:r>
        <w:tab/>
        <w:t>[Section 30 inserted: No. 7 of 2013 s. 4.]</w:t>
      </w:r>
    </w:p>
    <w:p>
      <w:pPr>
        <w:pStyle w:val="Heading5"/>
        <w:spacing w:before="180"/>
      </w:pPr>
      <w:bookmarkStart w:id="54" w:name="_Toc161403517"/>
      <w:r>
        <w:rPr>
          <w:rStyle w:val="CharSectno"/>
        </w:rPr>
        <w:t>31</w:t>
      </w:r>
      <w:r>
        <w:t>.</w:t>
      </w:r>
      <w:r>
        <w:tab/>
        <w:t xml:space="preserve">Transitional provisions for </w:t>
      </w:r>
      <w:r>
        <w:rPr>
          <w:i/>
        </w:rPr>
        <w:t>Insurance Commission of Western Australia Amendment Act 2013</w:t>
      </w:r>
      <w:r>
        <w:t>: interim dividends</w:t>
      </w:r>
      <w:bookmarkEnd w:id="54"/>
    </w:p>
    <w:p>
      <w:pPr>
        <w:pStyle w:val="Subsection"/>
        <w:spacing w:before="120"/>
      </w:pPr>
      <w:r>
        <w:tab/>
        <w:t>(1)</w:t>
      </w:r>
      <w:r>
        <w:tab/>
        <w:t xml:space="preserve">Section 28 applies in respect of the financial year in which the </w:t>
      </w:r>
      <w:r>
        <w:rPr>
          <w:i/>
        </w:rPr>
        <w:t>Insurance Commission of Western Australia Amendment Act 2013</w:t>
      </w:r>
      <w:r>
        <w:t xml:space="preserve"> section 4 comes into operation and subsequent financial years, subject to subsections (2) and (3).</w:t>
      </w:r>
    </w:p>
    <w:p>
      <w:pPr>
        <w:pStyle w:val="Subsection"/>
        <w:spacing w:before="120"/>
      </w:pPr>
      <w:r>
        <w:tab/>
        <w:t>(2)</w:t>
      </w:r>
      <w:r>
        <w:tab/>
        <w:t xml:space="preserve">If the </w:t>
      </w:r>
      <w:r>
        <w:rPr>
          <w:i/>
        </w:rPr>
        <w:t>Insurance Commission of Western Australia Amendment Act 2013</w:t>
      </w:r>
      <w:r>
        <w:t xml:space="preserve"> section 4 comes into operation on or after 1 March and before the close of 30 June in a financial year, section 28 applies in respect of that financial year with the following modifications — </w:t>
      </w:r>
    </w:p>
    <w:p>
      <w:pPr>
        <w:pStyle w:val="Indenta"/>
        <w:spacing w:before="70"/>
      </w:pPr>
      <w:r>
        <w:tab/>
        <w:t>(a)</w:t>
      </w:r>
      <w:r>
        <w:tab/>
        <w:t>the Commission must give the Minister the report referred to in section 28(1) not later than 14 days after section 4 of that Act comes into operation;</w:t>
      </w:r>
    </w:p>
    <w:p>
      <w:pPr>
        <w:pStyle w:val="Indenta"/>
        <w:spacing w:before="70"/>
      </w:pPr>
      <w:r>
        <w:tab/>
        <w:t>(b)</w:t>
      </w:r>
      <w:r>
        <w:tab/>
        <w:t>the Minister must notify the Commission in accordance with section 28(3)(b) as soon as practicable after receiving that report;</w:t>
      </w:r>
    </w:p>
    <w:p>
      <w:pPr>
        <w:pStyle w:val="Indenta"/>
        <w:spacing w:before="70"/>
      </w:pPr>
      <w:r>
        <w:tab/>
        <w:t>(c)</w:t>
      </w:r>
      <w:r>
        <w:tab/>
        <w:t xml:space="preserve">the Commission must pay to the State the amount of the interim dividend (if any) notified to the Commission in accordance with section 28(3)(b) — </w:t>
      </w:r>
    </w:p>
    <w:p>
      <w:pPr>
        <w:pStyle w:val="Indenti"/>
        <w:spacing w:before="70"/>
      </w:pPr>
      <w:r>
        <w:tab/>
        <w:t>(i)</w:t>
      </w:r>
      <w:r>
        <w:tab/>
        <w:t>as soon as practicable; but</w:t>
      </w:r>
    </w:p>
    <w:p>
      <w:pPr>
        <w:pStyle w:val="Indenti"/>
        <w:spacing w:before="70"/>
      </w:pPr>
      <w:r>
        <w:tab/>
        <w:t>(ii)</w:t>
      </w:r>
      <w:r>
        <w:tab/>
        <w:t>in any event not later than a date determined by the Treasurer and notified to the Commission.</w:t>
      </w:r>
    </w:p>
    <w:p>
      <w:pPr>
        <w:pStyle w:val="Subsection"/>
      </w:pPr>
      <w:r>
        <w:tab/>
        <w:t>(3)</w:t>
      </w:r>
      <w:r>
        <w:tab/>
        <w:t xml:space="preserve">If the </w:t>
      </w:r>
      <w:r>
        <w:rPr>
          <w:i/>
        </w:rPr>
        <w:t>Insurance Commission of Western Australia Amendment Act 2013</w:t>
      </w:r>
      <w:r>
        <w:t xml:space="preserve"> section 4 comes into operation on or after 1 July and before 1 September in a financial year, section 28 also applies in respect of the previous financial year with the following modifications — </w:t>
      </w:r>
    </w:p>
    <w:p>
      <w:pPr>
        <w:pStyle w:val="Indenta"/>
      </w:pPr>
      <w:r>
        <w:lastRenderedPageBreak/>
        <w:tab/>
        <w:t>(a)</w:t>
      </w:r>
      <w:r>
        <w:tab/>
        <w:t>the Commission must give the Minister the report referred to in section 28(1) not later than 14 days after section 4 of that Act comes into operation;</w:t>
      </w:r>
    </w:p>
    <w:p>
      <w:pPr>
        <w:pStyle w:val="Indenta"/>
      </w:pPr>
      <w:r>
        <w:tab/>
        <w:t>(b)</w:t>
      </w:r>
      <w:r>
        <w:tab/>
        <w:t>the Minister must notify the Commission in accordance with section 28(3)(b) as soon as practicable after receiving that report;</w:t>
      </w:r>
    </w:p>
    <w:p>
      <w:pPr>
        <w:pStyle w:val="Indenta"/>
      </w:pPr>
      <w:r>
        <w:tab/>
        <w:t>(c)</w:t>
      </w:r>
      <w:r>
        <w:tab/>
        <w:t xml:space="preserve">the Commission must pay to the State the amount of the interim dividend (if any) notified to the Commission in accordance with section 28(3)(b)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Footnotesection"/>
      </w:pPr>
      <w:r>
        <w:tab/>
        <w:t>[Section 31 inserted: No. 7 of 2013 s. 4.]</w:t>
      </w:r>
    </w:p>
    <w:p>
      <w:pPr>
        <w:pStyle w:val="Heading5"/>
      </w:pPr>
      <w:bookmarkStart w:id="55" w:name="_Toc161403518"/>
      <w:r>
        <w:rPr>
          <w:rStyle w:val="CharSectno"/>
        </w:rPr>
        <w:t>32</w:t>
      </w:r>
      <w:r>
        <w:t>.</w:t>
      </w:r>
      <w:r>
        <w:tab/>
        <w:t xml:space="preserve">Transitional provisions for </w:t>
      </w:r>
      <w:r>
        <w:rPr>
          <w:i/>
        </w:rPr>
        <w:t>Insurance Commission of Western Australia Amendment Act 2013</w:t>
      </w:r>
      <w:r>
        <w:t>: annual dividends</w:t>
      </w:r>
      <w:bookmarkEnd w:id="55"/>
    </w:p>
    <w:p>
      <w:pPr>
        <w:pStyle w:val="Subsection"/>
      </w:pPr>
      <w:r>
        <w:tab/>
        <w:t>(1)</w:t>
      </w:r>
      <w:r>
        <w:tab/>
        <w:t xml:space="preserve">Section 29 applies in respect of the financial year immediately before the financial year in which the </w:t>
      </w:r>
      <w:r>
        <w:rPr>
          <w:i/>
        </w:rPr>
        <w:t>Insurance Commission of Western Australia Amendment Act 2013</w:t>
      </w:r>
      <w:r>
        <w:t xml:space="preserve"> section 4 comes into operation, the financial year in which section 4 of that Act comes into operation,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September and before the close of 30 June in a financial year (the </w:t>
      </w:r>
      <w:r>
        <w:rPr>
          <w:rStyle w:val="CharDefText"/>
        </w:rPr>
        <w:t>current financial year</w:t>
      </w:r>
      <w:r>
        <w:t xml:space="preserve">), sections 29 and 30(1) apply in respect of the previous financial year with the following modifications — </w:t>
      </w:r>
    </w:p>
    <w:p>
      <w:pPr>
        <w:pStyle w:val="Indenta"/>
      </w:pPr>
      <w:r>
        <w:tab/>
        <w:t>(a)</w:t>
      </w:r>
      <w:r>
        <w:tab/>
        <w:t>the Commission must give the Minister the report referred to in section 29(2) as soon as practicable after section 4 of that Act comes into operation;</w:t>
      </w:r>
    </w:p>
    <w:p>
      <w:pPr>
        <w:pStyle w:val="Indenta"/>
      </w:pPr>
      <w:r>
        <w:tab/>
        <w:t>(b)</w:t>
      </w:r>
      <w:r>
        <w:tab/>
        <w:t xml:space="preserve">on receiving a notice under section 29(3)(b) in respect of that report, the Commission must pay to the State the </w:t>
      </w:r>
      <w:r>
        <w:lastRenderedPageBreak/>
        <w:t xml:space="preserve">amount of the dividend (if any) notified to the Commission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Indenta"/>
      </w:pPr>
      <w:r>
        <w:tab/>
        <w:t>(c)</w:t>
      </w:r>
      <w:r>
        <w:tab/>
        <w:t xml:space="preserve">the accountable authority of the Commission under the </w:t>
      </w:r>
      <w:r>
        <w:rPr>
          <w:i/>
        </w:rPr>
        <w:t>Financial Management Act 2006</w:t>
      </w:r>
      <w:r>
        <w:t xml:space="preserve"> must include the text of the notice referred to in paragraph (b) in the annual report for the current financial year submitted under Part 5 of that Act.</w:t>
      </w:r>
    </w:p>
    <w:p>
      <w:pPr>
        <w:pStyle w:val="Subsection"/>
      </w:pPr>
      <w:r>
        <w:tab/>
        <w:t>(3)</w:t>
      </w:r>
      <w:r>
        <w:tab/>
        <w:t xml:space="preserve">If the </w:t>
      </w:r>
      <w:r>
        <w:rPr>
          <w:i/>
        </w:rPr>
        <w:t>Insurance Commission of Western Australia Amendment Act 2013</w:t>
      </w:r>
      <w:r>
        <w:t xml:space="preserve"> section 4 comes into operation before 1 July 2013, section 29 applies only in respect of the financial year ending on 30 June 2013 and subsequent financial years.</w:t>
      </w:r>
    </w:p>
    <w:p>
      <w:pPr>
        <w:pStyle w:val="Footnotesection"/>
      </w:pPr>
      <w:r>
        <w:tab/>
        <w:t>[Section 32 inserted: No. 7 of 2013 s. 4.]</w:t>
      </w:r>
    </w:p>
    <w:p>
      <w:pPr>
        <w:pStyle w:val="Ednotepart"/>
        <w:ind w:left="993" w:hanging="993"/>
      </w:pPr>
      <w:r>
        <w:t>[Part III:</w:t>
      </w:r>
      <w:r>
        <w:tab/>
        <w:t xml:space="preserve">s. 33 deleted: No. 49 of 1992 s. 28; </w:t>
      </w:r>
      <w:r>
        <w:br/>
        <w:t>s. 34</w:t>
      </w:r>
      <w:r>
        <w:noBreakHyphen/>
        <w:t>41 deleted: No. 45 of 1996 s. 20.]</w:t>
      </w:r>
    </w:p>
    <w:p>
      <w:pPr>
        <w:pStyle w:val="Heading2"/>
      </w:pPr>
      <w:bookmarkStart w:id="56" w:name="_Toc161403519"/>
      <w:r>
        <w:rPr>
          <w:rStyle w:val="CharPartNo"/>
        </w:rPr>
        <w:lastRenderedPageBreak/>
        <w:t>Part IV</w:t>
      </w:r>
      <w:r>
        <w:rPr>
          <w:rStyle w:val="CharDivNo"/>
        </w:rPr>
        <w:t> </w:t>
      </w:r>
      <w:r>
        <w:t>—</w:t>
      </w:r>
      <w:r>
        <w:rPr>
          <w:rStyle w:val="CharDivText"/>
        </w:rPr>
        <w:t> </w:t>
      </w:r>
      <w:r>
        <w:rPr>
          <w:rStyle w:val="CharPartText"/>
        </w:rPr>
        <w:t>General</w:t>
      </w:r>
      <w:bookmarkEnd w:id="56"/>
      <w:r>
        <w:rPr>
          <w:rStyle w:val="CharPartText"/>
        </w:rPr>
        <w:t xml:space="preserve"> </w:t>
      </w:r>
    </w:p>
    <w:p>
      <w:pPr>
        <w:pStyle w:val="Heading5"/>
        <w:rPr>
          <w:snapToGrid w:val="0"/>
        </w:rPr>
      </w:pPr>
      <w:bookmarkStart w:id="57" w:name="_Toc161403520"/>
      <w:r>
        <w:rPr>
          <w:rStyle w:val="CharSectno"/>
        </w:rPr>
        <w:t>42</w:t>
      </w:r>
      <w:r>
        <w:rPr>
          <w:snapToGrid w:val="0"/>
        </w:rPr>
        <w:t>.</w:t>
      </w:r>
      <w:r>
        <w:rPr>
          <w:snapToGrid w:val="0"/>
        </w:rPr>
        <w:tab/>
        <w:t>Secrecy</w:t>
      </w:r>
      <w:bookmarkEnd w:id="57"/>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Footnotesection"/>
      </w:pPr>
      <w:r>
        <w:tab/>
        <w:t xml:space="preserve">[Section 42 amended: No. 49 of 1992 s. 28; No. 45 of 1996 s. 21.] </w:t>
      </w:r>
    </w:p>
    <w:p>
      <w:pPr>
        <w:pStyle w:val="Heading5"/>
        <w:rPr>
          <w:snapToGrid w:val="0"/>
        </w:rPr>
      </w:pPr>
      <w:bookmarkStart w:id="58" w:name="_Toc161403521"/>
      <w:r>
        <w:rPr>
          <w:rStyle w:val="CharSectno"/>
        </w:rPr>
        <w:t>43</w:t>
      </w:r>
      <w:r>
        <w:rPr>
          <w:snapToGrid w:val="0"/>
        </w:rPr>
        <w:t>.</w:t>
      </w:r>
      <w:r>
        <w:rPr>
          <w:snapToGrid w:val="0"/>
        </w:rPr>
        <w:tab/>
        <w:t>Execution of documents and entry into contracts</w:t>
      </w:r>
      <w:bookmarkEnd w:id="58"/>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lastRenderedPageBreak/>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Footnotesection"/>
      </w:pPr>
      <w:r>
        <w:tab/>
        <w:t>[Section 43 amended: No. 45 of 1996 s. 22; correction to reprint in Gazette 4 Aug 2015 p. 3135.]</w:t>
      </w:r>
    </w:p>
    <w:p>
      <w:pPr>
        <w:pStyle w:val="Heading5"/>
        <w:keepNext w:val="0"/>
        <w:keepLines w:val="0"/>
        <w:pageBreakBefore/>
        <w:spacing w:before="0"/>
        <w:rPr>
          <w:snapToGrid w:val="0"/>
        </w:rPr>
      </w:pPr>
      <w:bookmarkStart w:id="59" w:name="_Toc161403522"/>
      <w:r>
        <w:rPr>
          <w:rStyle w:val="CharSectno"/>
        </w:rPr>
        <w:lastRenderedPageBreak/>
        <w:t>44</w:t>
      </w:r>
      <w:r>
        <w:rPr>
          <w:snapToGrid w:val="0"/>
        </w:rPr>
        <w:t>.</w:t>
      </w:r>
      <w:r>
        <w:rPr>
          <w:snapToGrid w:val="0"/>
        </w:rPr>
        <w:tab/>
        <w:t>Exemption of certain public authorities from workers’ compensation insurance requirements</w:t>
      </w:r>
      <w:bookmarkEnd w:id="59"/>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No. 45 of 1996 s. 23; amended: No. 42 of 2004 s. 174; No. 8 of 2009 s. 79(4).]</w:t>
      </w:r>
    </w:p>
    <w:p>
      <w:pPr>
        <w:pStyle w:val="Heading5"/>
        <w:rPr>
          <w:snapToGrid w:val="0"/>
        </w:rPr>
      </w:pPr>
      <w:bookmarkStart w:id="60" w:name="_Toc161403523"/>
      <w:r>
        <w:rPr>
          <w:rStyle w:val="CharSectno"/>
        </w:rPr>
        <w:t>45</w:t>
      </w:r>
      <w:r>
        <w:rPr>
          <w:snapToGrid w:val="0"/>
        </w:rPr>
        <w:t>.</w:t>
      </w:r>
      <w:r>
        <w:rPr>
          <w:snapToGrid w:val="0"/>
        </w:rPr>
        <w:tab/>
        <w:t>Regulations</w:t>
      </w:r>
      <w:bookmarkEnd w:id="6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the use of the common seal of the Commission in Western Australia and elsewhere.</w:t>
      </w:r>
    </w:p>
    <w:p>
      <w:pPr>
        <w:pStyle w:val="Footnotesection"/>
      </w:pPr>
      <w:r>
        <w:tab/>
        <w:t>[Section 45 amended: No. 45 of 1996 s. 24.]</w:t>
      </w:r>
    </w:p>
    <w:p>
      <w:pPr>
        <w:pStyle w:val="Heading2"/>
      </w:pPr>
      <w:bookmarkStart w:id="61" w:name="_Toc161403524"/>
      <w:r>
        <w:rPr>
          <w:rStyle w:val="CharPartNo"/>
        </w:rPr>
        <w:lastRenderedPageBreak/>
        <w:t>Part V</w:t>
      </w:r>
      <w:r>
        <w:rPr>
          <w:rStyle w:val="CharDivNo"/>
        </w:rPr>
        <w:t> </w:t>
      </w:r>
      <w:r>
        <w:t>—</w:t>
      </w:r>
      <w:r>
        <w:rPr>
          <w:rStyle w:val="CharDivText"/>
        </w:rPr>
        <w:t> </w:t>
      </w:r>
      <w:r>
        <w:rPr>
          <w:rStyle w:val="CharPartText"/>
        </w:rPr>
        <w:t>Repeal, amendments, saving, validation and transitional</w:t>
      </w:r>
      <w:bookmarkEnd w:id="61"/>
      <w:r>
        <w:rPr>
          <w:rStyle w:val="CharPartText"/>
        </w:rPr>
        <w:t xml:space="preserve"> </w:t>
      </w:r>
    </w:p>
    <w:p>
      <w:pPr>
        <w:pStyle w:val="Heading5"/>
        <w:rPr>
          <w:snapToGrid w:val="0"/>
        </w:rPr>
      </w:pPr>
      <w:bookmarkStart w:id="62" w:name="_Toc161403525"/>
      <w:r>
        <w:rPr>
          <w:rStyle w:val="CharSectno"/>
        </w:rPr>
        <w:t>46</w:t>
      </w:r>
      <w:r>
        <w:rPr>
          <w:snapToGrid w:val="0"/>
        </w:rPr>
        <w:t>.</w:t>
      </w:r>
      <w:r>
        <w:rPr>
          <w:snapToGrid w:val="0"/>
        </w:rPr>
        <w:tab/>
        <w:t>Repeal and amendments</w:t>
      </w:r>
      <w:bookmarkEnd w:id="62"/>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63" w:name="_Toc161403526"/>
      <w:r>
        <w:rPr>
          <w:rStyle w:val="CharSectno"/>
        </w:rPr>
        <w:t>47</w:t>
      </w:r>
      <w:r>
        <w:rPr>
          <w:snapToGrid w:val="0"/>
        </w:rPr>
        <w:t>.</w:t>
      </w:r>
      <w:r>
        <w:rPr>
          <w:snapToGrid w:val="0"/>
        </w:rPr>
        <w:tab/>
        <w:t>Saving, validation and transitional provisions</w:t>
      </w:r>
      <w:bookmarkEnd w:id="63"/>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64" w:name="_Toc161403527"/>
      <w:r>
        <w:rPr>
          <w:rStyle w:val="CharSectno"/>
        </w:rPr>
        <w:t>48</w:t>
      </w:r>
      <w:r>
        <w:rPr>
          <w:snapToGrid w:val="0"/>
        </w:rPr>
        <w:t>.</w:t>
      </w:r>
      <w:r>
        <w:rPr>
          <w:snapToGrid w:val="0"/>
        </w:rPr>
        <w:tab/>
        <w:t>Oversight by Public Accounts Committee</w:t>
      </w:r>
      <w:bookmarkEnd w:id="64"/>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65" w:name="_Toc161403528"/>
      <w:r>
        <w:rPr>
          <w:rStyle w:val="CharSchNo"/>
        </w:rPr>
        <w:lastRenderedPageBreak/>
        <w:t>Schedule 1</w:t>
      </w:r>
      <w:r>
        <w:t> — </w:t>
      </w:r>
      <w:r>
        <w:rPr>
          <w:rStyle w:val="CharSchText"/>
        </w:rPr>
        <w:t>Provisions as to commissioners</w:t>
      </w:r>
      <w:bookmarkEnd w:id="65"/>
    </w:p>
    <w:p>
      <w:pPr>
        <w:pStyle w:val="yShoulderClause"/>
        <w:rPr>
          <w:snapToGrid w:val="0"/>
        </w:rPr>
      </w:pPr>
      <w:r>
        <w:rPr>
          <w:snapToGrid w:val="0"/>
        </w:rPr>
        <w:t>[s. 5(4)]</w:t>
      </w:r>
    </w:p>
    <w:p>
      <w:pPr>
        <w:pStyle w:val="yFootnoteheading"/>
      </w:pPr>
      <w:r>
        <w:tab/>
        <w:t>[Heading amended: No. 19 of 2010 s. 4.]</w:t>
      </w:r>
    </w:p>
    <w:p>
      <w:pPr>
        <w:pStyle w:val="yHeading5"/>
        <w:ind w:left="890" w:hanging="890"/>
        <w:outlineLvl w:val="9"/>
        <w:rPr>
          <w:snapToGrid w:val="0"/>
        </w:rPr>
      </w:pPr>
      <w:bookmarkStart w:id="66" w:name="_Toc161403529"/>
      <w:r>
        <w:rPr>
          <w:rStyle w:val="CharSClsNo"/>
        </w:rPr>
        <w:t>1</w:t>
      </w:r>
      <w:r>
        <w:rPr>
          <w:snapToGrid w:val="0"/>
        </w:rPr>
        <w:t>.</w:t>
      </w:r>
      <w:r>
        <w:rPr>
          <w:snapToGrid w:val="0"/>
        </w:rPr>
        <w:tab/>
        <w:t>Terms used</w:t>
      </w:r>
      <w:bookmarkEnd w:id="66"/>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67" w:name="_Toc161403530"/>
      <w:r>
        <w:rPr>
          <w:rStyle w:val="CharSClsNo"/>
        </w:rPr>
        <w:t>2</w:t>
      </w:r>
      <w:r>
        <w:rPr>
          <w:snapToGrid w:val="0"/>
        </w:rPr>
        <w:t>.</w:t>
      </w:r>
      <w:r>
        <w:rPr>
          <w:snapToGrid w:val="0"/>
        </w:rPr>
        <w:tab/>
        <w:t>Commissioners — terms and vacation of office</w:t>
      </w:r>
      <w:bookmarkEnd w:id="67"/>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lastRenderedPageBreak/>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No. 18 of 2009 s. 47(2).]</w:t>
      </w:r>
    </w:p>
    <w:p>
      <w:pPr>
        <w:pStyle w:val="yHeading5"/>
        <w:spacing w:before="180"/>
        <w:ind w:left="890" w:hanging="890"/>
        <w:outlineLvl w:val="9"/>
        <w:rPr>
          <w:snapToGrid w:val="0"/>
        </w:rPr>
      </w:pPr>
      <w:bookmarkStart w:id="68" w:name="_Toc161403531"/>
      <w:r>
        <w:rPr>
          <w:rStyle w:val="CharSClsNo"/>
        </w:rPr>
        <w:t>3</w:t>
      </w:r>
      <w:r>
        <w:rPr>
          <w:snapToGrid w:val="0"/>
        </w:rPr>
        <w:t>.</w:t>
      </w:r>
      <w:r>
        <w:rPr>
          <w:snapToGrid w:val="0"/>
        </w:rPr>
        <w:tab/>
        <w:t>Alternate commissioners</w:t>
      </w:r>
      <w:bookmarkEnd w:id="68"/>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spacing w:before="180"/>
        <w:ind w:left="890" w:hanging="890"/>
        <w:outlineLvl w:val="9"/>
        <w:rPr>
          <w:snapToGrid w:val="0"/>
        </w:rPr>
      </w:pPr>
      <w:bookmarkStart w:id="69" w:name="_Toc161403532"/>
      <w:r>
        <w:rPr>
          <w:rStyle w:val="CharSClsNo"/>
        </w:rPr>
        <w:t>4</w:t>
      </w:r>
      <w:r>
        <w:rPr>
          <w:snapToGrid w:val="0"/>
        </w:rPr>
        <w:t>.</w:t>
      </w:r>
      <w:r>
        <w:rPr>
          <w:snapToGrid w:val="0"/>
        </w:rPr>
        <w:tab/>
        <w:t>Chairman and deputy chairman — term and vacation of office</w:t>
      </w:r>
      <w:bookmarkEnd w:id="69"/>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keepNext w:val="0"/>
        <w:keepLines w:val="0"/>
        <w:spacing w:before="180"/>
        <w:ind w:left="890" w:hanging="890"/>
        <w:outlineLvl w:val="9"/>
        <w:rPr>
          <w:snapToGrid w:val="0"/>
        </w:rPr>
      </w:pPr>
      <w:bookmarkStart w:id="70" w:name="_Toc161403533"/>
      <w:r>
        <w:rPr>
          <w:rStyle w:val="CharSClsNo"/>
        </w:rPr>
        <w:t>5</w:t>
      </w:r>
      <w:r>
        <w:rPr>
          <w:snapToGrid w:val="0"/>
        </w:rPr>
        <w:t>.</w:t>
      </w:r>
      <w:r>
        <w:rPr>
          <w:snapToGrid w:val="0"/>
        </w:rPr>
        <w:tab/>
        <w:t>Disclosure of pecuniary interests</w:t>
      </w:r>
      <w:bookmarkEnd w:id="70"/>
    </w:p>
    <w:p>
      <w:pPr>
        <w:pStyle w:val="ySubsection"/>
        <w:spacing w:before="120"/>
        <w:rPr>
          <w:snapToGrid w:val="0"/>
        </w:rPr>
      </w:pPr>
      <w:r>
        <w:rPr>
          <w:snapToGrid w:val="0"/>
        </w:rPr>
        <w:lastRenderedPageBreak/>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71" w:name="_Toc161403534"/>
      <w:r>
        <w:rPr>
          <w:rStyle w:val="CharSClsNo"/>
        </w:rPr>
        <w:t>6</w:t>
      </w:r>
      <w:r>
        <w:rPr>
          <w:snapToGrid w:val="0"/>
        </w:rPr>
        <w:t>.</w:t>
      </w:r>
      <w:r>
        <w:rPr>
          <w:snapToGrid w:val="0"/>
        </w:rPr>
        <w:tab/>
        <w:t>Meetings</w:t>
      </w:r>
      <w:bookmarkEnd w:id="71"/>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lastRenderedPageBreak/>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No. 45 of 1996 s. 26(a).]</w:t>
      </w:r>
    </w:p>
    <w:p>
      <w:pPr>
        <w:pStyle w:val="yHeading5"/>
        <w:spacing w:before="180"/>
        <w:ind w:left="890" w:hanging="890"/>
        <w:outlineLvl w:val="9"/>
        <w:rPr>
          <w:snapToGrid w:val="0"/>
        </w:rPr>
      </w:pPr>
      <w:bookmarkStart w:id="72" w:name="_Toc161403535"/>
      <w:r>
        <w:rPr>
          <w:rStyle w:val="CharSClsNo"/>
        </w:rPr>
        <w:t>6A</w:t>
      </w:r>
      <w:r>
        <w:rPr>
          <w:snapToGrid w:val="0"/>
        </w:rPr>
        <w:t>.</w:t>
      </w:r>
      <w:r>
        <w:rPr>
          <w:snapToGrid w:val="0"/>
        </w:rPr>
        <w:tab/>
        <w:t>Telephone and video meetings</w:t>
      </w:r>
      <w:bookmarkEnd w:id="72"/>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No. 45 of 1996 s. 26(b).]</w:t>
      </w:r>
    </w:p>
    <w:p>
      <w:pPr>
        <w:pStyle w:val="yHeading5"/>
        <w:spacing w:before="180"/>
        <w:ind w:left="890" w:hanging="890"/>
        <w:outlineLvl w:val="9"/>
        <w:rPr>
          <w:snapToGrid w:val="0"/>
        </w:rPr>
      </w:pPr>
      <w:bookmarkStart w:id="73" w:name="_Toc161403536"/>
      <w:r>
        <w:rPr>
          <w:rStyle w:val="CharSClsNo"/>
        </w:rPr>
        <w:t>7</w:t>
      </w:r>
      <w:r>
        <w:rPr>
          <w:snapToGrid w:val="0"/>
        </w:rPr>
        <w:t>.</w:t>
      </w:r>
      <w:r>
        <w:rPr>
          <w:snapToGrid w:val="0"/>
        </w:rPr>
        <w:tab/>
        <w:t>Committees</w:t>
      </w:r>
      <w:bookmarkEnd w:id="73"/>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No. 45 of 1996 s. 26(c).]</w:t>
      </w:r>
    </w:p>
    <w:p>
      <w:pPr>
        <w:pStyle w:val="yHeading5"/>
        <w:spacing w:before="180"/>
        <w:ind w:left="890" w:hanging="890"/>
        <w:outlineLvl w:val="9"/>
        <w:rPr>
          <w:snapToGrid w:val="0"/>
        </w:rPr>
      </w:pPr>
      <w:bookmarkStart w:id="74" w:name="_Toc161403537"/>
      <w:r>
        <w:rPr>
          <w:rStyle w:val="CharSClsNo"/>
        </w:rPr>
        <w:t>8</w:t>
      </w:r>
      <w:r>
        <w:rPr>
          <w:snapToGrid w:val="0"/>
        </w:rPr>
        <w:t>.</w:t>
      </w:r>
      <w:r>
        <w:rPr>
          <w:snapToGrid w:val="0"/>
        </w:rPr>
        <w:tab/>
        <w:t>Resolution may be passed without meeting</w:t>
      </w:r>
      <w:bookmarkEnd w:id="74"/>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lastRenderedPageBreak/>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No. 45 of 1996 s. 26(d).]</w:t>
      </w:r>
    </w:p>
    <w:p>
      <w:pPr>
        <w:pStyle w:val="yHeading5"/>
        <w:ind w:left="890" w:hanging="890"/>
        <w:outlineLvl w:val="9"/>
        <w:rPr>
          <w:snapToGrid w:val="0"/>
        </w:rPr>
      </w:pPr>
      <w:bookmarkStart w:id="75" w:name="_Toc161403538"/>
      <w:r>
        <w:rPr>
          <w:rStyle w:val="CharSClsNo"/>
        </w:rPr>
        <w:t>8A</w:t>
      </w:r>
      <w:r>
        <w:rPr>
          <w:snapToGrid w:val="0"/>
        </w:rPr>
        <w:t>.</w:t>
      </w:r>
      <w:r>
        <w:rPr>
          <w:snapToGrid w:val="0"/>
        </w:rPr>
        <w:tab/>
        <w:t>Minutes of meetings etc.</w:t>
      </w:r>
      <w:bookmarkEnd w:id="75"/>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No. 45 of 1996 s. 26(d).]</w:t>
      </w:r>
    </w:p>
    <w:p>
      <w:pPr>
        <w:pStyle w:val="yHeading5"/>
        <w:ind w:left="890" w:hanging="890"/>
        <w:outlineLvl w:val="9"/>
        <w:rPr>
          <w:snapToGrid w:val="0"/>
        </w:rPr>
      </w:pPr>
      <w:bookmarkStart w:id="76" w:name="_Toc161403539"/>
      <w:r>
        <w:rPr>
          <w:rStyle w:val="CharSClsNo"/>
        </w:rPr>
        <w:t>9</w:t>
      </w:r>
      <w:r>
        <w:rPr>
          <w:snapToGrid w:val="0"/>
        </w:rPr>
        <w:t>.</w:t>
      </w:r>
      <w:r>
        <w:rPr>
          <w:snapToGrid w:val="0"/>
        </w:rPr>
        <w:tab/>
        <w:t>Leave of absence</w:t>
      </w:r>
      <w:bookmarkEnd w:id="76"/>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77" w:name="_Toc161403540"/>
      <w:r>
        <w:rPr>
          <w:rStyle w:val="CharSClsNo"/>
        </w:rPr>
        <w:lastRenderedPageBreak/>
        <w:t>10</w:t>
      </w:r>
      <w:r>
        <w:rPr>
          <w:snapToGrid w:val="0"/>
        </w:rPr>
        <w:t>.</w:t>
      </w:r>
      <w:r>
        <w:rPr>
          <w:snapToGrid w:val="0"/>
        </w:rPr>
        <w:tab/>
        <w:t>Board to determine own procedures</w:t>
      </w:r>
      <w:bookmarkEnd w:id="77"/>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78" w:name="_Toc161403541"/>
      <w:r>
        <w:rPr>
          <w:rStyle w:val="CharSClsNo"/>
        </w:rPr>
        <w:t>11</w:t>
      </w:r>
      <w:r>
        <w:rPr>
          <w:snapToGrid w:val="0"/>
        </w:rPr>
        <w:t>.</w:t>
      </w:r>
      <w:r>
        <w:rPr>
          <w:snapToGrid w:val="0"/>
        </w:rPr>
        <w:tab/>
        <w:t>Protection of commissioners</w:t>
      </w:r>
      <w:bookmarkEnd w:id="78"/>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No. 41 of 1996 s. 3.]</w:t>
      </w:r>
    </w:p>
    <w:p>
      <w:pPr>
        <w:pStyle w:val="yEdnoteschedule"/>
      </w:pPr>
      <w:r>
        <w:t>[Schedule 2 deleted: No. 45 of 1996 s. 27.]</w:t>
      </w:r>
    </w:p>
    <w:p>
      <w:pPr>
        <w:pStyle w:val="yEdnoteschedule"/>
      </w:pPr>
      <w:r>
        <w:t>[Schedule 3 omitted under the Reprints Act 1984 s. 7(4)(e).]</w:t>
      </w:r>
    </w:p>
    <w:p>
      <w:pPr>
        <w:pStyle w:val="yScheduleHeading"/>
      </w:pPr>
      <w:bookmarkStart w:id="79" w:name="_Toc161403542"/>
      <w:r>
        <w:rPr>
          <w:rStyle w:val="CharSchNo"/>
        </w:rPr>
        <w:lastRenderedPageBreak/>
        <w:t>Schedule 4</w:t>
      </w:r>
      <w:r>
        <w:t> — </w:t>
      </w:r>
      <w:r>
        <w:rPr>
          <w:rStyle w:val="CharSchText"/>
        </w:rPr>
        <w:t>Saving, validation and transitional provisions</w:t>
      </w:r>
      <w:bookmarkEnd w:id="79"/>
    </w:p>
    <w:p>
      <w:pPr>
        <w:pStyle w:val="yShoulderClause"/>
        <w:rPr>
          <w:snapToGrid w:val="0"/>
        </w:rPr>
      </w:pPr>
      <w:r>
        <w:rPr>
          <w:snapToGrid w:val="0"/>
        </w:rPr>
        <w:t>[s. 47]</w:t>
      </w:r>
    </w:p>
    <w:p>
      <w:pPr>
        <w:pStyle w:val="yFootnoteheading"/>
      </w:pPr>
      <w:r>
        <w:tab/>
        <w:t>[Heading amended: No. 19 of 2010 s. 4.]</w:t>
      </w:r>
    </w:p>
    <w:p>
      <w:pPr>
        <w:pStyle w:val="yHeading5"/>
        <w:ind w:left="890" w:hanging="890"/>
        <w:outlineLvl w:val="9"/>
        <w:rPr>
          <w:snapToGrid w:val="0"/>
        </w:rPr>
      </w:pPr>
      <w:bookmarkStart w:id="80" w:name="_Toc161403543"/>
      <w:r>
        <w:rPr>
          <w:rStyle w:val="CharSClsNo"/>
        </w:rPr>
        <w:t>1</w:t>
      </w:r>
      <w:r>
        <w:rPr>
          <w:snapToGrid w:val="0"/>
        </w:rPr>
        <w:t>.</w:t>
      </w:r>
      <w:r>
        <w:rPr>
          <w:snapToGrid w:val="0"/>
        </w:rPr>
        <w:tab/>
        <w:t>Terms used</w:t>
      </w:r>
      <w:bookmarkEnd w:id="80"/>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2</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81" w:name="_Toc161403544"/>
      <w:r>
        <w:rPr>
          <w:rStyle w:val="CharSClsNo"/>
        </w:rPr>
        <w:t>2</w:t>
      </w:r>
      <w:r>
        <w:rPr>
          <w:snapToGrid w:val="0"/>
        </w:rPr>
        <w:t>.</w:t>
      </w:r>
      <w:r>
        <w:rPr>
          <w:snapToGrid w:val="0"/>
        </w:rPr>
        <w:tab/>
        <w:t>Transfer of assets, liabilities and records of MVIT</w:t>
      </w:r>
      <w:bookmarkEnd w:id="81"/>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w:t>
      </w:r>
      <w:r>
        <w:rPr>
          <w:snapToGrid w:val="0"/>
          <w:vertAlign w:val="superscript"/>
        </w:rPr>
        <w:t> 4</w:t>
      </w:r>
      <w:r>
        <w:rPr>
          <w:snapToGrid w:val="0"/>
        </w:rPr>
        <w:t xml:space="preserve">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82" w:name="_Toc161403545"/>
      <w:r>
        <w:rPr>
          <w:rStyle w:val="CharSClsNo"/>
        </w:rPr>
        <w:lastRenderedPageBreak/>
        <w:t>3</w:t>
      </w:r>
      <w:r>
        <w:rPr>
          <w:snapToGrid w:val="0"/>
        </w:rPr>
        <w:t>.</w:t>
      </w:r>
      <w:r>
        <w:rPr>
          <w:snapToGrid w:val="0"/>
        </w:rPr>
        <w:tab/>
        <w:t>MVIT insurance policies</w:t>
      </w:r>
      <w:bookmarkEnd w:id="82"/>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83" w:name="_Toc161403546"/>
      <w:r>
        <w:rPr>
          <w:rStyle w:val="CharSClsNo"/>
        </w:rPr>
        <w:t>4</w:t>
      </w:r>
      <w:r>
        <w:rPr>
          <w:snapToGrid w:val="0"/>
        </w:rPr>
        <w:t>.</w:t>
      </w:r>
      <w:r>
        <w:rPr>
          <w:snapToGrid w:val="0"/>
        </w:rPr>
        <w:tab/>
        <w:t>Agreements, instruments, determinations and proceedings generally</w:t>
      </w:r>
      <w:bookmarkEnd w:id="83"/>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84" w:name="_Toc161403547"/>
      <w:r>
        <w:rPr>
          <w:rStyle w:val="CharSClsNo"/>
        </w:rPr>
        <w:t>5</w:t>
      </w:r>
      <w:r>
        <w:rPr>
          <w:snapToGrid w:val="0"/>
        </w:rPr>
        <w:t>.</w:t>
      </w:r>
      <w:r>
        <w:rPr>
          <w:snapToGrid w:val="0"/>
        </w:rPr>
        <w:tab/>
        <w:t>Final reports on operations of MVIT</w:t>
      </w:r>
      <w:bookmarkEnd w:id="84"/>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xml:space="preserve">) have not been complied with before the commencement day in respect of the year ending on 30 June 1986, the </w:t>
      </w:r>
      <w:r>
        <w:rPr>
          <w:snapToGrid w:val="0"/>
        </w:rPr>
        <w:lastRenderedPageBreak/>
        <w:t>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5</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85" w:name="_Toc161403548"/>
      <w:r>
        <w:rPr>
          <w:rStyle w:val="CharSClsNo"/>
        </w:rPr>
        <w:t>6</w:t>
      </w:r>
      <w:r>
        <w:rPr>
          <w:snapToGrid w:val="0"/>
        </w:rPr>
        <w:t>.</w:t>
      </w:r>
      <w:r>
        <w:rPr>
          <w:snapToGrid w:val="0"/>
        </w:rPr>
        <w:tab/>
        <w:t>Assessment as to sufficiency of income</w:t>
      </w:r>
      <w:bookmarkEnd w:id="85"/>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86" w:name="_Toc161403549"/>
      <w:r>
        <w:rPr>
          <w:rStyle w:val="CharSClsNo"/>
        </w:rPr>
        <w:t>7</w:t>
      </w:r>
      <w:r>
        <w:rPr>
          <w:snapToGrid w:val="0"/>
        </w:rPr>
        <w:t>.</w:t>
      </w:r>
      <w:r>
        <w:rPr>
          <w:snapToGrid w:val="0"/>
        </w:rPr>
        <w:tab/>
        <w:t>Employment of current officers</w:t>
      </w:r>
      <w:bookmarkEnd w:id="86"/>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87" w:name="_Toc161403550"/>
      <w:r>
        <w:rPr>
          <w:rStyle w:val="CharSClsNo"/>
        </w:rPr>
        <w:lastRenderedPageBreak/>
        <w:t>8</w:t>
      </w:r>
      <w:r>
        <w:rPr>
          <w:snapToGrid w:val="0"/>
        </w:rPr>
        <w:t>.</w:t>
      </w:r>
      <w:r>
        <w:rPr>
          <w:snapToGrid w:val="0"/>
        </w:rPr>
        <w:tab/>
        <w:t>References to MVIT in laws</w:t>
      </w:r>
      <w:bookmarkEnd w:id="87"/>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88" w:name="_Toc161403551"/>
      <w:r>
        <w:rPr>
          <w:rStyle w:val="CharSClsNo"/>
        </w:rPr>
        <w:t>9</w:t>
      </w:r>
      <w:r>
        <w:rPr>
          <w:snapToGrid w:val="0"/>
        </w:rPr>
        <w:t>.</w:t>
      </w:r>
      <w:r>
        <w:rPr>
          <w:snapToGrid w:val="0"/>
        </w:rPr>
        <w:tab/>
        <w:t>Transfer of assets, liabilities and records of SGIO</w:t>
      </w:r>
      <w:bookmarkEnd w:id="88"/>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89" w:name="_Toc161403552"/>
      <w:r>
        <w:rPr>
          <w:rStyle w:val="CharSClsNo"/>
        </w:rPr>
        <w:t>10</w:t>
      </w:r>
      <w:r>
        <w:rPr>
          <w:snapToGrid w:val="0"/>
        </w:rPr>
        <w:t>.</w:t>
      </w:r>
      <w:r>
        <w:rPr>
          <w:snapToGrid w:val="0"/>
        </w:rPr>
        <w:tab/>
        <w:t>SGIO insurance policies and re</w:t>
      </w:r>
      <w:r>
        <w:rPr>
          <w:snapToGrid w:val="0"/>
        </w:rPr>
        <w:noBreakHyphen/>
        <w:t>insurance</w:t>
      </w:r>
      <w:bookmarkEnd w:id="89"/>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lastRenderedPageBreak/>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6</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90" w:name="_Toc161403553"/>
      <w:r>
        <w:rPr>
          <w:rStyle w:val="CharSClsNo"/>
        </w:rPr>
        <w:lastRenderedPageBreak/>
        <w:t>11</w:t>
      </w:r>
      <w:r>
        <w:rPr>
          <w:snapToGrid w:val="0"/>
        </w:rPr>
        <w:t>.</w:t>
      </w:r>
      <w:r>
        <w:rPr>
          <w:snapToGrid w:val="0"/>
        </w:rPr>
        <w:tab/>
        <w:t>Agents and brokers</w:t>
      </w:r>
      <w:bookmarkEnd w:id="90"/>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7</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91" w:name="_Toc161403554"/>
      <w:r>
        <w:rPr>
          <w:rStyle w:val="CharSClsNo"/>
        </w:rPr>
        <w:t>12</w:t>
      </w:r>
      <w:r>
        <w:rPr>
          <w:snapToGrid w:val="0"/>
        </w:rPr>
        <w:t>.</w:t>
      </w:r>
      <w:r>
        <w:rPr>
          <w:snapToGrid w:val="0"/>
        </w:rPr>
        <w:tab/>
        <w:t>Agreements, instruments and proceedings generally</w:t>
      </w:r>
      <w:bookmarkEnd w:id="91"/>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lastRenderedPageBreak/>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92" w:name="_Toc161403555"/>
      <w:r>
        <w:rPr>
          <w:rStyle w:val="CharSClsNo"/>
        </w:rPr>
        <w:t>13</w:t>
      </w:r>
      <w:r>
        <w:rPr>
          <w:snapToGrid w:val="0"/>
        </w:rPr>
        <w:t>.</w:t>
      </w:r>
      <w:r>
        <w:rPr>
          <w:snapToGrid w:val="0"/>
        </w:rPr>
        <w:tab/>
        <w:t>Final reports on operations of SGIO</w:t>
      </w:r>
      <w:bookmarkEnd w:id="92"/>
    </w:p>
    <w:p>
      <w:pPr>
        <w:pStyle w:val="ySubsection"/>
        <w:rPr>
          <w:snapToGrid w:val="0"/>
        </w:rPr>
      </w:pPr>
      <w:r>
        <w:rPr>
          <w:snapToGrid w:val="0"/>
        </w:rPr>
        <w:tab/>
        <w:t>(1)</w:t>
      </w:r>
      <w:r>
        <w:rPr>
          <w:snapToGrid w:val="0"/>
        </w:rPr>
        <w:tab/>
        <w:t>If sections 21(1), (2) and (3) and 22</w:t>
      </w:r>
      <w:r>
        <w:rPr>
          <w:snapToGrid w:val="0"/>
          <w:vertAlign w:val="superscript"/>
        </w:rPr>
        <w:t> 8</w:t>
      </w:r>
      <w:r>
        <w:rPr>
          <w:snapToGrid w:val="0"/>
        </w:rPr>
        <w:t xml:space="preserve">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2</w:t>
      </w:r>
      <w:r>
        <w:rPr>
          <w:snapToGrid w:val="0"/>
        </w:rPr>
        <w:t xml:space="preserve"> and section 4 of the </w:t>
      </w:r>
      <w:r>
        <w:rPr>
          <w:i/>
          <w:snapToGrid w:val="0"/>
        </w:rPr>
        <w:t>Acts Amendment (Financial Administration and Audit) Act 1985</w:t>
      </w:r>
      <w:r>
        <w:rPr>
          <w:snapToGrid w:val="0"/>
        </w:rPr>
        <w:t xml:space="preserve">) have not been complied with before the commencement day in respect of the year ending on 30 June 1986, the SGIO and the Auditor General shall </w:t>
      </w:r>
      <w:r>
        <w:rPr>
          <w:snapToGrid w:val="0"/>
        </w:rPr>
        <w:lastRenderedPageBreak/>
        <w:t>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w:t>
      </w:r>
      <w:r>
        <w:rPr>
          <w:snapToGrid w:val="0"/>
          <w:vertAlign w:val="superscript"/>
        </w:rPr>
        <w:t> </w:t>
      </w:r>
      <w:r>
        <w:rPr>
          <w:iCs/>
          <w:snapToGrid w:val="0"/>
          <w:vertAlign w:val="superscript"/>
        </w:rPr>
        <w:t>5</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2</w:t>
      </w:r>
      <w:r>
        <w:rPr>
          <w:snapToGrid w:val="0"/>
        </w:rPr>
        <w:t xml:space="preserve"> in respect of the prescribed period if that Act had not been repealed by section 46(1).</w:t>
      </w:r>
    </w:p>
    <w:p>
      <w:pPr>
        <w:pStyle w:val="yHeading5"/>
        <w:ind w:left="890" w:hanging="890"/>
        <w:outlineLvl w:val="9"/>
        <w:rPr>
          <w:snapToGrid w:val="0"/>
        </w:rPr>
      </w:pPr>
      <w:bookmarkStart w:id="93" w:name="_Toc161403556"/>
      <w:r>
        <w:rPr>
          <w:rStyle w:val="CharSClsNo"/>
        </w:rPr>
        <w:t>14</w:t>
      </w:r>
      <w:r>
        <w:rPr>
          <w:snapToGrid w:val="0"/>
        </w:rPr>
        <w:t>.</w:t>
      </w:r>
      <w:r>
        <w:rPr>
          <w:snapToGrid w:val="0"/>
        </w:rPr>
        <w:tab/>
        <w:t>Certain outstanding obligations to be met by Commission</w:t>
      </w:r>
      <w:bookmarkEnd w:id="93"/>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2</w:t>
      </w:r>
      <w:r>
        <w:rPr>
          <w:snapToGrid w:val="0"/>
        </w:rPr>
        <w:t xml:space="preserve"> in respect of the prescribed period if that Act had not been repealed by section 46(1).</w:t>
      </w:r>
    </w:p>
    <w:p>
      <w:pPr>
        <w:pStyle w:val="yHeading5"/>
        <w:ind w:left="890" w:hanging="890"/>
        <w:outlineLvl w:val="9"/>
        <w:rPr>
          <w:snapToGrid w:val="0"/>
        </w:rPr>
      </w:pPr>
      <w:bookmarkStart w:id="94" w:name="_Toc161403557"/>
      <w:r>
        <w:rPr>
          <w:rStyle w:val="CharSClsNo"/>
        </w:rPr>
        <w:lastRenderedPageBreak/>
        <w:t>15</w:t>
      </w:r>
      <w:r>
        <w:rPr>
          <w:snapToGrid w:val="0"/>
        </w:rPr>
        <w:t>.</w:t>
      </w:r>
      <w:r>
        <w:rPr>
          <w:snapToGrid w:val="0"/>
        </w:rPr>
        <w:tab/>
        <w:t>Saving of presumption and protection</w:t>
      </w:r>
      <w:bookmarkEnd w:id="94"/>
    </w:p>
    <w:p>
      <w:pPr>
        <w:pStyle w:val="ySubsection"/>
        <w:rPr>
          <w:snapToGrid w:val="0"/>
        </w:rPr>
      </w:pPr>
      <w:r>
        <w:rPr>
          <w:snapToGrid w:val="0"/>
        </w:rPr>
        <w:tab/>
      </w:r>
      <w:r>
        <w:rPr>
          <w:snapToGrid w:val="0"/>
        </w:rPr>
        <w:tab/>
        <w:t>Notwithstanding section 46(2) and Schedule 3 — </w:t>
      </w:r>
    </w:p>
    <w:p>
      <w:pPr>
        <w:pStyle w:val="yIndenta"/>
        <w:spacing w:before="60"/>
        <w:rPr>
          <w:snapToGrid w:val="0"/>
        </w:rPr>
      </w:pPr>
      <w:r>
        <w:rPr>
          <w:snapToGrid w:val="0"/>
        </w:rPr>
        <w:tab/>
        <w:t>(a)</w:t>
      </w:r>
      <w:r>
        <w:rPr>
          <w:snapToGrid w:val="0"/>
        </w:rPr>
        <w:tab/>
        <w:t>section 26</w:t>
      </w:r>
      <w:r>
        <w:rPr>
          <w:snapToGrid w:val="0"/>
          <w:vertAlign w:val="superscript"/>
        </w:rPr>
        <w:t> 9</w:t>
      </w:r>
      <w:r>
        <w:rPr>
          <w:snapToGrid w:val="0"/>
        </w:rPr>
        <w:t xml:space="preserve">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spacing w:before="60"/>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95" w:name="_Toc161403558"/>
      <w:r>
        <w:rPr>
          <w:rStyle w:val="CharSClsNo"/>
        </w:rPr>
        <w:t>16</w:t>
      </w:r>
      <w:r>
        <w:rPr>
          <w:snapToGrid w:val="0"/>
        </w:rPr>
        <w:t>.</w:t>
      </w:r>
      <w:r>
        <w:rPr>
          <w:snapToGrid w:val="0"/>
        </w:rPr>
        <w:tab/>
        <w:t>Employment of staff of SGIO</w:t>
      </w:r>
      <w:bookmarkEnd w:id="95"/>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10</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snapToGrid w:val="0"/>
          <w:vertAlign w:val="superscript"/>
        </w:rPr>
        <w:t>11</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12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96" w:name="_Toc161403559"/>
      <w:r>
        <w:rPr>
          <w:rStyle w:val="CharSClsNo"/>
        </w:rPr>
        <w:t>17</w:t>
      </w:r>
      <w:r>
        <w:rPr>
          <w:snapToGrid w:val="0"/>
        </w:rPr>
        <w:t>.</w:t>
      </w:r>
      <w:r>
        <w:rPr>
          <w:snapToGrid w:val="0"/>
        </w:rPr>
        <w:tab/>
        <w:t>References to the SGIO in laws</w:t>
      </w:r>
      <w:bookmarkEnd w:id="96"/>
    </w:p>
    <w:p>
      <w:pPr>
        <w:pStyle w:val="ySubsection"/>
        <w:rPr>
          <w:snapToGrid w:val="0"/>
        </w:rPr>
      </w:pPr>
      <w:r>
        <w:rPr>
          <w:snapToGrid w:val="0"/>
        </w:rPr>
        <w:tab/>
      </w:r>
      <w:r>
        <w:rPr>
          <w:snapToGrid w:val="0"/>
        </w:rPr>
        <w:tab/>
        <w:t xml:space="preserve">References to the SGIO in a written law, other than this Act or an Act amended by section 46(2) and Schedule 3, shall, unless because of the </w:t>
      </w:r>
      <w:r>
        <w:rPr>
          <w:snapToGrid w:val="0"/>
        </w:rPr>
        <w:lastRenderedPageBreak/>
        <w:t>context it would be inappropriate so to do, be read and construed as references to the Commission.</w:t>
      </w:r>
    </w:p>
    <w:p>
      <w:pPr>
        <w:pStyle w:val="yHeading5"/>
        <w:ind w:left="890" w:hanging="890"/>
        <w:outlineLvl w:val="9"/>
        <w:rPr>
          <w:snapToGrid w:val="0"/>
        </w:rPr>
      </w:pPr>
      <w:bookmarkStart w:id="97" w:name="_Toc161403560"/>
      <w:r>
        <w:rPr>
          <w:rStyle w:val="CharSClsNo"/>
        </w:rPr>
        <w:t>18</w:t>
      </w:r>
      <w:r>
        <w:rPr>
          <w:snapToGrid w:val="0"/>
        </w:rPr>
        <w:t>.</w:t>
      </w:r>
      <w:r>
        <w:rPr>
          <w:snapToGrid w:val="0"/>
        </w:rPr>
        <w:tab/>
        <w:t>Apportionment of assets and liabilities</w:t>
      </w:r>
      <w:bookmarkEnd w:id="97"/>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98" w:name="_Toc161403561"/>
      <w:r>
        <w:rPr>
          <w:rStyle w:val="CharSClsNo"/>
        </w:rPr>
        <w:t>19</w:t>
      </w:r>
      <w:r>
        <w:rPr>
          <w:snapToGrid w:val="0"/>
        </w:rPr>
        <w:t>.</w:t>
      </w:r>
      <w:r>
        <w:rPr>
          <w:snapToGrid w:val="0"/>
        </w:rPr>
        <w:tab/>
        <w:t>Interpretation Act to apply</w:t>
      </w:r>
      <w:bookmarkEnd w:id="98"/>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rPr>
        <w:drawing>
          <wp:inline distT="0" distB="0" distL="0" distR="0">
            <wp:extent cx="932180" cy="172085"/>
            <wp:effectExtent l="0" t="0" r="127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00" w:name="_Toc161403562"/>
      <w:r>
        <w:lastRenderedPageBreak/>
        <w:t>Notes</w:t>
      </w:r>
      <w:bookmarkEnd w:id="100"/>
    </w:p>
    <w:p>
      <w:pPr>
        <w:pStyle w:val="nStatement"/>
      </w:pPr>
      <w:r>
        <w:t xml:space="preserve">This is a compilation of the </w:t>
      </w:r>
      <w:r>
        <w:rPr>
          <w:i/>
          <w:noProof/>
        </w:rPr>
        <w:t>Insurance Commission of Western Australia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1" w:name="_Toc161403563"/>
      <w:r>
        <w:t>Compilation table</w:t>
      </w:r>
      <w:bookmarkEnd w:id="101"/>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rPr>
                <w:vertAlign w:val="superscript"/>
              </w:rPr>
            </w:pPr>
            <w:r>
              <w:rPr>
                <w:i/>
              </w:rPr>
              <w:t>State Government Insurance Commission Act 1986</w:t>
            </w:r>
            <w:r>
              <w:rPr>
                <w:i/>
                <w:vertAlign w:val="superscript"/>
              </w:rPr>
              <w:t> </w:t>
            </w:r>
            <w:r>
              <w:rPr>
                <w:vertAlign w:val="superscript"/>
              </w:rPr>
              <w:t>13</w:t>
            </w:r>
          </w:p>
        </w:tc>
        <w:tc>
          <w:tcPr>
            <w:tcW w:w="1134" w:type="dxa"/>
          </w:tcPr>
          <w:p>
            <w:pPr>
              <w:pStyle w:val="nTable"/>
              <w:spacing w:after="20"/>
            </w:pPr>
            <w:r>
              <w:t>51 of 1986</w:t>
            </w:r>
          </w:p>
        </w:tc>
        <w:tc>
          <w:tcPr>
            <w:tcW w:w="1134" w:type="dxa"/>
          </w:tcPr>
          <w:p>
            <w:pPr>
              <w:pStyle w:val="nTable"/>
              <w:spacing w:after="20"/>
            </w:pPr>
            <w:r>
              <w:t>5 Aug 1986</w:t>
            </w:r>
          </w:p>
        </w:tc>
        <w:tc>
          <w:tcPr>
            <w:tcW w:w="2552" w:type="dxa"/>
          </w:tcPr>
          <w:p>
            <w:pPr>
              <w:pStyle w:val="nTable"/>
              <w:spacing w:after="20"/>
            </w:pPr>
            <w:r>
              <w:rPr>
                <w:color w:val="000000"/>
              </w:rPr>
              <w:t>s. 1 and 2: 5 Aug 1986;</w:t>
            </w:r>
            <w:r>
              <w:rPr>
                <w:color w:val="000000"/>
              </w:rPr>
              <w:br/>
              <w:t xml:space="preserve">Act other than s. 1 and 2: </w:t>
            </w:r>
            <w:r>
              <w:t xml:space="preserve">1 Jan 1987 (see s. 2 and </w:t>
            </w:r>
            <w:r>
              <w:rPr>
                <w:i/>
              </w:rPr>
              <w:t>Gazette</w:t>
            </w:r>
            <w:r>
              <w:t xml:space="preserve"> 19 Dec 1986 p. 4859)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 xml:space="preserve">Acts Amendment (Public Service) Act 1987 </w:t>
            </w:r>
            <w:r>
              <w:t>s. 32</w:t>
            </w:r>
          </w:p>
        </w:tc>
        <w:tc>
          <w:tcPr>
            <w:tcW w:w="1134" w:type="dxa"/>
          </w:tcPr>
          <w:p>
            <w:pPr>
              <w:pStyle w:val="nTable"/>
              <w:spacing w:after="20"/>
            </w:pPr>
            <w:r>
              <w:t>113 of 1987</w:t>
            </w:r>
          </w:p>
        </w:tc>
        <w:tc>
          <w:tcPr>
            <w:tcW w:w="1134" w:type="dxa"/>
          </w:tcPr>
          <w:p>
            <w:pPr>
              <w:pStyle w:val="nTable"/>
              <w:spacing w:after="20"/>
            </w:pPr>
            <w:r>
              <w:t>31 Dec 1987</w:t>
            </w:r>
          </w:p>
        </w:tc>
        <w:tc>
          <w:tcPr>
            <w:tcW w:w="2552" w:type="dxa"/>
          </w:tcPr>
          <w:p>
            <w:pPr>
              <w:pStyle w:val="nTable"/>
              <w:spacing w:after="2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Acts Amendment (Accountability) Act 1989</w:t>
            </w:r>
            <w:r>
              <w:t xml:space="preserve"> Pt. 6</w:t>
            </w:r>
          </w:p>
        </w:tc>
        <w:tc>
          <w:tcPr>
            <w:tcW w:w="1134" w:type="dxa"/>
          </w:tcPr>
          <w:p>
            <w:pPr>
              <w:pStyle w:val="nTable"/>
              <w:spacing w:after="20"/>
            </w:pPr>
            <w:r>
              <w:t>5 of 1989</w:t>
            </w:r>
          </w:p>
        </w:tc>
        <w:tc>
          <w:tcPr>
            <w:tcW w:w="1134" w:type="dxa"/>
          </w:tcPr>
          <w:p>
            <w:pPr>
              <w:pStyle w:val="nTable"/>
              <w:spacing w:after="20"/>
            </w:pPr>
            <w:r>
              <w:t>26 Apr 1989</w:t>
            </w:r>
          </w:p>
        </w:tc>
        <w:tc>
          <w:tcPr>
            <w:tcW w:w="2552" w:type="dxa"/>
          </w:tcPr>
          <w:p>
            <w:pPr>
              <w:pStyle w:val="nTable"/>
              <w:spacing w:after="20"/>
            </w:pPr>
            <w:r>
              <w:t xml:space="preserve">1 Jul 1989 (see s. 2 and </w:t>
            </w:r>
            <w:r>
              <w:rPr>
                <w:i/>
              </w:rPr>
              <w:t>Gazette</w:t>
            </w:r>
            <w:r>
              <w:t xml:space="preserve"> 30 Jun 1989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SGIO Privatisation Act 1992</w:t>
            </w:r>
            <w:r>
              <w:t xml:space="preserve"> s. 28</w:t>
            </w:r>
          </w:p>
        </w:tc>
        <w:tc>
          <w:tcPr>
            <w:tcW w:w="1134" w:type="dxa"/>
          </w:tcPr>
          <w:p>
            <w:pPr>
              <w:pStyle w:val="nTable"/>
              <w:spacing w:after="20"/>
            </w:pPr>
            <w:r>
              <w:t>49 of 1992</w:t>
            </w:r>
          </w:p>
        </w:tc>
        <w:tc>
          <w:tcPr>
            <w:tcW w:w="1134" w:type="dxa"/>
          </w:tcPr>
          <w:p>
            <w:pPr>
              <w:pStyle w:val="nTable"/>
              <w:spacing w:after="20"/>
            </w:pPr>
            <w:r>
              <w:t>9 Dec 1992</w:t>
            </w:r>
          </w:p>
        </w:tc>
        <w:tc>
          <w:tcPr>
            <w:tcW w:w="2552" w:type="dxa"/>
          </w:tcPr>
          <w:p>
            <w:pPr>
              <w:pStyle w:val="nTable"/>
              <w:spacing w:after="20"/>
            </w:pPr>
            <w:r>
              <w:t xml:space="preserve">7 Jan 1993 (see s. 2(3) and </w:t>
            </w:r>
            <w:r>
              <w:rPr>
                <w:i/>
              </w:rPr>
              <w:t>Gazette</w:t>
            </w:r>
            <w:r>
              <w:t xml:space="preserve"> 7 Jan 1993 p. 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Financial Administration Legislation Amendment Act 1993</w:t>
            </w:r>
            <w:r>
              <w:t xml:space="preserve"> s. 11</w:t>
            </w:r>
          </w:p>
        </w:tc>
        <w:tc>
          <w:tcPr>
            <w:tcW w:w="1134" w:type="dxa"/>
          </w:tcPr>
          <w:p>
            <w:pPr>
              <w:pStyle w:val="nTable"/>
              <w:spacing w:after="20"/>
            </w:pPr>
            <w:r>
              <w:t>6 of 1993</w:t>
            </w:r>
          </w:p>
        </w:tc>
        <w:tc>
          <w:tcPr>
            <w:tcW w:w="1134" w:type="dxa"/>
          </w:tcPr>
          <w:p>
            <w:pPr>
              <w:pStyle w:val="nTable"/>
              <w:spacing w:after="20"/>
            </w:pPr>
            <w:r>
              <w:t>27 Aug 1993</w:t>
            </w:r>
          </w:p>
        </w:tc>
        <w:tc>
          <w:tcPr>
            <w:tcW w:w="2552" w:type="dxa"/>
          </w:tcPr>
          <w:p>
            <w:pPr>
              <w:pStyle w:val="nTable"/>
              <w:spacing w:after="20"/>
            </w:pPr>
            <w:r>
              <w:t xml:space="preserve"> 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Acts Amendment (Public Sector Management) Act 1994</w:t>
            </w:r>
            <w:r>
              <w:t xml:space="preserve"> s. 19</w:t>
            </w:r>
          </w:p>
        </w:tc>
        <w:tc>
          <w:tcPr>
            <w:tcW w:w="1134" w:type="dxa"/>
          </w:tcPr>
          <w:p>
            <w:pPr>
              <w:pStyle w:val="nTable"/>
              <w:spacing w:after="20"/>
            </w:pPr>
            <w:r>
              <w:t>32 of 1994</w:t>
            </w:r>
          </w:p>
        </w:tc>
        <w:tc>
          <w:tcPr>
            <w:tcW w:w="1134" w:type="dxa"/>
          </w:tcPr>
          <w:p>
            <w:pPr>
              <w:pStyle w:val="nTable"/>
              <w:spacing w:after="20"/>
            </w:pPr>
            <w:r>
              <w:t>29 Jun 1994</w:t>
            </w:r>
          </w:p>
        </w:tc>
        <w:tc>
          <w:tcPr>
            <w:tcW w:w="2552" w:type="dxa"/>
          </w:tcPr>
          <w:p>
            <w:pPr>
              <w:pStyle w:val="nTable"/>
              <w:spacing w:after="2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Statutory Corporations (Liability of Directors) Act 1996</w:t>
            </w:r>
            <w:r>
              <w:t xml:space="preserve"> s. 3</w:t>
            </w:r>
          </w:p>
        </w:tc>
        <w:tc>
          <w:tcPr>
            <w:tcW w:w="1134" w:type="dxa"/>
          </w:tcPr>
          <w:p>
            <w:pPr>
              <w:pStyle w:val="nTable"/>
              <w:spacing w:after="20"/>
            </w:pPr>
            <w:r>
              <w:t>41 of 1996</w:t>
            </w:r>
          </w:p>
        </w:tc>
        <w:tc>
          <w:tcPr>
            <w:tcW w:w="1134" w:type="dxa"/>
          </w:tcPr>
          <w:p>
            <w:pPr>
              <w:pStyle w:val="nTable"/>
              <w:spacing w:after="20"/>
            </w:pPr>
            <w:r>
              <w:t>10 Oct 1996</w:t>
            </w:r>
          </w:p>
        </w:tc>
        <w:tc>
          <w:tcPr>
            <w:tcW w:w="2552" w:type="dxa"/>
          </w:tcPr>
          <w:p>
            <w:pPr>
              <w:pStyle w:val="nTable"/>
              <w:spacing w:after="20"/>
            </w:pPr>
            <w:r>
              <w:t xml:space="preserve">1 Dec 1996 (see s. 2 and </w:t>
            </w:r>
            <w:r>
              <w:rPr>
                <w:i/>
              </w:rPr>
              <w:t>Gazette</w:t>
            </w:r>
            <w:r>
              <w:t xml:space="preserve"> 12 Nov 1996 p. 6301)</w:t>
            </w:r>
          </w:p>
        </w:tc>
      </w:tr>
      <w:tr>
        <w:tblPrEx>
          <w:tblBorders>
            <w:top w:val="none" w:sz="0" w:space="0" w:color="auto"/>
            <w:bottom w:val="none" w:sz="0" w:space="0" w:color="auto"/>
            <w:insideH w:val="none" w:sz="0" w:space="0" w:color="auto"/>
          </w:tblBorders>
        </w:tblPrEx>
        <w:tc>
          <w:tcPr>
            <w:tcW w:w="2268" w:type="dxa"/>
          </w:tcPr>
          <w:p>
            <w:pPr>
              <w:pStyle w:val="nTable"/>
              <w:spacing w:after="20"/>
              <w:ind w:right="113"/>
              <w:rPr>
                <w:b/>
                <w:iCs/>
              </w:rPr>
            </w:pPr>
            <w:r>
              <w:rPr>
                <w:i/>
              </w:rPr>
              <w:t xml:space="preserve">Acts Amendment (ICWA) Act 1996 </w:t>
            </w:r>
            <w:r>
              <w:rPr>
                <w:iCs/>
              </w:rPr>
              <w:t>Pt. 2 (other than s. 25 and 28)</w:t>
            </w:r>
            <w:r>
              <w:rPr>
                <w:iCs/>
                <w:vertAlign w:val="superscript"/>
              </w:rPr>
              <w:t> 14, 15</w:t>
            </w:r>
          </w:p>
        </w:tc>
        <w:tc>
          <w:tcPr>
            <w:tcW w:w="1134" w:type="dxa"/>
          </w:tcPr>
          <w:p>
            <w:pPr>
              <w:pStyle w:val="nTable"/>
              <w:keepNext/>
              <w:spacing w:after="20"/>
            </w:pPr>
            <w:r>
              <w:t>45 of 1996</w:t>
            </w:r>
          </w:p>
        </w:tc>
        <w:tc>
          <w:tcPr>
            <w:tcW w:w="1134" w:type="dxa"/>
          </w:tcPr>
          <w:p>
            <w:pPr>
              <w:pStyle w:val="nTable"/>
              <w:keepNext/>
              <w:spacing w:after="20"/>
            </w:pPr>
            <w:r>
              <w:t>25 Oct 1996</w:t>
            </w:r>
          </w:p>
        </w:tc>
        <w:tc>
          <w:tcPr>
            <w:tcW w:w="2552" w:type="dxa"/>
          </w:tcPr>
          <w:p>
            <w:pPr>
              <w:pStyle w:val="nTable"/>
              <w:spacing w:after="20"/>
            </w:pPr>
            <w:r>
              <w:t xml:space="preserve">s. 3, 6(b) (to the extent it inserts definition of </w:t>
            </w:r>
            <w:r>
              <w:rPr>
                <w:bCs/>
                <w:i/>
                <w:iCs/>
              </w:rPr>
              <w:t>Commission Account</w:t>
            </w:r>
            <w:r>
              <w:t>), 6(c), 9</w:t>
            </w:r>
            <w:r>
              <w:noBreakHyphen/>
              <w:t>12, 15</w:t>
            </w:r>
            <w:r>
              <w:noBreakHyphen/>
              <w:t>19, 23 and 26: 14 Dec 1996</w:t>
            </w:r>
            <w:r>
              <w:br/>
              <w:t xml:space="preserve">(see s. 2 and </w:t>
            </w:r>
            <w:r>
              <w:rPr>
                <w:i/>
              </w:rPr>
              <w:t>Gazette</w:t>
            </w:r>
            <w:r>
              <w:t xml:space="preserve"> 13 Dec 1996 p. 6901);</w:t>
            </w:r>
            <w:r>
              <w:br/>
              <w:t xml:space="preserve">s. 4, 5, 6(b) (to the extent it inserts the definition of </w:t>
            </w:r>
            <w:r>
              <w:rPr>
                <w:bCs/>
                <w:i/>
                <w:iCs/>
              </w:rPr>
              <w:t>Commission</w:t>
            </w:r>
            <w:r>
              <w:t>), 7, 8 and 29</w:t>
            </w:r>
            <w:r>
              <w:noBreakHyphen/>
              <w:t xml:space="preserve">37: 1 Oct 1997 (see s. 2 and </w:t>
            </w:r>
            <w:r>
              <w:rPr>
                <w:i/>
              </w:rPr>
              <w:t>Gazette</w:t>
            </w:r>
            <w:r>
              <w:t xml:space="preserve"> 23 Sep 1997 p. 5357);</w:t>
            </w:r>
            <w:r>
              <w:br/>
            </w:r>
            <w:r>
              <w:rPr>
                <w:snapToGrid w:val="0"/>
              </w:rPr>
              <w:t>s. 6(a), 13, 14, 20</w:t>
            </w:r>
            <w:r>
              <w:rPr>
                <w:snapToGrid w:val="0"/>
              </w:rPr>
              <w:noBreakHyphen/>
              <w:t xml:space="preserve">22, 24 </w:t>
            </w:r>
            <w:r>
              <w:rPr>
                <w:snapToGrid w:val="0"/>
              </w:rPr>
              <w:lastRenderedPageBreak/>
              <w:t xml:space="preserve">and 27: 1 Jul 2012 (see s. 2 and </w:t>
            </w:r>
            <w:r>
              <w:rPr>
                <w:i/>
                <w:snapToGrid w:val="0"/>
              </w:rPr>
              <w:t xml:space="preserve">Gazette </w:t>
            </w:r>
            <w:r>
              <w:rPr>
                <w:snapToGrid w:val="0"/>
              </w:rPr>
              <w:t>8 Jun 2012 p. 2385)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Enterprises (Commonwealth Tax Equivalents) Act 1996</w:t>
            </w:r>
            <w:r>
              <w:t xml:space="preserve"> s. 10(1)</w:t>
            </w:r>
          </w:p>
        </w:tc>
        <w:tc>
          <w:tcPr>
            <w:tcW w:w="1134" w:type="dxa"/>
          </w:tcPr>
          <w:p>
            <w:pPr>
              <w:pStyle w:val="nTable"/>
              <w:spacing w:after="40"/>
            </w:pPr>
            <w:r>
              <w:t>55 of 1996</w:t>
            </w:r>
          </w:p>
        </w:tc>
        <w:tc>
          <w:tcPr>
            <w:tcW w:w="1134" w:type="dxa"/>
          </w:tcPr>
          <w:p>
            <w:pPr>
              <w:pStyle w:val="nTable"/>
              <w:spacing w:after="40"/>
            </w:pPr>
            <w:r>
              <w:t>11 Nov 1996</w:t>
            </w:r>
          </w:p>
        </w:tc>
        <w:tc>
          <w:tcPr>
            <w:tcW w:w="2552" w:type="dxa"/>
          </w:tcPr>
          <w:p>
            <w:pPr>
              <w:pStyle w:val="nTable"/>
              <w:spacing w:after="40"/>
            </w:pPr>
            <w:r>
              <w:t>1 Jul 1996 (see s. 2 and 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iCs/>
              </w:rPr>
              <w:t>Insurance Commission of Western Australia Act 1986</w:t>
            </w:r>
            <w:r>
              <w:rPr>
                <w:b/>
                <w:bCs/>
              </w:rPr>
              <w:t xml:space="preserve"> as at 12 Nov 1999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b/>
              </w:rPr>
            </w:pPr>
            <w:r>
              <w:rPr>
                <w:i/>
              </w:rPr>
              <w:t>Insurance Commission of Western Australia Amendment Act 2002</w:t>
            </w:r>
            <w:r>
              <w:rPr>
                <w:vertAlign w:val="superscript"/>
              </w:rPr>
              <w:t> 16</w:t>
            </w:r>
          </w:p>
        </w:tc>
        <w:tc>
          <w:tcPr>
            <w:tcW w:w="1134" w:type="dxa"/>
          </w:tcPr>
          <w:p>
            <w:pPr>
              <w:pStyle w:val="nTable"/>
              <w:spacing w:after="40"/>
            </w:pPr>
            <w:r>
              <w:t>34 of 2002</w:t>
            </w:r>
          </w:p>
        </w:tc>
        <w:tc>
          <w:tcPr>
            <w:tcW w:w="1134" w:type="dxa"/>
          </w:tcPr>
          <w:p>
            <w:pPr>
              <w:pStyle w:val="nTable"/>
              <w:spacing w:after="40"/>
            </w:pPr>
            <w:r>
              <w:t>20 Nov 2002</w:t>
            </w:r>
          </w:p>
        </w:tc>
        <w:tc>
          <w:tcPr>
            <w:tcW w:w="2552" w:type="dxa"/>
          </w:tcPr>
          <w:p>
            <w:pPr>
              <w:pStyle w:val="nTable"/>
              <w:spacing w:after="40"/>
            </w:pPr>
            <w:r>
              <w:t>20 Nov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rPr>
                <w:snapToGrid w:val="0"/>
              </w:rPr>
              <w:t xml:space="preserve">4 Jan 2005 (see s. 2 and </w:t>
            </w:r>
            <w:r>
              <w:rPr>
                <w:i/>
                <w:snapToGrid w:val="0"/>
              </w:rPr>
              <w:t>Gazette</w:t>
            </w:r>
            <w:r>
              <w:rPr>
                <w:snapToGrid w:val="0"/>
              </w:rPr>
              <w:t xml:space="preserve"> 31 Dec 2004 p. 7131)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i/>
                <w:iCs/>
                <w:snapToGrid w:val="0"/>
              </w:rPr>
              <w:t xml:space="preserve"> </w:t>
            </w:r>
            <w:r>
              <w:rPr>
                <w:snapToGrid w:val="0"/>
              </w:rPr>
              <w:t>Pt. 17 Div.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bCs/>
              </w:rPr>
              <w:t xml:space="preserve">Reprint 2:  The </w:t>
            </w:r>
            <w:r>
              <w:rPr>
                <w:b/>
                <w:bCs/>
                <w:i/>
                <w:iCs/>
              </w:rPr>
              <w:t>Insurance Commission of Western Australia Act 1986</w:t>
            </w:r>
            <w:r>
              <w:rPr>
                <w:b/>
                <w:bCs/>
              </w:rPr>
              <w:t xml:space="preserve"> as at 8 Sep 2006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91</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Duties Legislation Amendment Act 2008</w:t>
            </w:r>
            <w:r>
              <w:rPr>
                <w:iCs/>
              </w:rPr>
              <w:t xml:space="preserve"> Sch. 1 cl. 18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79</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47</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Standardisation of Formatting Act 2010</w:t>
            </w:r>
            <w:r>
              <w:rPr>
                <w:iCs/>
                <w:snapToGrid w:val="0"/>
              </w:rPr>
              <w:t xml:space="preserve"> s. 4</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lastRenderedPageBreak/>
              <w:t xml:space="preserve">Reprint 3:  The </w:t>
            </w:r>
            <w:r>
              <w:rPr>
                <w:b/>
                <w:bCs/>
                <w:i/>
                <w:iCs/>
              </w:rPr>
              <w:t>Insurance Commission of Western Australia Act 1986</w:t>
            </w:r>
            <w:r>
              <w:rPr>
                <w:b/>
                <w:bCs/>
              </w:rPr>
              <w:t xml:space="preserve"> as at 1 Oct 2010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u w:val="single"/>
              </w:rPr>
            </w:pPr>
            <w:r>
              <w:rPr>
                <w:i/>
                <w:iCs/>
                <w:snapToGrid w:val="0"/>
              </w:rPr>
              <w:t>Statutes (Repeals and Minor Amendments) Act 2011</w:t>
            </w:r>
            <w:r>
              <w:rPr>
                <w:iCs/>
                <w:snapToGrid w:val="0"/>
              </w:rPr>
              <w:t xml:space="preserve"> s. 6</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iCs/>
                <w:snapToGrid w:val="0"/>
              </w:rPr>
            </w:pPr>
            <w:r>
              <w:rPr>
                <w:i/>
                <w:iCs/>
                <w:snapToGrid w:val="0"/>
              </w:rPr>
              <w:t>Insurance Commission of Western Australia Amendment Act 2013</w:t>
            </w:r>
          </w:p>
        </w:tc>
        <w:tc>
          <w:tcPr>
            <w:tcW w:w="1134" w:type="dxa"/>
            <w:shd w:val="clear" w:color="auto" w:fill="auto"/>
          </w:tcPr>
          <w:p>
            <w:pPr>
              <w:pStyle w:val="nTable"/>
              <w:spacing w:after="40"/>
              <w:rPr>
                <w:snapToGrid w:val="0"/>
              </w:rPr>
            </w:pPr>
            <w:r>
              <w:rPr>
                <w:snapToGrid w:val="0"/>
              </w:rPr>
              <w:t>7 of 2013</w:t>
            </w:r>
          </w:p>
        </w:tc>
        <w:tc>
          <w:tcPr>
            <w:tcW w:w="1134" w:type="dxa"/>
            <w:shd w:val="clear" w:color="auto" w:fill="auto"/>
          </w:tcPr>
          <w:p>
            <w:pPr>
              <w:pStyle w:val="nTable"/>
              <w:spacing w:after="40"/>
              <w:rPr>
                <w:snapToGrid w:val="0"/>
              </w:rPr>
            </w:pPr>
            <w:r>
              <w:rPr>
                <w:snapToGrid w:val="0"/>
              </w:rPr>
              <w:t>19 Aug 2013</w:t>
            </w:r>
          </w:p>
        </w:tc>
        <w:tc>
          <w:tcPr>
            <w:tcW w:w="2552" w:type="dxa"/>
            <w:shd w:val="clear" w:color="auto" w:fill="auto"/>
          </w:tcPr>
          <w:p>
            <w:pPr>
              <w:pStyle w:val="nTable"/>
              <w:spacing w:after="40"/>
              <w:rPr>
                <w:snapToGrid w:val="0"/>
              </w:rPr>
            </w:pPr>
            <w:r>
              <w:rPr>
                <w:snapToGrid w:val="0"/>
              </w:rPr>
              <w:t>s. 1 and 2: 19 Aug 2013 (see s. 2(a));</w:t>
            </w:r>
            <w:r>
              <w:rPr>
                <w:snapToGrid w:val="0"/>
              </w:rPr>
              <w:br/>
              <w:t>Act other than s. 1 and 2: 20 Aug 2013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bCs/>
              </w:rPr>
              <w:t xml:space="preserve">Reprint 4:  The </w:t>
            </w:r>
            <w:r>
              <w:rPr>
                <w:b/>
                <w:bCs/>
                <w:i/>
                <w:iCs/>
              </w:rPr>
              <w:t>Insurance Commission of Western Australia Act 1986</w:t>
            </w:r>
            <w:r>
              <w:rPr>
                <w:b/>
                <w:bCs/>
              </w:rPr>
              <w:t xml:space="preserve"> as at 10 Jan 2014 </w:t>
            </w:r>
            <w:r>
              <w:t xml:space="preserve">(includes amendments listed above) (correction in </w:t>
            </w:r>
            <w:r>
              <w:rPr>
                <w:i/>
              </w:rPr>
              <w:t xml:space="preserve">Gazette </w:t>
            </w:r>
            <w:r>
              <w:t>4 Aug 2015 p. 3135)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snapToGrid w:val="0"/>
              </w:rPr>
              <w:t xml:space="preserve">Associations Incorporation Act 2015 </w:t>
            </w:r>
            <w:r>
              <w:rPr>
                <w:snapToGrid w:val="0"/>
              </w:rPr>
              <w:t>s. 219</w:t>
            </w:r>
          </w:p>
        </w:tc>
        <w:tc>
          <w:tcPr>
            <w:tcW w:w="1134" w:type="dxa"/>
            <w:shd w:val="clear" w:color="auto" w:fill="auto"/>
          </w:tcPr>
          <w:p>
            <w:pPr>
              <w:pStyle w:val="nTable"/>
              <w:spacing w:after="40"/>
            </w:pPr>
            <w:r>
              <w:t>30 of 2015</w:t>
            </w:r>
          </w:p>
        </w:tc>
        <w:tc>
          <w:tcPr>
            <w:tcW w:w="1134" w:type="dxa"/>
            <w:shd w:val="clear" w:color="auto" w:fill="auto"/>
          </w:tcPr>
          <w:p>
            <w:pPr>
              <w:pStyle w:val="nTable"/>
              <w:spacing w:after="40"/>
            </w:pPr>
            <w:r>
              <w:t>2 Nov 2015</w:t>
            </w:r>
          </w:p>
        </w:tc>
        <w:tc>
          <w:tcPr>
            <w:tcW w:w="2552" w:type="dxa"/>
            <w:shd w:val="clear" w:color="auto" w:fill="auto"/>
          </w:tcPr>
          <w:p>
            <w:pPr>
              <w:pStyle w:val="nTable"/>
              <w:spacing w:after="40"/>
            </w:pPr>
            <w:r>
              <w:t xml:space="preserve">1 Jul 2016 (see s. (b) and </w:t>
            </w:r>
            <w:r>
              <w:rPr>
                <w:i/>
              </w:rPr>
              <w:t xml:space="preserve">Gazette </w:t>
            </w:r>
            <w:r>
              <w:t>24 Jun 2016 p. 2291-2)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iCs/>
                <w:snapToGrid w:val="0"/>
              </w:rPr>
            </w:pPr>
            <w:r>
              <w:rPr>
                <w:i/>
              </w:rPr>
              <w:t>Motor Vehicle (Catastrophic Injuries) Act 2016</w:t>
            </w:r>
            <w:r>
              <w:t xml:space="preserve"> Pt. 7 Div. 2</w:t>
            </w:r>
          </w:p>
        </w:tc>
        <w:tc>
          <w:tcPr>
            <w:tcW w:w="1134" w:type="dxa"/>
            <w:shd w:val="clear" w:color="auto" w:fill="auto"/>
          </w:tcPr>
          <w:p>
            <w:pPr>
              <w:pStyle w:val="nTable"/>
              <w:spacing w:after="40"/>
              <w:rPr>
                <w:snapToGrid w:val="0"/>
              </w:rPr>
            </w:pPr>
            <w:r>
              <w:t>8 of 2016</w:t>
            </w:r>
          </w:p>
        </w:tc>
        <w:tc>
          <w:tcPr>
            <w:tcW w:w="1134" w:type="dxa"/>
            <w:shd w:val="clear" w:color="auto" w:fill="auto"/>
          </w:tcPr>
          <w:p>
            <w:pPr>
              <w:pStyle w:val="nTable"/>
              <w:spacing w:after="40"/>
              <w:rPr>
                <w:snapToGrid w:val="0"/>
              </w:rPr>
            </w:pPr>
            <w:r>
              <w:t>14 Apr 2016</w:t>
            </w:r>
          </w:p>
        </w:tc>
        <w:tc>
          <w:tcPr>
            <w:tcW w:w="2552" w:type="dxa"/>
            <w:shd w:val="clear" w:color="auto" w:fill="auto"/>
          </w:tcPr>
          <w:p>
            <w:pPr>
              <w:pStyle w:val="nTable"/>
              <w:spacing w:after="40"/>
              <w:rPr>
                <w:snapToGrid w:val="0"/>
              </w:rPr>
            </w:pPr>
            <w:r>
              <w:t xml:space="preserve">14 May 2016 (see s. 2(b) and </w:t>
            </w:r>
            <w:r>
              <w:rPr>
                <w:i/>
              </w:rPr>
              <w:t xml:space="preserve">Gazette </w:t>
            </w:r>
            <w:r>
              <w:t>13 May 2016 p. 1421)</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b/>
                <w:bCs/>
              </w:rPr>
            </w:pPr>
            <w:r>
              <w:rPr>
                <w:b/>
                <w:bCs/>
              </w:rPr>
              <w:t xml:space="preserve">Reprint 5: The </w:t>
            </w:r>
            <w:r>
              <w:rPr>
                <w:b/>
                <w:bCs/>
                <w:i/>
                <w:noProof/>
              </w:rPr>
              <w:t>Insurance Commission of Western Australia Act 1986</w:t>
            </w:r>
            <w:r>
              <w:rPr>
                <w:b/>
                <w:bCs/>
              </w:rPr>
              <w:t xml:space="preserve"> as at 31 Aug 2016 </w:t>
            </w:r>
            <w:r>
              <w:rPr>
                <w:bCs/>
              </w:rPr>
              <w:t>(includes amendments listed above)</w:t>
            </w:r>
          </w:p>
        </w:tc>
      </w:tr>
    </w:tbl>
    <w:p>
      <w:pPr>
        <w:pStyle w:val="nHeading3"/>
      </w:pPr>
      <w:bookmarkStart w:id="102" w:name="_Toc161403564"/>
      <w:r>
        <w:t>Uncommenced provisions table</w:t>
      </w:r>
      <w:bookmarkEnd w:id="10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rPr>
                <w:vertAlign w:val="superscript"/>
              </w:rPr>
            </w:pPr>
            <w:r>
              <w:rPr>
                <w:i/>
                <w:snapToGrid w:val="0"/>
              </w:rPr>
              <w:t>Acts Amendment (ICWA) Act 1996</w:t>
            </w:r>
            <w:r>
              <w:rPr>
                <w:snapToGrid w:val="0"/>
              </w:rPr>
              <w:t xml:space="preserve"> s. 25 and 28</w:t>
            </w:r>
          </w:p>
        </w:tc>
        <w:tc>
          <w:tcPr>
            <w:tcW w:w="1134" w:type="dxa"/>
            <w:tcBorders>
              <w:top w:val="single" w:sz="8" w:space="0" w:color="auto"/>
            </w:tcBorders>
          </w:tcPr>
          <w:p>
            <w:pPr>
              <w:pStyle w:val="nTable"/>
              <w:keepNext/>
              <w:spacing w:after="40"/>
            </w:pPr>
            <w:r>
              <w:t>45 of 1996</w:t>
            </w:r>
          </w:p>
        </w:tc>
        <w:tc>
          <w:tcPr>
            <w:tcW w:w="1134" w:type="dxa"/>
            <w:tcBorders>
              <w:top w:val="single" w:sz="8" w:space="0" w:color="auto"/>
            </w:tcBorders>
          </w:tcPr>
          <w:p>
            <w:pPr>
              <w:pStyle w:val="nTable"/>
              <w:keepNext/>
              <w:spacing w:after="40"/>
            </w:pPr>
            <w:r>
              <w:t>25 Oct 1996</w:t>
            </w:r>
          </w:p>
        </w:tc>
        <w:tc>
          <w:tcPr>
            <w:tcW w:w="2552" w:type="dxa"/>
            <w:tcBorders>
              <w:top w:val="single" w:sz="8" w:space="0" w:color="auto"/>
            </w:tcBorders>
          </w:tcPr>
          <w:p>
            <w:pPr>
              <w:pStyle w:val="nTable"/>
              <w:keepNext/>
              <w:spacing w:after="40"/>
            </w:pPr>
            <w:r>
              <w:t>To be proclaimed (see s. 2)</w:t>
            </w:r>
          </w:p>
        </w:tc>
      </w:tr>
      <w:tr>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 xml:space="preserve">State Superannuation (Transitional and Consequential Provisions) Act 2000 </w:t>
            </w:r>
            <w:r>
              <w:rPr>
                <w:snapToGrid w:val="0"/>
              </w:rPr>
              <w:t>s. 50 </w:t>
            </w:r>
            <w:r>
              <w:rPr>
                <w:snapToGrid w:val="0"/>
                <w:vertAlign w:val="superscript"/>
              </w:rPr>
              <w:t>19</w:t>
            </w:r>
          </w:p>
        </w:tc>
        <w:tc>
          <w:tcPr>
            <w:tcW w:w="1134" w:type="dxa"/>
            <w:tcBorders>
              <w:top w:val="nil"/>
              <w:bottom w:val="nil"/>
            </w:tcBorders>
            <w:shd w:val="clear" w:color="auto" w:fill="auto"/>
          </w:tcPr>
          <w:p>
            <w:pPr>
              <w:pStyle w:val="nTable"/>
              <w:keepNext/>
              <w:spacing w:after="40"/>
            </w:pPr>
            <w:r>
              <w:t>43 of 2000</w:t>
            </w:r>
          </w:p>
        </w:tc>
        <w:tc>
          <w:tcPr>
            <w:tcW w:w="1134" w:type="dxa"/>
            <w:tcBorders>
              <w:top w:val="nil"/>
              <w:bottom w:val="nil"/>
            </w:tcBorders>
            <w:shd w:val="clear" w:color="auto" w:fill="auto"/>
          </w:tcPr>
          <w:p>
            <w:pPr>
              <w:pStyle w:val="nTable"/>
              <w:keepNext/>
              <w:spacing w:after="40"/>
            </w:pPr>
            <w:r>
              <w:t>2 Nov 2000</w:t>
            </w:r>
          </w:p>
        </w:tc>
        <w:tc>
          <w:tcPr>
            <w:tcW w:w="2552" w:type="dxa"/>
            <w:tcBorders>
              <w:top w:val="nil"/>
              <w:bottom w:val="nil"/>
            </w:tcBorders>
            <w:shd w:val="clear" w:color="auto" w:fill="auto"/>
          </w:tcPr>
          <w:p>
            <w:pPr>
              <w:pStyle w:val="nTable"/>
              <w:keepNext/>
              <w:spacing w:after="40"/>
            </w:pPr>
            <w:r>
              <w:t>To be proclaimed (see s. 2(2))</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shd w:val="clear" w:color="auto" w:fill="auto"/>
          </w:tcPr>
          <w:p>
            <w:pPr>
              <w:pStyle w:val="nTable"/>
              <w:spacing w:after="40"/>
              <w:ind w:right="113"/>
              <w:rPr>
                <w:iCs/>
                <w:snapToGrid w:val="0"/>
              </w:rPr>
            </w:pPr>
            <w:r>
              <w:rPr>
                <w:i/>
                <w:snapToGrid w:val="0"/>
              </w:rPr>
              <w:t>Workers Compensation and Injury Management Act 2023</w:t>
            </w:r>
            <w:r>
              <w:rPr>
                <w:iCs/>
                <w:snapToGrid w:val="0"/>
              </w:rPr>
              <w:t xml:space="preserve"> Pt. 15 Div. 3 Subdiv. 5</w:t>
            </w:r>
          </w:p>
        </w:tc>
        <w:tc>
          <w:tcPr>
            <w:tcW w:w="1134" w:type="dxa"/>
            <w:tcBorders>
              <w:bottom w:val="single" w:sz="8" w:space="0" w:color="auto"/>
            </w:tcBorders>
            <w:shd w:val="clear" w:color="auto" w:fill="auto"/>
          </w:tcPr>
          <w:p>
            <w:pPr>
              <w:pStyle w:val="nTable"/>
              <w:keepNext/>
              <w:spacing w:after="40"/>
            </w:pPr>
            <w:r>
              <w:t>21 of 2023</w:t>
            </w:r>
          </w:p>
        </w:tc>
        <w:tc>
          <w:tcPr>
            <w:tcW w:w="1134" w:type="dxa"/>
            <w:tcBorders>
              <w:bottom w:val="single" w:sz="8" w:space="0" w:color="auto"/>
            </w:tcBorders>
            <w:shd w:val="clear" w:color="auto" w:fill="auto"/>
          </w:tcPr>
          <w:p>
            <w:pPr>
              <w:pStyle w:val="nTable"/>
              <w:keepNext/>
              <w:spacing w:after="40"/>
              <w:rPr>
                <w:highlight w:val="yellow"/>
              </w:rPr>
            </w:pPr>
            <w:r>
              <w:t>24 Oct 2023</w:t>
            </w:r>
          </w:p>
        </w:tc>
        <w:tc>
          <w:tcPr>
            <w:tcW w:w="2552" w:type="dxa"/>
            <w:tcBorders>
              <w:bottom w:val="single" w:sz="8" w:space="0" w:color="auto"/>
            </w:tcBorders>
            <w:shd w:val="clear" w:color="auto" w:fill="auto"/>
          </w:tcPr>
          <w:p>
            <w:pPr>
              <w:pStyle w:val="nTable"/>
              <w:keepNext/>
              <w:spacing w:after="40"/>
            </w:pPr>
            <w:r>
              <w:rPr>
                <w:noProof/>
              </w:rPr>
              <w:t>1 Jul 2024</w:t>
            </w:r>
            <w:r>
              <w:t xml:space="preserve"> (see s. 2(d)</w:t>
            </w:r>
            <w:r>
              <w:rPr>
                <w:noProof/>
              </w:rPr>
              <w:t xml:space="preserve"> and SL 2024/34 cl. 2</w:t>
            </w:r>
            <w:r>
              <w:t>)</w:t>
            </w:r>
          </w:p>
        </w:tc>
      </w:tr>
    </w:tbl>
    <w:p>
      <w:pPr>
        <w:pStyle w:val="nHeading3"/>
      </w:pPr>
      <w:bookmarkStart w:id="103" w:name="_Toc161403565"/>
      <w:r>
        <w:lastRenderedPageBreak/>
        <w:t>Other notes</w:t>
      </w:r>
      <w:bookmarkEnd w:id="103"/>
    </w:p>
    <w:p>
      <w:pPr>
        <w:pStyle w:val="nNote"/>
        <w:spacing w:before="160"/>
        <w:rPr>
          <w:snapToGrid w:val="0"/>
        </w:rPr>
      </w:pPr>
      <w:r>
        <w:rPr>
          <w:snapToGrid w:val="0"/>
          <w:vertAlign w:val="superscript"/>
        </w:rPr>
        <w:t>1</w:t>
      </w:r>
      <w:r>
        <w:rPr>
          <w:snapToGrid w:val="0"/>
        </w:rPr>
        <w:tab/>
        <w:t xml:space="preserve">The </w:t>
      </w:r>
      <w:r>
        <w:rPr>
          <w:i/>
        </w:rPr>
        <w:t xml:space="preserve">Life Insurance Act 1945 </w:t>
      </w:r>
      <w:r>
        <w:t>was r</w:t>
      </w:r>
      <w:r>
        <w:rPr>
          <w:snapToGrid w:val="0"/>
        </w:rPr>
        <w:t xml:space="preserve">epealed by the </w:t>
      </w:r>
      <w:r>
        <w:rPr>
          <w:i/>
          <w:iCs/>
          <w:snapToGrid w:val="0"/>
        </w:rPr>
        <w:t>Life Insurance (Consequential Amendments and Repeals) Act 1995</w:t>
      </w:r>
      <w:r>
        <w:rPr>
          <w:snapToGrid w:val="0"/>
        </w:rPr>
        <w:t xml:space="preserve"> s. 5.</w:t>
      </w:r>
    </w:p>
    <w:p>
      <w:pPr>
        <w:pStyle w:val="nNote"/>
        <w:rPr>
          <w:snapToGrid w:val="0"/>
        </w:rPr>
      </w:pPr>
      <w:r>
        <w:rPr>
          <w:snapToGrid w:val="0"/>
          <w:vertAlign w:val="superscript"/>
        </w:rPr>
        <w:t>2</w:t>
      </w:r>
      <w:r>
        <w:rPr>
          <w:snapToGrid w:val="0"/>
        </w:rPr>
        <w:tab/>
        <w:t xml:space="preserve">The </w:t>
      </w:r>
      <w:r>
        <w:rPr>
          <w:i/>
          <w:snapToGrid w:val="0"/>
        </w:rPr>
        <w:t>State Government Insurance Office Act 1938</w:t>
      </w:r>
      <w:r>
        <w:rPr>
          <w:snapToGrid w:val="0"/>
        </w:rPr>
        <w:t xml:space="preserve"> was repealed by the </w:t>
      </w:r>
      <w:r>
        <w:rPr>
          <w:i/>
        </w:rPr>
        <w:t>Insurance Commission of Western Australia Act 1986</w:t>
      </w:r>
      <w:r>
        <w:rPr>
          <w:snapToGrid w:val="0"/>
        </w:rPr>
        <w:t xml:space="preserve"> s. 46(1).</w:t>
      </w:r>
    </w:p>
    <w:p>
      <w:pPr>
        <w:pStyle w:val="nNote"/>
        <w:rPr>
          <w:iCs/>
        </w:rPr>
      </w:pPr>
      <w:r>
        <w:rPr>
          <w:vertAlign w:val="superscript"/>
        </w:rPr>
        <w:t>3</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Note"/>
        <w:rPr>
          <w:iCs/>
        </w:rPr>
      </w:pPr>
      <w:r>
        <w:rPr>
          <w:vertAlign w:val="superscript"/>
        </w:rPr>
        <w:t>4</w:t>
      </w:r>
      <w:r>
        <w:tab/>
        <w:t xml:space="preserve">The </w:t>
      </w:r>
      <w:r>
        <w:rPr>
          <w:i/>
        </w:rPr>
        <w:t xml:space="preserve">Motor Vehicle (Third Party Insurance) Act 1943 </w:t>
      </w:r>
      <w:r>
        <w:t xml:space="preserve">s. 3P(4a) was deleted by the </w:t>
      </w:r>
      <w:r>
        <w:rPr>
          <w:i/>
        </w:rPr>
        <w:t xml:space="preserve">Motor Vehicle (Third Party Insurance Surcharge) Repeal Act 1988 </w:t>
      </w:r>
      <w:r>
        <w:t>s. 5.</w:t>
      </w:r>
    </w:p>
    <w:p>
      <w:pPr>
        <w:pStyle w:val="nNote"/>
        <w:rPr>
          <w:snapToGrid w:val="0"/>
        </w:rPr>
      </w:pPr>
      <w:r>
        <w:rPr>
          <w:snapToGrid w:val="0"/>
          <w:vertAlign w:val="superscript"/>
        </w:rPr>
        <w:t>5</w:t>
      </w:r>
      <w:r>
        <w:rPr>
          <w:snapToGrid w:val="0"/>
        </w:rPr>
        <w:tab/>
        <w:t xml:space="preserve">The </w:t>
      </w:r>
      <w:r>
        <w:rPr>
          <w:i/>
          <w:snapToGrid w:val="0"/>
        </w:rPr>
        <w:t>Financial Administration and Audit Act 1985</w:t>
      </w:r>
      <w:r>
        <w:rPr>
          <w:snapToGrid w:val="0"/>
        </w:rPr>
        <w:t xml:space="preserve"> was repealed by the </w:t>
      </w:r>
      <w:r>
        <w:rPr>
          <w:i/>
          <w:snapToGrid w:val="0"/>
        </w:rPr>
        <w:t>Financial Legislation Amendment and Repeal Act 2006</w:t>
      </w:r>
      <w:r>
        <w:rPr>
          <w:snapToGrid w:val="0"/>
        </w:rPr>
        <w:t>.</w:t>
      </w:r>
    </w:p>
    <w:p>
      <w:pPr>
        <w:pStyle w:val="nNote"/>
        <w:rPr>
          <w:snapToGrid w:val="0"/>
        </w:rPr>
      </w:pPr>
      <w:r>
        <w:rPr>
          <w:snapToGrid w:val="0"/>
          <w:vertAlign w:val="superscript"/>
        </w:rPr>
        <w:t>6</w:t>
      </w:r>
      <w:r>
        <w:rPr>
          <w:snapToGrid w:val="0"/>
        </w:rPr>
        <w:tab/>
        <w:t xml:space="preserve">Now known as the </w:t>
      </w:r>
      <w:r>
        <w:rPr>
          <w:i/>
          <w:snapToGrid w:val="0"/>
        </w:rPr>
        <w:t xml:space="preserve">Workers’ Compensation and </w:t>
      </w:r>
      <w:r>
        <w:rPr>
          <w:i/>
        </w:rPr>
        <w:t xml:space="preserve">Injury Management </w:t>
      </w:r>
      <w:r>
        <w:rPr>
          <w:i/>
          <w:snapToGrid w:val="0"/>
        </w:rPr>
        <w:t>Act 1981</w:t>
      </w:r>
      <w:r>
        <w:rPr>
          <w:snapToGrid w:val="0"/>
        </w:rPr>
        <w:t>.</w:t>
      </w:r>
    </w:p>
    <w:p>
      <w:pPr>
        <w:pStyle w:val="nNote"/>
        <w:rPr>
          <w:snapToGrid w:val="0"/>
        </w:rPr>
      </w:pPr>
      <w:r>
        <w:rPr>
          <w:snapToGrid w:val="0"/>
          <w:vertAlign w:val="superscript"/>
        </w:rPr>
        <w:t>7</w:t>
      </w:r>
      <w:r>
        <w:rPr>
          <w:snapToGrid w:val="0"/>
        </w:rPr>
        <w:tab/>
        <w:t xml:space="preserve">Section 31(2)(k) of this Act was deleted by the </w:t>
      </w:r>
      <w:r>
        <w:rPr>
          <w:i/>
          <w:snapToGrid w:val="0"/>
        </w:rPr>
        <w:t xml:space="preserve">SGIO Privatisation Act 1992 </w:t>
      </w:r>
      <w:r>
        <w:rPr>
          <w:snapToGrid w:val="0"/>
        </w:rPr>
        <w:t>s. 28</w:t>
      </w:r>
      <w:r>
        <w:rPr>
          <w:i/>
          <w:snapToGrid w:val="0"/>
        </w:rPr>
        <w:t>.</w:t>
      </w:r>
    </w:p>
    <w:p>
      <w:pPr>
        <w:pStyle w:val="nNote"/>
        <w:rPr>
          <w:iCs/>
        </w:rPr>
      </w:pPr>
      <w:r>
        <w:rPr>
          <w:vertAlign w:val="superscript"/>
        </w:rPr>
        <w:t>8</w:t>
      </w:r>
      <w:r>
        <w:tab/>
        <w:t xml:space="preserve">The </w:t>
      </w:r>
      <w:r>
        <w:rPr>
          <w:i/>
          <w:snapToGrid w:val="0"/>
        </w:rPr>
        <w:t>State Trading Concerns Act 1916</w:t>
      </w:r>
      <w:r>
        <w:rPr>
          <w:snapToGrid w:val="0"/>
        </w:rPr>
        <w:t xml:space="preserve"> </w:t>
      </w:r>
      <w:r>
        <w:t xml:space="preserve">s. 21 and 22 were deleted by the </w:t>
      </w:r>
      <w:r>
        <w:rPr>
          <w:i/>
        </w:rPr>
        <w:t>Acts Amendment (Financial Administration and Audit) Act 1985</w:t>
      </w:r>
      <w:r>
        <w:t xml:space="preserve"> s. 3.</w:t>
      </w:r>
    </w:p>
    <w:p>
      <w:pPr>
        <w:pStyle w:val="nNote"/>
        <w:rPr>
          <w:iCs/>
        </w:rPr>
      </w:pPr>
      <w:r>
        <w:rPr>
          <w:vertAlign w:val="superscript"/>
        </w:rPr>
        <w:t>9</w:t>
      </w:r>
      <w:r>
        <w:tab/>
        <w:t xml:space="preserve">The </w:t>
      </w:r>
      <w:r>
        <w:rPr>
          <w:i/>
          <w:snapToGrid w:val="0"/>
        </w:rPr>
        <w:t>Employers’ Indemnity Supplementation Fund Act 1980</w:t>
      </w:r>
      <w:r>
        <w:rPr>
          <w:snapToGrid w:val="0"/>
        </w:rPr>
        <w:t xml:space="preserve"> s. 26</w:t>
      </w:r>
      <w:r>
        <w:t xml:space="preserve"> was deleted by the </w:t>
      </w:r>
      <w:r>
        <w:rPr>
          <w:i/>
        </w:rPr>
        <w:t>State Government Insurance Commission Act 1986</w:t>
      </w:r>
      <w:r>
        <w:t xml:space="preserve"> s. 46(2).</w:t>
      </w:r>
    </w:p>
    <w:p>
      <w:pPr>
        <w:pStyle w:val="nNote"/>
      </w:pPr>
      <w:r>
        <w:rPr>
          <w:vertAlign w:val="superscript"/>
        </w:rPr>
        <w:t>10</w:t>
      </w:r>
      <w:r>
        <w:rPr>
          <w:vertAlign w:val="superscript"/>
        </w:rPr>
        <w:tab/>
      </w:r>
      <w:r>
        <w:t xml:space="preserve">Under the </w:t>
      </w:r>
      <w:r>
        <w:rPr>
          <w:i/>
        </w:rPr>
        <w:t>Public Sector Management Act 1994</w:t>
      </w:r>
      <w:r>
        <w:t xml:space="preserve"> s. 112(1),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r>
        <w:t>.</w:t>
      </w:r>
    </w:p>
    <w:p>
      <w:pPr>
        <w:pStyle w:val="nNote"/>
        <w:rPr>
          <w:snapToGrid w:val="0"/>
        </w:rPr>
      </w:pPr>
      <w:r>
        <w:rPr>
          <w:vertAlign w:val="superscript"/>
        </w:rPr>
        <w:t>11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w:t>
      </w:r>
    </w:p>
    <w:p>
      <w:pPr>
        <w:pStyle w:val="nNote"/>
      </w:pPr>
      <w:r>
        <w:rPr>
          <w:snapToGrid w:val="0"/>
          <w:vertAlign w:val="superscript"/>
        </w:rPr>
        <w:t>12</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which is a term defined in the </w:t>
      </w:r>
      <w:r>
        <w:rPr>
          <w:i/>
        </w:rPr>
        <w:t>Interpretation Act 1984</w:t>
      </w:r>
      <w:r>
        <w:t xml:space="preserve">. </w:t>
      </w:r>
    </w:p>
    <w:p>
      <w:pPr>
        <w:pStyle w:val="nNote"/>
        <w:rPr>
          <w:iCs/>
          <w:snapToGrid w:val="0"/>
        </w:rPr>
      </w:pPr>
      <w:r>
        <w:rPr>
          <w:snapToGrid w:val="0"/>
          <w:vertAlign w:val="superscript"/>
        </w:rPr>
        <w:t>13</w:t>
      </w:r>
      <w:r>
        <w:rPr>
          <w:snapToGrid w:val="0"/>
        </w:rPr>
        <w:tab/>
        <w:t xml:space="preserve">Now known as the </w:t>
      </w:r>
      <w:r>
        <w:rPr>
          <w:i/>
          <w:noProof/>
          <w:snapToGrid w:val="0"/>
        </w:rPr>
        <w:t>Insurance Commission of Western Australia Act 1986</w:t>
      </w:r>
      <w:r>
        <w:rPr>
          <w:iCs/>
          <w:snapToGrid w:val="0"/>
        </w:rPr>
        <w:t>; short title changed (see note under s. 1).</w:t>
      </w:r>
    </w:p>
    <w:p>
      <w:pPr>
        <w:pStyle w:val="nNote"/>
        <w:keepNext/>
        <w:rPr>
          <w:snapToGrid w:val="0"/>
        </w:rPr>
      </w:pPr>
      <w:r>
        <w:rPr>
          <w:snapToGrid w:val="0"/>
          <w:vertAlign w:val="superscript"/>
        </w:rPr>
        <w:t>14</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spacing w:before="0"/>
        <w:rPr>
          <w:snapToGrid w:val="0"/>
        </w:rPr>
      </w:pPr>
      <w:r>
        <w:rPr>
          <w:snapToGrid w:val="0"/>
        </w:rPr>
        <w:tab/>
        <w:t>(9)</w:t>
      </w:r>
      <w:r>
        <w:rPr>
          <w:snapToGrid w:val="0"/>
        </w:rPr>
        <w:tab/>
        <w:t xml:space="preserve">Anything done before the commencement of a provision of this section, is as valid and has the same force and effect, and is to be </w:t>
      </w:r>
      <w:r>
        <w:rPr>
          <w:snapToGrid w:val="0"/>
        </w:rPr>
        <w:lastRenderedPageBreak/>
        <w:t>regarded as having always been as valid and had the same force and effect, as if that provision and section 10 of this Act had come into operation before the thing was done.</w:t>
      </w:r>
    </w:p>
    <w:p>
      <w:pPr>
        <w:pStyle w:val="BlankClose"/>
        <w:rPr>
          <w:snapToGrid w:val="0"/>
          <w:sz w:val="20"/>
        </w:rPr>
      </w:pPr>
    </w:p>
    <w:p>
      <w:pPr>
        <w:pStyle w:val="nNote"/>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Note"/>
        <w:keepNext/>
        <w:rPr>
          <w:snapToGrid w:val="0"/>
        </w:rPr>
      </w:pPr>
      <w:r>
        <w:rPr>
          <w:snapToGrid w:val="0"/>
          <w:vertAlign w:val="superscript"/>
        </w:rPr>
        <w:t>16</w:t>
      </w:r>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BlankOpen"/>
        <w:keepNext w:val="0"/>
        <w:rPr>
          <w:snapToGrid w:val="0"/>
          <w:sz w:val="20"/>
        </w:rPr>
      </w:pPr>
    </w:p>
    <w:p>
      <w:pPr>
        <w:pStyle w:val="nzHeading5"/>
        <w:spacing w:before="0"/>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BlankClose"/>
        <w:rPr>
          <w:sz w:val="20"/>
        </w:rPr>
      </w:pP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105" w:name="_Toc161403566"/>
      <w:r>
        <w:rPr>
          <w:sz w:val="28"/>
        </w:rPr>
        <w:lastRenderedPageBreak/>
        <w:t>Defined terms</w:t>
      </w:r>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assets</w:t>
      </w:r>
      <w:r>
        <w:tab/>
        <w:t>Sch. 4 cl. 1</w:t>
      </w:r>
    </w:p>
    <w:p>
      <w:pPr>
        <w:pStyle w:val="DefinedTerms"/>
      </w:pPr>
      <w:r>
        <w:t>board</w:t>
      </w:r>
      <w:r>
        <w:tab/>
        <w:t>Sch. 1 cl. 1</w:t>
      </w:r>
    </w:p>
    <w:p>
      <w:pPr>
        <w:pStyle w:val="DefinedTerms"/>
      </w:pPr>
      <w:r>
        <w:t>board of commissioners</w:t>
      </w:r>
      <w:r>
        <w:tab/>
        <w:t>3</w:t>
      </w:r>
    </w:p>
    <w:p>
      <w:pPr>
        <w:pStyle w:val="DefinedTerms"/>
      </w:pPr>
      <w:r>
        <w:t>borrow</w:t>
      </w:r>
      <w:r>
        <w:tab/>
        <w:t>3</w:t>
      </w:r>
    </w:p>
    <w:p>
      <w:pPr>
        <w:pStyle w:val="DefinedTerms"/>
      </w:pPr>
      <w:r>
        <w:t>business undertaking</w:t>
      </w:r>
      <w:r>
        <w:tab/>
        <w:t>3</w:t>
      </w:r>
    </w:p>
    <w:p>
      <w:pPr>
        <w:pStyle w:val="DefinedTerms"/>
      </w:pPr>
      <w:r>
        <w:t>commencement day</w:t>
      </w:r>
      <w:r>
        <w:tab/>
        <w:t>Sch. 4 cl. 1</w:t>
      </w:r>
    </w:p>
    <w:p>
      <w:pPr>
        <w:pStyle w:val="DefinedTerms"/>
      </w:pPr>
      <w:r>
        <w:t>Commission</w:t>
      </w:r>
      <w:r>
        <w:tab/>
        <w:t>3, 10B(3)</w:t>
      </w:r>
    </w:p>
    <w:p>
      <w:pPr>
        <w:pStyle w:val="DefinedTerms"/>
      </w:pPr>
      <w:r>
        <w:t>Commission account</w:t>
      </w:r>
      <w:r>
        <w:tab/>
        <w:t>3</w:t>
      </w:r>
    </w:p>
    <w:p>
      <w:pPr>
        <w:pStyle w:val="DefinedTerms"/>
      </w:pPr>
      <w:r>
        <w:t>commissioner</w:t>
      </w:r>
      <w:r>
        <w:tab/>
        <w:t>3</w:t>
      </w:r>
    </w:p>
    <w:p>
      <w:pPr>
        <w:pStyle w:val="DefinedTerms"/>
      </w:pPr>
      <w:r>
        <w:t>community organisation</w:t>
      </w:r>
      <w:r>
        <w:tab/>
        <w:t>3</w:t>
      </w:r>
    </w:p>
    <w:p>
      <w:pPr>
        <w:pStyle w:val="DefinedTerms"/>
      </w:pPr>
      <w:r>
        <w:t>current financial year</w:t>
      </w:r>
      <w:r>
        <w:tab/>
        <w:t>32(2)</w:t>
      </w:r>
    </w:p>
    <w:p>
      <w:pPr>
        <w:pStyle w:val="DefinedTerms"/>
      </w:pPr>
      <w:r>
        <w:t>customer</w:t>
      </w:r>
      <w:r>
        <w:tab/>
        <w:t>10B(3)</w:t>
      </w:r>
    </w:p>
    <w:p>
      <w:pPr>
        <w:pStyle w:val="DefinedTerms"/>
      </w:pPr>
      <w:r>
        <w:t>document</w:t>
      </w:r>
      <w:r>
        <w:tab/>
        <w:t>10A(4)</w:t>
      </w:r>
    </w:p>
    <w:p>
      <w:pPr>
        <w:pStyle w:val="DefinedTerms"/>
      </w:pPr>
      <w:r>
        <w:t>eligible community organisation</w:t>
      </w:r>
      <w:r>
        <w:tab/>
        <w:t>3</w:t>
      </w:r>
    </w:p>
    <w:p>
      <w:pPr>
        <w:pStyle w:val="DefinedTerms"/>
      </w:pPr>
      <w:r>
        <w:t>existing policy</w:t>
      </w:r>
      <w:r>
        <w:tab/>
        <w:t>Sch. 4 cl. 10(1)</w:t>
      </w:r>
    </w:p>
    <w:p>
      <w:pPr>
        <w:pStyle w:val="DefinedTerms"/>
      </w:pPr>
      <w:r>
        <w:t>existing re</w:t>
      </w:r>
      <w:r>
        <w:noBreakHyphen/>
        <w:t>insurance policy</w:t>
      </w:r>
      <w:r>
        <w:tab/>
        <w:t>Sch. 4 cl. 10(1)</w:t>
      </w:r>
    </w:p>
    <w:p>
      <w:pPr>
        <w:pStyle w:val="DefinedTerms"/>
      </w:pPr>
      <w:r>
        <w:t>Fund</w:t>
      </w:r>
      <w:r>
        <w:tab/>
        <w:t>3</w:t>
      </w:r>
    </w:p>
    <w:p>
      <w:pPr>
        <w:pStyle w:val="DefinedTerms"/>
      </w:pPr>
      <w:r>
        <w:t>information</w:t>
      </w:r>
      <w:r>
        <w:tab/>
        <w:t>10A(4)</w:t>
      </w:r>
    </w:p>
    <w:p>
      <w:pPr>
        <w:pStyle w:val="DefinedTerms"/>
      </w:pPr>
      <w:r>
        <w:t>insurance</w:t>
      </w:r>
      <w:r>
        <w:tab/>
        <w:t>3</w:t>
      </w:r>
    </w:p>
    <w:p>
      <w:pPr>
        <w:pStyle w:val="DefinedTerms"/>
      </w:pPr>
      <w:r>
        <w:t>insurer</w:t>
      </w:r>
      <w:r>
        <w:tab/>
        <w:t>3</w:t>
      </w:r>
    </w:p>
    <w:p>
      <w:pPr>
        <w:pStyle w:val="DefinedTerms"/>
      </w:pPr>
      <w:r>
        <w:t>liabilities</w:t>
      </w:r>
      <w:r>
        <w:tab/>
        <w:t>Sch. 4 cl. 1</w:t>
      </w:r>
    </w:p>
    <w:p>
      <w:pPr>
        <w:pStyle w:val="DefinedTerms"/>
      </w:pPr>
      <w:r>
        <w:t>managing director</w:t>
      </w:r>
      <w:r>
        <w:tab/>
        <w:t>3</w:t>
      </w:r>
    </w:p>
    <w:p>
      <w:pPr>
        <w:pStyle w:val="DefinedTerms"/>
      </w:pPr>
      <w:r>
        <w:t>MVIT</w:t>
      </w:r>
      <w:r>
        <w:tab/>
        <w:t>Sch. 4 cl. 1</w:t>
      </w:r>
    </w:p>
    <w:p>
      <w:pPr>
        <w:pStyle w:val="DefinedTerms"/>
      </w:pPr>
      <w:r>
        <w:t>officers and employees</w:t>
      </w:r>
      <w:r>
        <w:tab/>
        <w:t>14(3)</w:t>
      </w:r>
    </w:p>
    <w:p>
      <w:pPr>
        <w:pStyle w:val="DefinedTerms"/>
      </w:pPr>
      <w:r>
        <w:t>ordinary commissioner</w:t>
      </w:r>
      <w:r>
        <w:tab/>
        <w:t>Sch. 1 cl. 1</w:t>
      </w:r>
    </w:p>
    <w:p>
      <w:pPr>
        <w:pStyle w:val="DefinedTerms"/>
      </w:pPr>
      <w:r>
        <w:t>policy</w:t>
      </w:r>
      <w:r>
        <w:tab/>
        <w:t>3</w:t>
      </w:r>
    </w:p>
    <w:p>
      <w:pPr>
        <w:pStyle w:val="DefinedTerms"/>
      </w:pPr>
      <w:r>
        <w:t>prescribed period</w:t>
      </w:r>
      <w:r>
        <w:tab/>
        <w:t>Sch. 4 cl. 1</w:t>
      </w:r>
    </w:p>
    <w:p>
      <w:pPr>
        <w:pStyle w:val="DefinedTerms"/>
      </w:pPr>
      <w:r>
        <w:t>public authority</w:t>
      </w:r>
      <w:r>
        <w:tab/>
        <w:t>3</w:t>
      </w:r>
    </w:p>
    <w:p>
      <w:pPr>
        <w:pStyle w:val="DefinedTerms"/>
      </w:pPr>
      <w:r>
        <w:t>risk management</w:t>
      </w:r>
      <w:r>
        <w:tab/>
        <w:t>3</w:t>
      </w:r>
    </w:p>
    <w:p>
      <w:pPr>
        <w:pStyle w:val="DefinedTerms"/>
      </w:pPr>
      <w:r>
        <w:t>SGIO</w:t>
      </w:r>
      <w:r>
        <w:tab/>
        <w:t>Sch. 4 cl. 1</w:t>
      </w:r>
    </w:p>
    <w:p>
      <w:pPr>
        <w:pStyle w:val="DefinedTerms"/>
      </w:pPr>
      <w:r>
        <w:t xml:space="preserve">staff </w:t>
      </w:r>
      <w:r>
        <w:tab/>
        <w:t>10A(4)</w:t>
      </w:r>
    </w:p>
    <w:p>
      <w:pPr>
        <w:pStyle w:val="DefinedTerms"/>
      </w:pPr>
      <w:r>
        <w:t>surplus</w:t>
      </w:r>
      <w:r>
        <w:tab/>
        <w:t>18(5)</w:t>
      </w:r>
    </w:p>
    <w:p>
      <w:pPr>
        <w:pStyle w:val="DefinedTerms"/>
      </w:pPr>
      <w:r>
        <w:t>Third Party Insurance Act</w:t>
      </w:r>
      <w:r>
        <w:tab/>
        <w:t>Sch. 4 cl. 1</w:t>
      </w:r>
    </w:p>
    <w:p>
      <w:pPr>
        <w:pStyle w:val="DefinedTerms"/>
      </w:pPr>
      <w:r>
        <w:t>Treasurer</w:t>
      </w:r>
      <w:r>
        <w:tab/>
        <w:t>3</w:t>
      </w:r>
    </w:p>
    <w:p>
      <w:pPr>
        <w:pStyle w:val="DefinedTerms"/>
      </w:pPr>
      <w:r>
        <w:t>WC&amp;IM Act</w:t>
      </w:r>
      <w:r>
        <w:tab/>
        <w:t>44</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2DBEABD" w14:textId="7B67CA76" w:rsidR="00000000" w:rsidRDefault="009323B5">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2F50C5">
                        <w:rPr>
                          <w:sz w:val="16"/>
                        </w:rPr>
                        <w:t>2023</w:t>
                      </w:r>
                      <w:r>
                        <w:rPr>
                          <w:sz w:val="16"/>
                        </w:rPr>
                        <w:fldChar w:fldCharType="end"/>
                      </w:r>
                      <w:r>
                        <w:rPr>
                          <w:sz w:val="16"/>
                        </w:rPr>
                        <w:t>.</w:t>
                      </w:r>
                    </w:p>
                    <w:p w14:paraId="69C911E0" w14:textId="77777777" w:rsidR="00000000" w:rsidRDefault="009323B5">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1BFA793" w14:textId="4317C5E8" w:rsidR="00000000" w:rsidRDefault="009323B5">
                      <w:pPr>
                        <w:ind w:left="2835" w:right="2268"/>
                        <w:rPr>
                          <w:sz w:val="16"/>
                        </w:rPr>
                      </w:pPr>
                      <w:r>
                        <w:rPr>
                          <w:sz w:val="16"/>
                        </w:rPr>
                        <w:t>Attribute work as</w:t>
                      </w:r>
                      <w:r>
                        <w:rPr>
                          <w:sz w:val="16"/>
                        </w:rPr>
                        <w:t xml:space="preserve">: © State of Western Australia </w:t>
                      </w:r>
                      <w:r>
                        <w:rPr>
                          <w:sz w:val="16"/>
                        </w:rPr>
                        <w:fldChar w:fldCharType="begin"/>
                      </w:r>
                      <w:r>
                        <w:rPr>
                          <w:sz w:val="16"/>
                        </w:rPr>
                        <w:instrText xml:space="preserve"> DOCPROPERTY CommencementYear</w:instrText>
                      </w:r>
                      <w:r>
                        <w:rPr>
                          <w:sz w:val="16"/>
                        </w:rPr>
                        <w:fldChar w:fldCharType="separate"/>
                      </w:r>
                      <w:r w:rsidR="002F50C5">
                        <w:rPr>
                          <w:sz w:val="16"/>
                        </w:rPr>
                        <w:t>2023</w:t>
                      </w:r>
                      <w:r>
                        <w:rPr>
                          <w:sz w:val="16"/>
                        </w:rPr>
                        <w:fldChar w:fldCharType="end"/>
                      </w:r>
                      <w:r>
                        <w:rPr>
                          <w:sz w:val="16"/>
                        </w:rPr>
                        <w:t>.</w:t>
                      </w:r>
                    </w:p>
                    <w:p w14:paraId="108C8D25" w14:textId="77777777" w:rsidR="00000000" w:rsidRDefault="009323B5">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05-b0-02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05-b0-02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05-b0-02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05-b0-02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05-b0-02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05-b0-02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99" w:name="Schedule"/>
    <w:bookmarkEnd w:id="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 w:name="DefinedTerms"/>
    <w:bookmarkEnd w:id="10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07" w:name="Coversheet"/>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B207CA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510"/>
    <w:docVar w:name="WAFER_20140117103518" w:val="RemoveTocBookmarks,RemoveLanguageTags,RemoveTrackChanges,RunningHeaders"/>
    <w:docVar w:name="WAFER_20140117103518_GUID" w:val="e2d36c26-cf38-4ea4-a8e1-457ed86f7c24"/>
    <w:docVar w:name="WAFER_20140117104411" w:val="RemoveTocBookmarks,RemoveLanguageTags,RemoveTrackChanges,RunningHeaders"/>
    <w:docVar w:name="WAFER_20140117104411_GUID" w:val="b1389d00-38b9-4403-a7f5-ca61641d98a8"/>
    <w:docVar w:name="WAFER_20140130094753" w:val="RemoveTocBookmarks,RemoveUnusedBookmarks,RemoveLanguageTags,UsedStyles,ResetPageSize,UpdateArrangement"/>
    <w:docVar w:name="WAFER_20140130094753_GUID" w:val="30cf4d68-7c06-4686-901e-b17421fe5210"/>
    <w:docVar w:name="WAFER_20140130094759" w:val="RemoveTocBookmarks,RunningHeaders"/>
    <w:docVar w:name="WAFER_20140130094759_GUID" w:val="4366e8da-00ed-4697-a698-78f37468f6d7"/>
    <w:docVar w:name="WAFER_20140306135853" w:val="RemoveTocBookmarks,RemoveUnusedBookmarks,RemoveLanguageTags,UsedStyles,ResetPageSize"/>
    <w:docVar w:name="WAFER_20140306135853_GUID" w:val="9939f06a-e94f-48ca-9517-3ca3d3747df1"/>
    <w:docVar w:name="WAFER_20140306140634" w:val="RemoveTocBookmarks,RunningHeaders"/>
    <w:docVar w:name="WAFER_20140306140634_GUID" w:val="907391db-0f3f-47a1-b1c0-8c44f2c97f08"/>
    <w:docVar w:name="WAFER_20150518114350" w:val="ResetPageSize,UpdateArrangement,UpdateNTable"/>
    <w:docVar w:name="WAFER_20150518114350_GUID" w:val="18e9074d-b312-4f65-8ea4-2e53ac399353"/>
    <w:docVar w:name="WAFER_20151111125658" w:val="UpdateStyles,UsedStyles"/>
    <w:docVar w:name="WAFER_20151111125658_GUID" w:val="44139de5-0522-411d-bd40-521f13cd16bd"/>
    <w:docVar w:name="WAFER_20160105094113" w:val="RemoveTocBookmarks,RemoveUnusedBookmarks,RemoveLanguageTags,UsedStyles,ResetPageSize,RemoveTrackChanges,RemoveCustomizations"/>
    <w:docVar w:name="WAFER_20160105094113_GUID" w:val="73df046a-033d-494a-a313-f2f5c03489a0"/>
    <w:docVar w:name="WAFER_20160323143457" w:val="RemoveTocBookmarks,RemoveUnusedBookmarks,RemoveLanguageTags,UsedStyles,RemoveTrackChanges"/>
    <w:docVar w:name="WAFER_20160323143457_GUID" w:val="b3bfc304-bb1d-4267-ae5c-fdb7b9a6ef3d"/>
    <w:docVar w:name="WAFER_20200108164343" w:val="RemoveTocBookmarks,RemoveUnusedBookmarks,RemoveLanguageTags,ResetPageSize,RunningHeaders,UpdateStyles,UsedStyles"/>
    <w:docVar w:name="WAFER_20200108164343_GUID" w:val="17b06184-8ab7-4496-a1ef-9d40c923f599"/>
    <w:docVar w:name="WAFER_2020021314484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4849_GUID" w:val="02676c7e-6929-4b65-83e1-72a68e41f271"/>
    <w:docVar w:name="WAFER_202310201351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0135145_GUID" w:val="f010e124-3e85-483e-8fc8-a91569813315"/>
    <w:docVar w:name="WAFER_202312221127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2733_GUID" w:val="c47c0488-4520-4cd6-b5d5-cda3888cb8bf"/>
    <w:docVar w:name="WAFER_202403141625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4162510_GUID" w:val="7291db79-0e10-4ada-9b76-5fe747d16a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93A67632-B509-4080-9FA6-3F984BD8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6973-24D4-4C52-B03D-7ECB9835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16212</Words>
  <Characters>79278</Characters>
  <Application>Microsoft Office Word</Application>
  <DocSecurity>0</DocSecurity>
  <Lines>2142</Lines>
  <Paragraphs>1136</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94354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1986 - 05-b0-02</dc:title>
  <dc:subject/>
  <dc:creator/>
  <cp:keywords/>
  <dc:description/>
  <cp:lastModifiedBy>Master Repository Process</cp:lastModifiedBy>
  <cp:revision>4</cp:revision>
  <cp:lastPrinted>2016-08-31T08:39:00Z</cp:lastPrinted>
  <dcterms:created xsi:type="dcterms:W3CDTF">2024-03-19T06:03:00Z</dcterms:created>
  <dcterms:modified xsi:type="dcterms:W3CDTF">2024-03-19T06:03:00Z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DocumentType">
    <vt:lpwstr>Act</vt:lpwstr>
  </property>
  <property fmtid="{D5CDD505-2E9C-101B-9397-08002B2CF9AE}" pid="4" name="OwlsUID">
    <vt:i4>775</vt:i4>
  </property>
  <property fmtid="{D5CDD505-2E9C-101B-9397-08002B2CF9AE}" pid="5" name="ReprintedAsAt">
    <vt:filetime>2016-08-30T16:00:00Z</vt:filetime>
  </property>
  <property fmtid="{D5CDD505-2E9C-101B-9397-08002B2CF9AE}" pid="6" name="ReprintNo">
    <vt:lpwstr>5</vt:lpwstr>
  </property>
  <property fmtid="{D5CDD505-2E9C-101B-9397-08002B2CF9AE}" pid="7" name="AsAtDate">
    <vt:lpwstr>24 Oct 2023</vt:lpwstr>
  </property>
  <property fmtid="{D5CDD505-2E9C-101B-9397-08002B2CF9AE}" pid="8" name="Suffix">
    <vt:lpwstr>05-b0-02</vt:lpwstr>
  </property>
  <property fmtid="{D5CDD505-2E9C-101B-9397-08002B2CF9AE}" pid="9" name="Official">
    <vt:lpwstr/>
  </property>
  <property fmtid="{D5CDD505-2E9C-101B-9397-08002B2CF9AE}" pid="10" name="CommencementDate">
    <vt:lpwstr>20231024</vt:lpwstr>
  </property>
  <property fmtid="{D5CDD505-2E9C-101B-9397-08002B2CF9AE}" pid="11" name="CommencementYear">
    <vt:lpwstr>2023</vt:lpwstr>
  </property>
</Properties>
</file>