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_Toc161752429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_Toc161752430 \h </w:instrText>
      </w:r>
      <w:r>
        <w:fldChar w:fldCharType="separate"/>
      </w:r>
      <w:r>
        <w:t>1</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_Toc161752431 \h </w:instrText>
      </w:r>
      <w:r>
        <w:fldChar w:fldCharType="separate"/>
      </w:r>
      <w:r>
        <w:t>1</w:t>
      </w:r>
      <w:r>
        <w:fldChar w:fldCharType="end"/>
      </w:r>
    </w:p>
    <w:p>
      <w:pPr>
        <w:pStyle w:val="TOC8"/>
        <w:rPr>
          <w:rFonts w:asciiTheme="minorHAnsi" w:eastAsiaTheme="minorEastAsia" w:hAnsiTheme="minorHAnsi" w:cstheme="minorBidi"/>
          <w:szCs w:val="22"/>
        </w:rPr>
      </w:pPr>
      <w:r>
        <w:t>4.</w:t>
      </w:r>
      <w:r>
        <w:tab/>
        <w:t>No contracting out</w:t>
      </w:r>
      <w:r>
        <w:tab/>
      </w:r>
      <w:r>
        <w:fldChar w:fldCharType="begin"/>
      </w:r>
      <w:r>
        <w:instrText xml:space="preserve"> PAGEREF _Toc161752432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14 — Savings and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542.</w:t>
      </w:r>
      <w:r>
        <w:tab/>
        <w:t>Terms used</w:t>
      </w:r>
      <w:r>
        <w:tab/>
      </w:r>
      <w:r>
        <w:fldChar w:fldCharType="begin"/>
      </w:r>
      <w:r>
        <w:instrText xml:space="preserve"> PAGEREF _Toc161752435 \h </w:instrText>
      </w:r>
      <w:r>
        <w:fldChar w:fldCharType="separate"/>
      </w:r>
      <w:r>
        <w:t>1</w:t>
      </w:r>
      <w:r>
        <w:fldChar w:fldCharType="end"/>
      </w:r>
    </w:p>
    <w:p>
      <w:pPr>
        <w:pStyle w:val="TOC8"/>
        <w:rPr>
          <w:rFonts w:asciiTheme="minorHAnsi" w:eastAsiaTheme="minorEastAsia" w:hAnsiTheme="minorHAnsi" w:cstheme="minorBidi"/>
          <w:szCs w:val="22"/>
        </w:rPr>
      </w:pPr>
      <w:r>
        <w:t>543.</w:t>
      </w:r>
      <w:r>
        <w:tab/>
        <w:t>Expressions used in former Act</w:t>
      </w:r>
      <w:r>
        <w:tab/>
      </w:r>
      <w:r>
        <w:fldChar w:fldCharType="begin"/>
      </w:r>
      <w:r>
        <w:instrText xml:space="preserve"> PAGEREF _Toc161752436 \h </w:instrText>
      </w:r>
      <w:r>
        <w:fldChar w:fldCharType="separate"/>
      </w:r>
      <w:r>
        <w:t>1</w:t>
      </w:r>
      <w:r>
        <w:fldChar w:fldCharType="end"/>
      </w:r>
    </w:p>
    <w:p>
      <w:pPr>
        <w:pStyle w:val="TOC8"/>
        <w:rPr>
          <w:rFonts w:asciiTheme="minorHAnsi" w:eastAsiaTheme="minorEastAsia" w:hAnsiTheme="minorHAnsi" w:cstheme="minorBidi"/>
          <w:szCs w:val="22"/>
        </w:rPr>
      </w:pPr>
      <w:r>
        <w:t>545.</w:t>
      </w:r>
      <w:r>
        <w:tab/>
      </w:r>
      <w:r>
        <w:rPr>
          <w:i/>
        </w:rPr>
        <w:t>Interpretation Act 1984</w:t>
      </w:r>
      <w:r>
        <w:t xml:space="preserve"> not affected</w:t>
      </w:r>
      <w:r>
        <w:tab/>
      </w:r>
      <w:r>
        <w:fldChar w:fldCharType="begin"/>
      </w:r>
      <w:r>
        <w:instrText xml:space="preserve"> PAGEREF _Toc161752437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Dispute resolution</w:t>
      </w:r>
    </w:p>
    <w:p>
      <w:pPr>
        <w:pStyle w:val="TOC8"/>
        <w:rPr>
          <w:rFonts w:asciiTheme="minorHAnsi" w:eastAsiaTheme="minorEastAsia" w:hAnsiTheme="minorHAnsi" w:cstheme="minorBidi"/>
          <w:szCs w:val="22"/>
        </w:rPr>
      </w:pPr>
      <w:r>
        <w:t>574.</w:t>
      </w:r>
      <w:r>
        <w:tab/>
        <w:t>Conciliation rules, arbitration rules and practice notes</w:t>
      </w:r>
      <w:r>
        <w:tab/>
      </w:r>
      <w:r>
        <w:fldChar w:fldCharType="begin"/>
      </w:r>
      <w:r>
        <w:instrText xml:space="preserve"> PAGEREF _Toc161752439 \h </w:instrText>
      </w:r>
      <w:r>
        <w:fldChar w:fldCharType="separate"/>
      </w:r>
      <w:r>
        <w:t>1</w:t>
      </w:r>
      <w:r>
        <w:fldChar w:fldCharType="end"/>
      </w:r>
    </w:p>
    <w:p>
      <w:pPr>
        <w:pStyle w:val="TOC8"/>
        <w:rPr>
          <w:rFonts w:asciiTheme="minorHAnsi" w:eastAsiaTheme="minorEastAsia" w:hAnsiTheme="minorHAnsi" w:cstheme="minorBidi"/>
          <w:szCs w:val="22"/>
        </w:rPr>
      </w:pPr>
      <w:r>
        <w:t>579.</w:t>
      </w:r>
      <w:r>
        <w:tab/>
        <w:t>Costs determination</w:t>
      </w:r>
      <w:r>
        <w:tab/>
      </w:r>
      <w:r>
        <w:fldChar w:fldCharType="begin"/>
      </w:r>
      <w:r>
        <w:instrText xml:space="preserve"> PAGEREF _Toc161752440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Administration</w:t>
      </w:r>
    </w:p>
    <w:p>
      <w:pPr>
        <w:pStyle w:val="TOC8"/>
        <w:rPr>
          <w:rFonts w:asciiTheme="minorHAnsi" w:eastAsiaTheme="minorEastAsia" w:hAnsiTheme="minorHAnsi" w:cstheme="minorBidi"/>
          <w:szCs w:val="22"/>
        </w:rPr>
      </w:pPr>
      <w:r>
        <w:t>603.</w:t>
      </w:r>
      <w:r>
        <w:tab/>
        <w:t>Term used: WorkCover Western Australia Authority</w:t>
      </w:r>
      <w:r>
        <w:tab/>
      </w:r>
      <w:r>
        <w:fldChar w:fldCharType="begin"/>
      </w:r>
      <w:r>
        <w:instrText xml:space="preserve"> PAGEREF _Toc161752442 \h </w:instrText>
      </w:r>
      <w:r>
        <w:fldChar w:fldCharType="separate"/>
      </w:r>
      <w:r>
        <w:t>1</w:t>
      </w:r>
      <w:r>
        <w:fldChar w:fldCharType="end"/>
      </w:r>
    </w:p>
    <w:p>
      <w:pPr>
        <w:pStyle w:val="TOC8"/>
        <w:rPr>
          <w:rFonts w:asciiTheme="minorHAnsi" w:eastAsiaTheme="minorEastAsia" w:hAnsiTheme="minorHAnsi" w:cstheme="minorBidi"/>
          <w:szCs w:val="22"/>
        </w:rPr>
      </w:pPr>
      <w:r>
        <w:t>606.</w:t>
      </w:r>
      <w:r>
        <w:tab/>
        <w:t>Exercise of powers of Board before commencement day</w:t>
      </w:r>
      <w:r>
        <w:tab/>
      </w:r>
      <w:r>
        <w:fldChar w:fldCharType="begin"/>
      </w:r>
      <w:r>
        <w:instrText xml:space="preserve"> PAGEREF _Toc161752443 \h </w:instrText>
      </w:r>
      <w:r>
        <w:fldChar w:fldCharType="separate"/>
      </w:r>
      <w:r>
        <w:t>1</w:t>
      </w:r>
      <w:r>
        <w:fldChar w:fldCharType="end"/>
      </w:r>
    </w:p>
    <w:p>
      <w:pPr>
        <w:pStyle w:val="TOC8"/>
        <w:rPr>
          <w:rFonts w:asciiTheme="minorHAnsi" w:eastAsiaTheme="minorEastAsia" w:hAnsiTheme="minorHAnsi" w:cstheme="minorBidi"/>
          <w:szCs w:val="22"/>
        </w:rPr>
      </w:pPr>
      <w:r>
        <w:t>609.</w:t>
      </w:r>
      <w:r>
        <w:tab/>
        <w:t>Exercise of powers of CEO before commencement day</w:t>
      </w:r>
      <w:r>
        <w:tab/>
      </w:r>
      <w:r>
        <w:fldChar w:fldCharType="begin"/>
      </w:r>
      <w:r>
        <w:instrText xml:space="preserve"> PAGEREF _Toc161752444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_Toc161752446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_Toc161752447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9504"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Workers Compensation and Injury Management Act 2023</w:t>
      </w:r>
    </w:p>
    <w:p>
      <w:pPr>
        <w:pStyle w:val="LongTitle"/>
        <w:suppressLineNumbers/>
        <w:rPr>
          <w:snapToGrid w:val="0"/>
        </w:rPr>
      </w:pPr>
      <w:bookmarkStart w:id="2" w:name="BillCited"/>
      <w:bookmarkEnd w:id="2"/>
      <w:r>
        <w:t>An Act</w:t>
      </w:r>
      <w:r>
        <w:rPr>
          <w:snapToGrid w:val="0"/>
        </w:rPr>
        <w:t> —</w:t>
      </w:r>
    </w:p>
    <w:p>
      <w:pPr>
        <w:pStyle w:val="LongTitle"/>
        <w:suppressLineNumbers/>
        <w:ind w:left="425" w:hanging="425"/>
      </w:pPr>
      <w:r>
        <w:rPr>
          <w:snapToGrid w:val="0"/>
        </w:rPr>
        <w:t>●</w:t>
      </w:r>
      <w:r>
        <w:rPr>
          <w:snapToGrid w:val="0"/>
        </w:rPr>
        <w:tab/>
      </w:r>
      <w:r>
        <w:t>to provide for employers to be liable to compensate workers who suffer injuries from employment; and</w:t>
      </w:r>
    </w:p>
    <w:p>
      <w:pPr>
        <w:pStyle w:val="LongTitle"/>
        <w:suppressLineNumbers/>
        <w:ind w:left="425" w:hanging="425"/>
      </w:pPr>
      <w:r>
        <w:rPr>
          <w:snapToGrid w:val="0"/>
        </w:rPr>
        <w:t>●</w:t>
      </w:r>
      <w:r>
        <w:rPr>
          <w:snapToGrid w:val="0"/>
        </w:rPr>
        <w:tab/>
      </w:r>
      <w:r>
        <w:t>to establish a scheme for compulsory insurance against that liability; and</w:t>
      </w:r>
    </w:p>
    <w:p>
      <w:pPr>
        <w:pStyle w:val="LongTitle"/>
        <w:suppressLineNumbers/>
        <w:ind w:left="425" w:hanging="425"/>
      </w:pPr>
      <w:r>
        <w:rPr>
          <w:snapToGrid w:val="0"/>
        </w:rPr>
        <w:t>●</w:t>
      </w:r>
      <w:r>
        <w:rPr>
          <w:snapToGrid w:val="0"/>
        </w:rPr>
        <w:tab/>
      </w:r>
      <w:r>
        <w:t>to provide for the management of those injuries; and</w:t>
      </w:r>
    </w:p>
    <w:p>
      <w:pPr>
        <w:pStyle w:val="LongTitle"/>
        <w:suppressLineNumbers/>
        <w:ind w:left="425" w:hanging="425"/>
      </w:pPr>
      <w:r>
        <w:rPr>
          <w:snapToGrid w:val="0"/>
        </w:rPr>
        <w:t>●</w:t>
      </w:r>
      <w:r>
        <w:rPr>
          <w:snapToGrid w:val="0"/>
        </w:rPr>
        <w:tab/>
      </w:r>
      <w:r>
        <w:t>to provide for the resolution of disputes; and</w:t>
      </w:r>
    </w:p>
    <w:p>
      <w:pPr>
        <w:pStyle w:val="LongTitle"/>
        <w:suppressLineNumbers/>
        <w:ind w:left="425" w:hanging="425"/>
      </w:pPr>
      <w:r>
        <w:rPr>
          <w:snapToGrid w:val="0"/>
        </w:rPr>
        <w:t>●</w:t>
      </w:r>
      <w:r>
        <w:rPr>
          <w:snapToGrid w:val="0"/>
        </w:rPr>
        <w:tab/>
      </w:r>
      <w:r>
        <w:t>to make administrative and other related provisions; and</w:t>
      </w:r>
    </w:p>
    <w:p>
      <w:pPr>
        <w:pStyle w:val="LongTitle"/>
        <w:suppressLineNumbers/>
        <w:ind w:left="425" w:hanging="425"/>
      </w:pPr>
      <w:r>
        <w:rPr>
          <w:snapToGrid w:val="0"/>
        </w:rPr>
        <w:t>●</w:t>
      </w:r>
      <w:r>
        <w:rPr>
          <w:snapToGrid w:val="0"/>
        </w:rPr>
        <w:tab/>
      </w:r>
      <w:r>
        <w:t>to make consequential and related amendments to, and repeals of, various written laws.</w:t>
      </w:r>
    </w:p>
    <w:p>
      <w:pPr>
        <w:pStyle w:val="Heading2"/>
      </w:pPr>
      <w:bookmarkStart w:id="3" w:name="_Toc161319746"/>
      <w:bookmarkStart w:id="4" w:name="_Toc161320424"/>
      <w:bookmarkStart w:id="5" w:name="_Toc161752057"/>
      <w:bookmarkStart w:id="6" w:name="_Toc161752085"/>
      <w:bookmarkStart w:id="7" w:name="_Toc161752427"/>
      <w:r>
        <w:rPr>
          <w:rStyle w:val="CharPartNo"/>
        </w:rPr>
        <w:lastRenderedPageBreak/>
        <w:t>Part 1</w:t>
      </w:r>
      <w:r>
        <w:t> — </w:t>
      </w:r>
      <w:r>
        <w:rPr>
          <w:rStyle w:val="CharPartText"/>
        </w:rPr>
        <w:t>Preliminary</w:t>
      </w:r>
      <w:bookmarkEnd w:id="3"/>
      <w:bookmarkEnd w:id="4"/>
      <w:bookmarkEnd w:id="5"/>
      <w:bookmarkEnd w:id="6"/>
      <w:bookmarkEnd w:id="7"/>
    </w:p>
    <w:p>
      <w:pPr>
        <w:pStyle w:val="Heading3"/>
      </w:pPr>
      <w:bookmarkStart w:id="8" w:name="_Toc161319747"/>
      <w:bookmarkStart w:id="9" w:name="_Toc161320425"/>
      <w:bookmarkStart w:id="10" w:name="_Toc161752058"/>
      <w:bookmarkStart w:id="11" w:name="_Toc161752086"/>
      <w:bookmarkStart w:id="12" w:name="_Toc161752428"/>
      <w:r>
        <w:rPr>
          <w:rStyle w:val="CharDivNo"/>
        </w:rPr>
        <w:t>Division 1</w:t>
      </w:r>
      <w:r>
        <w:t> — </w:t>
      </w:r>
      <w:r>
        <w:rPr>
          <w:rStyle w:val="CharDivText"/>
        </w:rPr>
        <w:t>General</w:t>
      </w:r>
      <w:bookmarkEnd w:id="8"/>
      <w:bookmarkEnd w:id="9"/>
      <w:bookmarkEnd w:id="10"/>
      <w:bookmarkEnd w:id="11"/>
      <w:bookmarkEnd w:id="12"/>
    </w:p>
    <w:p>
      <w:pPr>
        <w:pStyle w:val="Heading5"/>
      </w:pPr>
      <w:bookmarkStart w:id="13" w:name="_Toc161752429"/>
      <w:r>
        <w:rPr>
          <w:rStyle w:val="CharSectno"/>
        </w:rPr>
        <w:t>1</w:t>
      </w:r>
      <w:r>
        <w:t>.</w:t>
      </w:r>
      <w:r>
        <w:tab/>
        <w:t>Short title</w:t>
      </w:r>
      <w:bookmarkEnd w:id="13"/>
    </w:p>
    <w:p>
      <w:pPr>
        <w:pStyle w:val="Subsection"/>
      </w:pPr>
      <w:r>
        <w:tab/>
      </w:r>
      <w:r>
        <w:tab/>
        <w:t xml:space="preserve">This is the </w:t>
      </w:r>
      <w:r>
        <w:rPr>
          <w:i/>
        </w:rPr>
        <w:t>Workers Compensation and Injury Management Act 2023</w:t>
      </w:r>
      <w:r>
        <w:t>.</w:t>
      </w:r>
    </w:p>
    <w:p>
      <w:pPr>
        <w:pStyle w:val="Heading5"/>
      </w:pPr>
      <w:bookmarkStart w:id="14" w:name="_Toc161752430"/>
      <w:r>
        <w:rPr>
          <w:rStyle w:val="CharSectno"/>
        </w:rPr>
        <w:t>2</w:t>
      </w:r>
      <w:r>
        <w:t>.</w:t>
      </w:r>
      <w:r>
        <w:tab/>
        <w:t>Commencement</w:t>
      </w:r>
      <w:bookmarkEnd w:id="1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(but only Division 1) — on the day on which this Act receives the Royal Assent (</w:t>
      </w:r>
      <w:r>
        <w:rPr>
          <w:rStyle w:val="CharDefText"/>
        </w:rPr>
        <w:t>assent day</w:t>
      </w:r>
      <w:r>
        <w:t>);</w:t>
      </w:r>
    </w:p>
    <w:p>
      <w:pPr>
        <w:pStyle w:val="Indenta"/>
      </w:pPr>
      <w:r>
        <w:tab/>
        <w:t>(b)</w:t>
      </w:r>
      <w:r>
        <w:tab/>
        <w:t>Part 14 (but only Divisions 1, 4 and 10 and only sections 542, 543, 545, 574, 579, 603, 606 and 609) — on the day after assent day;</w:t>
      </w:r>
    </w:p>
    <w:p>
      <w:pPr>
        <w:pStyle w:val="Indenta"/>
      </w:pPr>
      <w:r>
        <w:tab/>
        <w:t>(c)</w:t>
      </w:r>
      <w:r>
        <w:tab/>
        <w:t xml:space="preserve">Part 15 Division 3 Subdivision 18 — </w:t>
      </w:r>
    </w:p>
    <w:p>
      <w:pPr>
        <w:pStyle w:val="Indenti"/>
      </w:pPr>
      <w:r>
        <w:tab/>
        <w:t>(i)</w:t>
      </w:r>
      <w:r>
        <w:tab/>
        <w:t xml:space="preserve">if the </w:t>
      </w:r>
      <w:r>
        <w:rPr>
          <w:i/>
        </w:rPr>
        <w:t xml:space="preserve">Criminal Law (Mental Impairment) Act 2023 </w:t>
      </w:r>
      <w:r>
        <w:t>section 188 comes into operation on or before assent day — when section 66 of this Act comes into operation; or</w:t>
      </w:r>
    </w:p>
    <w:p>
      <w:pPr>
        <w:pStyle w:val="Indenti"/>
      </w:pPr>
      <w:r>
        <w:tab/>
        <w:t>(ii)</w:t>
      </w:r>
      <w:r>
        <w:tab/>
        <w:t xml:space="preserve">otherwise — when the </w:t>
      </w:r>
      <w:r>
        <w:rPr>
          <w:i/>
        </w:rPr>
        <w:t xml:space="preserve">Criminal Law (Mental Impairment) Act 2023 </w:t>
      </w:r>
      <w:r>
        <w:t>section 188 comes into operation;</w:t>
      </w:r>
    </w:p>
    <w:p>
      <w:pPr>
        <w:pStyle w:val="Indenta"/>
      </w:pPr>
      <w:r>
        <w:tab/>
        <w:t>(d)</w:t>
      </w:r>
      <w:r>
        <w:tab/>
        <w:t>the rest of the Act — on a day fixed by proclamation, and different days may be fixed for different provisions.</w:t>
      </w:r>
    </w:p>
    <w:p>
      <w:pPr>
        <w:pStyle w:val="Heading5"/>
      </w:pPr>
      <w:bookmarkStart w:id="15" w:name="_Toc161752431"/>
      <w:r>
        <w:rPr>
          <w:rStyle w:val="CharSectno"/>
        </w:rPr>
        <w:t>3</w:t>
      </w:r>
      <w:r>
        <w:t>.</w:t>
      </w:r>
      <w:r>
        <w:tab/>
        <w:t>Act binds Crown</w:t>
      </w:r>
      <w:bookmarkEnd w:id="15"/>
    </w:p>
    <w:p>
      <w:pPr>
        <w:pStyle w:val="Subsection"/>
      </w:pPr>
      <w:r>
        <w:tab/>
      </w:r>
      <w:r>
        <w:tab/>
        <w:t>This Act binds the Crown in right of Western Australia and, so far as the legislative power of the Parliament permits, the Crown in all its other capacities.</w:t>
      </w:r>
    </w:p>
    <w:p>
      <w:pPr>
        <w:pStyle w:val="Heading5"/>
      </w:pPr>
      <w:bookmarkStart w:id="16" w:name="_Toc161752432"/>
      <w:r>
        <w:rPr>
          <w:rStyle w:val="CharSectno"/>
        </w:rPr>
        <w:lastRenderedPageBreak/>
        <w:t>4</w:t>
      </w:r>
      <w:r>
        <w:t>.</w:t>
      </w:r>
      <w:r>
        <w:tab/>
        <w:t>No contracting out</w:t>
      </w:r>
      <w:bookmarkEnd w:id="16"/>
    </w:p>
    <w:p>
      <w:pPr>
        <w:pStyle w:val="Subsection"/>
      </w:pPr>
      <w:r>
        <w:tab/>
        <w:t>(1)</w:t>
      </w:r>
      <w:r>
        <w:tab/>
        <w:t>The application of this Act or any of its provisions cannot be excluded, restricted or modified by contract, agreement or other arrangement, except as provided by this Act.</w:t>
      </w:r>
    </w:p>
    <w:p>
      <w:pPr>
        <w:pStyle w:val="Subsection"/>
      </w:pPr>
      <w:r>
        <w:tab/>
        <w:t>(2)</w:t>
      </w:r>
      <w:r>
        <w:tab/>
        <w:t>A person who enters into a contract, agreement or other arrangement that purports to exclude, restrict or modify the application of this Act or any of its provisions, except as provided by this Act, commits an offence.</w:t>
      </w:r>
    </w:p>
    <w:p>
      <w:pPr>
        <w:pStyle w:val="Penstart"/>
      </w:pPr>
      <w:r>
        <w:tab/>
        <w:t>Penalty for this subsection: a fine of $15 000.</w:t>
      </w:r>
    </w:p>
    <w:p>
      <w:pPr>
        <w:pStyle w:val="Ednotedivision"/>
      </w:pPr>
      <w:r>
        <w:t>[Div. 2</w:t>
      </w:r>
      <w:r>
        <w:noBreakHyphen/>
        <w:t>4 have not come into operation.]</w:t>
      </w:r>
    </w:p>
    <w:p>
      <w:pPr>
        <w:pStyle w:val="Ednotepart"/>
      </w:pPr>
      <w:r>
        <w:t>[Parts 2-13 have not come into operation.]</w:t>
      </w:r>
    </w:p>
    <w:p>
      <w:pPr>
        <w:pStyle w:val="Heading2"/>
      </w:pPr>
      <w:bookmarkStart w:id="17" w:name="_Toc161319752"/>
      <w:bookmarkStart w:id="18" w:name="_Toc161320430"/>
      <w:bookmarkStart w:id="19" w:name="_Toc161752063"/>
      <w:bookmarkStart w:id="20" w:name="_Toc161752091"/>
      <w:bookmarkStart w:id="21" w:name="_Toc161752433"/>
      <w:r>
        <w:rPr>
          <w:rStyle w:val="CharPartNo"/>
        </w:rPr>
        <w:lastRenderedPageBreak/>
        <w:t>Part 14</w:t>
      </w:r>
      <w:r>
        <w:t> — </w:t>
      </w:r>
      <w:r>
        <w:rPr>
          <w:rStyle w:val="CharPartText"/>
        </w:rPr>
        <w:t>Savings and transitional provisions</w:t>
      </w:r>
      <w:bookmarkEnd w:id="17"/>
      <w:bookmarkEnd w:id="18"/>
      <w:bookmarkEnd w:id="19"/>
      <w:bookmarkEnd w:id="20"/>
      <w:bookmarkEnd w:id="21"/>
    </w:p>
    <w:p>
      <w:pPr>
        <w:pStyle w:val="Heading3"/>
      </w:pPr>
      <w:bookmarkStart w:id="22" w:name="_Toc161319753"/>
      <w:bookmarkStart w:id="23" w:name="_Toc161320431"/>
      <w:bookmarkStart w:id="24" w:name="_Toc161752064"/>
      <w:bookmarkStart w:id="25" w:name="_Toc161752092"/>
      <w:bookmarkStart w:id="26" w:name="_Toc161752434"/>
      <w:r>
        <w:rPr>
          <w:rStyle w:val="CharDivNo"/>
        </w:rPr>
        <w:t>Division 1</w:t>
      </w:r>
      <w:r>
        <w:t> — </w:t>
      </w:r>
      <w:r>
        <w:rPr>
          <w:rStyle w:val="CharDivText"/>
        </w:rPr>
        <w:t>General</w:t>
      </w:r>
      <w:bookmarkEnd w:id="22"/>
      <w:bookmarkEnd w:id="23"/>
      <w:bookmarkEnd w:id="24"/>
      <w:bookmarkEnd w:id="25"/>
      <w:bookmarkEnd w:id="26"/>
    </w:p>
    <w:p>
      <w:pPr>
        <w:pStyle w:val="Heading5"/>
      </w:pPr>
      <w:bookmarkStart w:id="27" w:name="_Toc161752435"/>
      <w:r>
        <w:rPr>
          <w:rStyle w:val="CharSectno"/>
        </w:rPr>
        <w:t>542</w:t>
      </w:r>
      <w:r>
        <w:t>.</w:t>
      </w:r>
      <w:r>
        <w:tab/>
        <w:t>Terms used</w:t>
      </w:r>
      <w:bookmarkEnd w:id="27"/>
    </w:p>
    <w:p>
      <w:pPr>
        <w:pStyle w:val="Subsection"/>
      </w:pPr>
      <w:r>
        <w:tab/>
      </w:r>
      <w:r>
        <w:tab/>
        <w:t xml:space="preserve">In this Part — </w:t>
      </w:r>
    </w:p>
    <w:p>
      <w:pPr>
        <w:pStyle w:val="Defstart"/>
      </w:pPr>
      <w:r>
        <w:tab/>
      </w:r>
      <w:r>
        <w:rPr>
          <w:rStyle w:val="CharDefText"/>
        </w:rPr>
        <w:t>commencement day</w:t>
      </w:r>
      <w:r>
        <w:t xml:space="preserve"> means the day on which section 615 comes into operation;</w:t>
      </w:r>
    </w:p>
    <w:p>
      <w:pPr>
        <w:pStyle w:val="Defstart"/>
      </w:pPr>
      <w:r>
        <w:tab/>
      </w:r>
      <w:r>
        <w:rPr>
          <w:rStyle w:val="CharDefText"/>
        </w:rPr>
        <w:t>former Act</w:t>
      </w:r>
      <w:r>
        <w:t xml:space="preserve"> means the </w:t>
      </w:r>
      <w:r>
        <w:rPr>
          <w:i/>
        </w:rPr>
        <w:t>Workers’ Compensation and Injury Management Act 1981</w:t>
      </w:r>
      <w:r>
        <w:t>;</w:t>
      </w:r>
    </w:p>
    <w:p>
      <w:pPr>
        <w:pStyle w:val="Defstart"/>
      </w:pPr>
      <w:r>
        <w:tab/>
      </w:r>
      <w:r>
        <w:rPr>
          <w:rStyle w:val="CharDefText"/>
        </w:rPr>
        <w:t>pending matter</w:t>
      </w:r>
      <w:r>
        <w:t xml:space="preserve"> means a claim, assessment, proceeding, dispute or other matter commenced or arising under the former Act before commencement day that is pending, current or continuing under the former Act immediately before commencement day.</w:t>
      </w:r>
    </w:p>
    <w:p>
      <w:pPr>
        <w:pStyle w:val="Heading5"/>
      </w:pPr>
      <w:bookmarkStart w:id="28" w:name="_Toc161752436"/>
      <w:r>
        <w:rPr>
          <w:rStyle w:val="CharSectno"/>
        </w:rPr>
        <w:t>543</w:t>
      </w:r>
      <w:r>
        <w:t>.</w:t>
      </w:r>
      <w:r>
        <w:tab/>
        <w:t>Expressions used in former Act</w:t>
      </w:r>
      <w:bookmarkEnd w:id="28"/>
    </w:p>
    <w:p>
      <w:pPr>
        <w:pStyle w:val="Subsection"/>
      </w:pPr>
      <w:r>
        <w:tab/>
      </w:r>
      <w:r>
        <w:tab/>
        <w:t>An expression used in this Part, to the extent that the expression is referrable to a liability for compensation or damages that arose before commencement day, has the meaning that the expression had in the former Act.</w:t>
      </w:r>
    </w:p>
    <w:p>
      <w:pPr>
        <w:pStyle w:val="Ednotesection"/>
      </w:pPr>
      <w:r>
        <w:t>[</w:t>
      </w:r>
      <w:r>
        <w:rPr>
          <w:b/>
        </w:rPr>
        <w:t>544.</w:t>
      </w:r>
      <w:r>
        <w:tab/>
        <w:t>Has not come into operation</w:t>
      </w:r>
      <w:r>
        <w:rPr>
          <w:i w:val="0"/>
        </w:rPr>
        <w:t>.</w:t>
      </w:r>
      <w:r>
        <w:t>]</w:t>
      </w:r>
    </w:p>
    <w:p>
      <w:pPr>
        <w:pStyle w:val="Heading5"/>
      </w:pPr>
      <w:bookmarkStart w:id="29" w:name="_Toc161752437"/>
      <w:r>
        <w:rPr>
          <w:rStyle w:val="CharSectno"/>
        </w:rPr>
        <w:t>545</w:t>
      </w:r>
      <w:r>
        <w:t>.</w:t>
      </w:r>
      <w:r>
        <w:tab/>
      </w:r>
      <w:r>
        <w:rPr>
          <w:i/>
        </w:rPr>
        <w:t>Interpretation Act 1984</w:t>
      </w:r>
      <w:r>
        <w:t xml:space="preserve"> not affected</w:t>
      </w:r>
      <w:bookmarkEnd w:id="29"/>
    </w:p>
    <w:p>
      <w:pPr>
        <w:pStyle w:val="Subsection"/>
      </w:pPr>
      <w:r>
        <w:tab/>
      </w:r>
      <w:r>
        <w:tab/>
        <w:t xml:space="preserve">This Part is in addition to the provisions of the </w:t>
      </w:r>
      <w:r>
        <w:rPr>
          <w:i/>
        </w:rPr>
        <w:t>Interpretation Act 1984</w:t>
      </w:r>
      <w:r>
        <w:t xml:space="preserve"> and, unless the contrary intention appears, does not limit or otherwise affect the operation of those provisions.</w:t>
      </w:r>
    </w:p>
    <w:p>
      <w:pPr>
        <w:pStyle w:val="Ednotesection"/>
      </w:pPr>
      <w:r>
        <w:t>[</w:t>
      </w:r>
      <w:r>
        <w:rPr>
          <w:b/>
        </w:rPr>
        <w:t>546-554.</w:t>
      </w:r>
      <w:r>
        <w:tab/>
        <w:t>Have not come into operation</w:t>
      </w:r>
      <w:r>
        <w:rPr>
          <w:i w:val="0"/>
        </w:rPr>
        <w:t>.</w:t>
      </w:r>
      <w:r>
        <w:t>]</w:t>
      </w:r>
    </w:p>
    <w:p>
      <w:pPr>
        <w:pStyle w:val="Ednotedivision"/>
      </w:pPr>
      <w:r>
        <w:t>[Divisions 2-3 (s. 555</w:t>
      </w:r>
      <w:r>
        <w:noBreakHyphen/>
        <w:t>570) have not come into operation.]</w:t>
      </w:r>
    </w:p>
    <w:p>
      <w:pPr>
        <w:pStyle w:val="Heading3"/>
      </w:pPr>
      <w:bookmarkStart w:id="30" w:name="_Toc161319757"/>
      <w:bookmarkStart w:id="31" w:name="_Toc161320435"/>
      <w:bookmarkStart w:id="32" w:name="_Toc161752068"/>
      <w:bookmarkStart w:id="33" w:name="_Toc161752096"/>
      <w:bookmarkStart w:id="34" w:name="_Toc161752438"/>
      <w:r>
        <w:rPr>
          <w:rStyle w:val="CharDivNo"/>
        </w:rPr>
        <w:lastRenderedPageBreak/>
        <w:t>Division 4</w:t>
      </w:r>
      <w:r>
        <w:t> — </w:t>
      </w:r>
      <w:r>
        <w:rPr>
          <w:rStyle w:val="CharDivText"/>
        </w:rPr>
        <w:t>Dispute resolution</w:t>
      </w:r>
      <w:bookmarkEnd w:id="30"/>
      <w:bookmarkEnd w:id="31"/>
      <w:bookmarkEnd w:id="32"/>
      <w:bookmarkEnd w:id="33"/>
      <w:bookmarkEnd w:id="34"/>
    </w:p>
    <w:p>
      <w:pPr>
        <w:pStyle w:val="Ednotesection"/>
      </w:pPr>
      <w:r>
        <w:t>[</w:t>
      </w:r>
      <w:r>
        <w:rPr>
          <w:b/>
        </w:rPr>
        <w:t>571-573.</w:t>
      </w:r>
      <w:r>
        <w:tab/>
        <w:t>Have not come into operation</w:t>
      </w:r>
      <w:r>
        <w:rPr>
          <w:i w:val="0"/>
        </w:rPr>
        <w:t>.</w:t>
      </w:r>
      <w:r>
        <w:t>]</w:t>
      </w:r>
    </w:p>
    <w:p>
      <w:pPr>
        <w:pStyle w:val="Heading5"/>
      </w:pPr>
      <w:bookmarkStart w:id="35" w:name="_Toc161752439"/>
      <w:r>
        <w:rPr>
          <w:rStyle w:val="CharSectno"/>
        </w:rPr>
        <w:t>574</w:t>
      </w:r>
      <w:r>
        <w:t>.</w:t>
      </w:r>
      <w:r>
        <w:tab/>
        <w:t>Conciliation rules, arbitration rules and practice notes</w:t>
      </w:r>
      <w:bookmarkEnd w:id="35"/>
    </w:p>
    <w:p>
      <w:pPr>
        <w:pStyle w:val="Subsection"/>
      </w:pPr>
      <w:r>
        <w:tab/>
        <w:t>(1)</w:t>
      </w:r>
      <w:r>
        <w:tab/>
        <w:t>The person holding office as Director under the former Act may, before commencement day and despite section 381 not having commenced, make conciliation rules for the purposes of that section.</w:t>
      </w:r>
    </w:p>
    <w:p>
      <w:pPr>
        <w:pStyle w:val="Subsection"/>
      </w:pPr>
      <w:r>
        <w:tab/>
        <w:t>(2)</w:t>
      </w:r>
      <w:r>
        <w:tab/>
        <w:t xml:space="preserve">The conciliation rules — </w:t>
      </w:r>
    </w:p>
    <w:p>
      <w:pPr>
        <w:pStyle w:val="Indenta"/>
      </w:pPr>
      <w:r>
        <w:tab/>
        <w:t>(a)</w:t>
      </w:r>
      <w:r>
        <w:tab/>
        <w:t>come into operation on commencement day; and</w:t>
      </w:r>
    </w:p>
    <w:p>
      <w:pPr>
        <w:pStyle w:val="Indenta"/>
      </w:pPr>
      <w:r>
        <w:tab/>
        <w:t>(b)</w:t>
      </w:r>
      <w:r>
        <w:tab/>
        <w:t>are taken, for the purposes of this Act, to be made under section 381.</w:t>
      </w:r>
    </w:p>
    <w:p>
      <w:pPr>
        <w:pStyle w:val="Subsection"/>
      </w:pPr>
      <w:r>
        <w:tab/>
        <w:t>(3)</w:t>
      </w:r>
      <w:r>
        <w:tab/>
        <w:t>The person holding office as Registrar under the former Act may, before commencement day and despite section 382 not having commenced, make arbitration rules for the purposes of that section.</w:t>
      </w:r>
    </w:p>
    <w:p>
      <w:pPr>
        <w:pStyle w:val="Subsection"/>
      </w:pPr>
      <w:r>
        <w:tab/>
        <w:t>(4)</w:t>
      </w:r>
      <w:r>
        <w:tab/>
        <w:t xml:space="preserve">The arbitration rules — </w:t>
      </w:r>
    </w:p>
    <w:p>
      <w:pPr>
        <w:pStyle w:val="Indenta"/>
      </w:pPr>
      <w:r>
        <w:tab/>
        <w:t>(a)</w:t>
      </w:r>
      <w:r>
        <w:tab/>
        <w:t>come into operation on commencement day; and</w:t>
      </w:r>
    </w:p>
    <w:p>
      <w:pPr>
        <w:pStyle w:val="Indenta"/>
      </w:pPr>
      <w:r>
        <w:tab/>
        <w:t>(b)</w:t>
      </w:r>
      <w:r>
        <w:tab/>
        <w:t>are taken, for the purposes of this Act, to be made under section 382.</w:t>
      </w:r>
    </w:p>
    <w:p>
      <w:pPr>
        <w:pStyle w:val="Subsection"/>
      </w:pPr>
      <w:r>
        <w:tab/>
        <w:t>(5)</w:t>
      </w:r>
      <w:r>
        <w:tab/>
        <w:t>The person holding office as Director under the former Act may, before commencement day and despite section 384 not having commenced, issue conciliation practice notes under that section.</w:t>
      </w:r>
    </w:p>
    <w:p>
      <w:pPr>
        <w:pStyle w:val="Subsection"/>
      </w:pPr>
      <w:r>
        <w:tab/>
        <w:t>(6)</w:t>
      </w:r>
      <w:r>
        <w:tab/>
        <w:t xml:space="preserve">The conciliation practice notes — </w:t>
      </w:r>
    </w:p>
    <w:p>
      <w:pPr>
        <w:pStyle w:val="Indenta"/>
      </w:pPr>
      <w:r>
        <w:tab/>
        <w:t>(a)</w:t>
      </w:r>
      <w:r>
        <w:tab/>
        <w:t>come into operation on commencement day; and</w:t>
      </w:r>
    </w:p>
    <w:p>
      <w:pPr>
        <w:pStyle w:val="Indenta"/>
      </w:pPr>
      <w:r>
        <w:tab/>
        <w:t>(b)</w:t>
      </w:r>
      <w:r>
        <w:tab/>
        <w:t>are taken, for the purposes of this Act, to be made under section 384.</w:t>
      </w:r>
    </w:p>
    <w:p>
      <w:pPr>
        <w:pStyle w:val="Subsection"/>
      </w:pPr>
      <w:r>
        <w:tab/>
        <w:t>(7)</w:t>
      </w:r>
      <w:r>
        <w:tab/>
        <w:t xml:space="preserve">The person holding office as Registrar under the former Act may, before commencement day and despite section 384 not </w:t>
      </w:r>
      <w:r>
        <w:lastRenderedPageBreak/>
        <w:t>having commenced, issue arbitration practice notes under that section.</w:t>
      </w:r>
    </w:p>
    <w:p>
      <w:pPr>
        <w:pStyle w:val="Subsection"/>
      </w:pPr>
      <w:r>
        <w:tab/>
        <w:t>(8)</w:t>
      </w:r>
      <w:r>
        <w:tab/>
        <w:t xml:space="preserve">The arbitration practice notes — </w:t>
      </w:r>
    </w:p>
    <w:p>
      <w:pPr>
        <w:pStyle w:val="Indenta"/>
      </w:pPr>
      <w:r>
        <w:tab/>
        <w:t>(a)</w:t>
      </w:r>
      <w:r>
        <w:tab/>
        <w:t>come into operation on commencement day; and</w:t>
      </w:r>
    </w:p>
    <w:p>
      <w:pPr>
        <w:pStyle w:val="Indenta"/>
      </w:pPr>
      <w:r>
        <w:tab/>
        <w:t>(b)</w:t>
      </w:r>
      <w:r>
        <w:tab/>
        <w:t>are taken, for the purposes of this Act, to be made under section 384.</w:t>
      </w:r>
    </w:p>
    <w:p>
      <w:pPr>
        <w:pStyle w:val="Subsection"/>
      </w:pPr>
      <w:r>
        <w:tab/>
        <w:t>(9)</w:t>
      </w:r>
      <w:r>
        <w:tab/>
        <w:t xml:space="preserve">This Act and the operation of the </w:t>
      </w:r>
      <w:r>
        <w:rPr>
          <w:i/>
        </w:rPr>
        <w:t xml:space="preserve">Interpretation Act 1984 </w:t>
      </w:r>
      <w:r>
        <w:t>section 25 are modified so far as is necessary to give effect to this section.</w:t>
      </w:r>
    </w:p>
    <w:p>
      <w:pPr>
        <w:pStyle w:val="Ednotesection"/>
      </w:pPr>
      <w:r>
        <w:t>[</w:t>
      </w:r>
      <w:r>
        <w:rPr>
          <w:b/>
        </w:rPr>
        <w:t>575-578.</w:t>
      </w:r>
      <w:r>
        <w:tab/>
        <w:t>Have not come into operation</w:t>
      </w:r>
      <w:r>
        <w:rPr>
          <w:i w:val="0"/>
        </w:rPr>
        <w:t>.</w:t>
      </w:r>
      <w:r>
        <w:t>]</w:t>
      </w:r>
    </w:p>
    <w:p>
      <w:pPr>
        <w:pStyle w:val="Heading5"/>
      </w:pPr>
      <w:bookmarkStart w:id="36" w:name="_Toc161752440"/>
      <w:r>
        <w:rPr>
          <w:rStyle w:val="CharSectno"/>
        </w:rPr>
        <w:t>579</w:t>
      </w:r>
      <w:r>
        <w:t>.</w:t>
      </w:r>
      <w:r>
        <w:tab/>
        <w:t>Costs determination</w:t>
      </w:r>
      <w:bookmarkEnd w:id="36"/>
    </w:p>
    <w:p>
      <w:pPr>
        <w:pStyle w:val="Subsection"/>
      </w:pPr>
      <w:r>
        <w:tab/>
        <w:t>(1)</w:t>
      </w:r>
      <w:r>
        <w:tab/>
        <w:t>The Costs Committee established by section 269 of the former Act may, before commencement day, make a costs determination for the purposes of Part 6 Division 9 Subdivision 3.</w:t>
      </w:r>
    </w:p>
    <w:p>
      <w:pPr>
        <w:pStyle w:val="Subsection"/>
      </w:pPr>
      <w:r>
        <w:tab/>
        <w:t>(2)</w:t>
      </w:r>
      <w:r>
        <w:tab/>
        <w:t>The costs determination is taken to be a costs determination made under section 405(1).</w:t>
      </w:r>
    </w:p>
    <w:p>
      <w:pPr>
        <w:pStyle w:val="Subsection"/>
      </w:pPr>
      <w:r>
        <w:tab/>
        <w:t>(3)</w:t>
      </w:r>
      <w:r>
        <w:tab/>
        <w:t xml:space="preserve">Sections 406 and 407 (except section 407(3)) apply in relation to the making, approval and effect of the costs determination as if — </w:t>
      </w:r>
    </w:p>
    <w:p>
      <w:pPr>
        <w:pStyle w:val="Indenta"/>
      </w:pPr>
      <w:r>
        <w:tab/>
        <w:t>(a)</w:t>
      </w:r>
      <w:r>
        <w:tab/>
        <w:t>those sections had come into operation on the day after the day on which this Act receives the Royal Assent; and</w:t>
      </w:r>
    </w:p>
    <w:p>
      <w:pPr>
        <w:pStyle w:val="Indenta"/>
      </w:pPr>
      <w:r>
        <w:tab/>
        <w:t>(b)</w:t>
      </w:r>
      <w:r>
        <w:tab/>
        <w:t>references in those sections to the Costs Committee were references to the Costs Committee established by section 269 of the former Act.</w:t>
      </w:r>
    </w:p>
    <w:p>
      <w:pPr>
        <w:pStyle w:val="Subsection"/>
      </w:pPr>
      <w:r>
        <w:tab/>
        <w:t>(4)</w:t>
      </w:r>
      <w:r>
        <w:tab/>
        <w:t xml:space="preserve">An approved costs determination published in the </w:t>
      </w:r>
      <w:r>
        <w:rPr>
          <w:i/>
        </w:rPr>
        <w:t>Gazette</w:t>
      </w:r>
      <w:r>
        <w:t xml:space="preserve"> under section 407 as applied by subsection (3) of this section before commencement day takes effect on and from commencement day. </w:t>
      </w:r>
    </w:p>
    <w:p>
      <w:pPr>
        <w:pStyle w:val="Subsection"/>
      </w:pPr>
      <w:r>
        <w:lastRenderedPageBreak/>
        <w:tab/>
        <w:t>(5)</w:t>
      </w:r>
      <w:r>
        <w:tab/>
        <w:t>If an approved costs determination is not in effect on commencement day under section 407 as applied by subsections (3) and (4) of this section, the costs determination in effect immediately before commencement day under section 273 of the former Act is taken to be an approved costs determination for the purposes of Part 6 Division 9 Subdivision 3 on and from commencement day until an approved costs determination takes effect under section 407.</w:t>
      </w:r>
    </w:p>
    <w:p>
      <w:pPr>
        <w:pStyle w:val="Subsection"/>
      </w:pPr>
      <w:r>
        <w:tab/>
        <w:t>(6)</w:t>
      </w:r>
      <w:r>
        <w:tab/>
        <w:t xml:space="preserve">This Act and the operation of the </w:t>
      </w:r>
      <w:r>
        <w:rPr>
          <w:i/>
        </w:rPr>
        <w:t xml:space="preserve">Interpretation Act 1984 </w:t>
      </w:r>
      <w:r>
        <w:t>section 25 are modified so far as is necessary to give effect to this section.</w:t>
      </w:r>
    </w:p>
    <w:p>
      <w:pPr>
        <w:pStyle w:val="Ednotedivision"/>
      </w:pPr>
      <w:r>
        <w:t>[Divisions 5</w:t>
      </w:r>
      <w:r>
        <w:noBreakHyphen/>
        <w:t>9 (s. 580</w:t>
      </w:r>
      <w:r>
        <w:noBreakHyphen/>
        <w:t>602) have not come into operation.]</w:t>
      </w:r>
    </w:p>
    <w:p>
      <w:pPr>
        <w:pStyle w:val="Heading3"/>
      </w:pPr>
      <w:bookmarkStart w:id="37" w:name="_Toc161319760"/>
      <w:bookmarkStart w:id="38" w:name="_Toc161320438"/>
      <w:bookmarkStart w:id="39" w:name="_Toc161752071"/>
      <w:bookmarkStart w:id="40" w:name="_Toc161752099"/>
      <w:bookmarkStart w:id="41" w:name="_Toc161752441"/>
      <w:r>
        <w:rPr>
          <w:rStyle w:val="CharDivNo"/>
        </w:rPr>
        <w:t>Division 10</w:t>
      </w:r>
      <w:r>
        <w:t> — </w:t>
      </w:r>
      <w:r>
        <w:rPr>
          <w:rStyle w:val="CharDivText"/>
        </w:rPr>
        <w:t>Administration</w:t>
      </w:r>
      <w:bookmarkEnd w:id="37"/>
      <w:bookmarkEnd w:id="38"/>
      <w:bookmarkEnd w:id="39"/>
      <w:bookmarkEnd w:id="40"/>
      <w:bookmarkEnd w:id="41"/>
    </w:p>
    <w:p>
      <w:pPr>
        <w:pStyle w:val="Heading5"/>
      </w:pPr>
      <w:bookmarkStart w:id="42" w:name="_Toc161752442"/>
      <w:r>
        <w:rPr>
          <w:rStyle w:val="CharSectno"/>
        </w:rPr>
        <w:t>603</w:t>
      </w:r>
      <w:r>
        <w:t>.</w:t>
      </w:r>
      <w:r>
        <w:tab/>
        <w:t>Term used: WorkCover Western Australia Authority</w:t>
      </w:r>
      <w:bookmarkEnd w:id="42"/>
    </w:p>
    <w:p>
      <w:pPr>
        <w:pStyle w:val="Subsection"/>
      </w:pPr>
      <w:r>
        <w:tab/>
      </w:r>
      <w:r>
        <w:tab/>
        <w:t xml:space="preserve">In this Division — </w:t>
      </w:r>
    </w:p>
    <w:p>
      <w:pPr>
        <w:pStyle w:val="Defstart"/>
      </w:pPr>
      <w:r>
        <w:tab/>
      </w:r>
      <w:r>
        <w:rPr>
          <w:rStyle w:val="CharDefText"/>
        </w:rPr>
        <w:t>WorkCover Western Australia Authority</w:t>
      </w:r>
      <w:r>
        <w:t xml:space="preserve"> means the body referred to in section 94 of the former Act.</w:t>
      </w:r>
    </w:p>
    <w:p>
      <w:pPr>
        <w:pStyle w:val="Ednotesection"/>
      </w:pPr>
      <w:r>
        <w:t>[</w:t>
      </w:r>
      <w:r>
        <w:rPr>
          <w:b/>
        </w:rPr>
        <w:t>604, 605.</w:t>
      </w:r>
      <w:r>
        <w:tab/>
        <w:t>Have not come into operation</w:t>
      </w:r>
      <w:r>
        <w:rPr>
          <w:i w:val="0"/>
        </w:rPr>
        <w:t>.</w:t>
      </w:r>
      <w:r>
        <w:t>]</w:t>
      </w:r>
    </w:p>
    <w:p>
      <w:pPr>
        <w:pStyle w:val="Heading5"/>
      </w:pPr>
      <w:bookmarkStart w:id="43" w:name="_Toc161752443"/>
      <w:r>
        <w:rPr>
          <w:rStyle w:val="CharSectno"/>
        </w:rPr>
        <w:t>606</w:t>
      </w:r>
      <w:r>
        <w:t>.</w:t>
      </w:r>
      <w:r>
        <w:tab/>
        <w:t>Exercise of powers of Board before commencement day</w:t>
      </w:r>
      <w:bookmarkEnd w:id="43"/>
    </w:p>
    <w:p>
      <w:pPr>
        <w:pStyle w:val="Subsection"/>
      </w:pPr>
      <w:r>
        <w:tab/>
        <w:t>(1)</w:t>
      </w:r>
      <w:r>
        <w:tab/>
        <w:t>The governing body established under section 95(1) of the former Act may, before commencement day, exercise any power the Board will have under this Act on commencement day to make an instrument of a legislative or administrative character.</w:t>
      </w:r>
    </w:p>
    <w:p>
      <w:pPr>
        <w:pStyle w:val="Subsection"/>
        <w:keepLines/>
      </w:pPr>
      <w:r>
        <w:tab/>
        <w:t>(2)</w:t>
      </w:r>
      <w:r>
        <w:tab/>
        <w:t>The power may be exercised to the extent that it is necessary or expedient for the purpose of bringing this Act, or provisions of this Act, into operation, or giving full effect to this Act, or provisions of this Act, on or after commencement day.</w:t>
      </w:r>
    </w:p>
    <w:p>
      <w:pPr>
        <w:pStyle w:val="Subsection"/>
      </w:pPr>
      <w:r>
        <w:lastRenderedPageBreak/>
        <w:tab/>
        <w:t>(3)</w:t>
      </w:r>
      <w:r>
        <w:tab/>
        <w:t xml:space="preserve">If a power to make an instrument is exercised under subsection (1), the instrument — </w:t>
      </w:r>
    </w:p>
    <w:p>
      <w:pPr>
        <w:pStyle w:val="Indenta"/>
      </w:pPr>
      <w:r>
        <w:tab/>
        <w:t>(a)</w:t>
      </w:r>
      <w:r>
        <w:tab/>
        <w:t>takes effect on commencement day; and</w:t>
      </w:r>
    </w:p>
    <w:p>
      <w:pPr>
        <w:pStyle w:val="Indenta"/>
      </w:pPr>
      <w:r>
        <w:tab/>
        <w:t>(b)</w:t>
      </w:r>
      <w:r>
        <w:tab/>
        <w:t>is taken for the purposes of this Act to have been made under the relevant power conferred on the Board on commencement day.</w:t>
      </w:r>
    </w:p>
    <w:p>
      <w:pPr>
        <w:pStyle w:val="Subsection"/>
      </w:pPr>
      <w:r>
        <w:tab/>
        <w:t>(4)</w:t>
      </w:r>
      <w:r>
        <w:tab/>
        <w:t xml:space="preserve">This Act and the operation of the </w:t>
      </w:r>
      <w:r>
        <w:rPr>
          <w:i/>
        </w:rPr>
        <w:t xml:space="preserve">Interpretation Act 1984 </w:t>
      </w:r>
      <w:r>
        <w:t>section 25 are modified so far as is necessary to give effect to this section.</w:t>
      </w:r>
    </w:p>
    <w:p>
      <w:pPr>
        <w:pStyle w:val="Ednotesection"/>
      </w:pPr>
      <w:r>
        <w:t>[</w:t>
      </w:r>
      <w:r>
        <w:rPr>
          <w:b/>
        </w:rPr>
        <w:t>607, 608.</w:t>
      </w:r>
      <w:r>
        <w:tab/>
        <w:t>Have not come into operation</w:t>
      </w:r>
      <w:r>
        <w:rPr>
          <w:i w:val="0"/>
        </w:rPr>
        <w:t>.</w:t>
      </w:r>
      <w:r>
        <w:t>]</w:t>
      </w:r>
    </w:p>
    <w:p>
      <w:pPr>
        <w:pStyle w:val="Heading5"/>
      </w:pPr>
      <w:bookmarkStart w:id="44" w:name="_Toc161752444"/>
      <w:r>
        <w:rPr>
          <w:rStyle w:val="CharSectno"/>
        </w:rPr>
        <w:t>609</w:t>
      </w:r>
      <w:r>
        <w:t>.</w:t>
      </w:r>
      <w:r>
        <w:tab/>
        <w:t>Exercise of powers of CEO before commencement day</w:t>
      </w:r>
      <w:bookmarkEnd w:id="44"/>
    </w:p>
    <w:p>
      <w:pPr>
        <w:pStyle w:val="Subsection"/>
      </w:pPr>
      <w:r>
        <w:tab/>
        <w:t>(1)</w:t>
      </w:r>
      <w:r>
        <w:tab/>
        <w:t>The chief executive officer of the WorkCover Western Australia Authority may, before commencement day, exercise any power the CEO will have under this Act on commencement day to make an instrument of a legislative or administrative character.</w:t>
      </w:r>
    </w:p>
    <w:p>
      <w:pPr>
        <w:pStyle w:val="Subsection"/>
      </w:pPr>
      <w:r>
        <w:tab/>
        <w:t>(2)</w:t>
      </w:r>
      <w:r>
        <w:tab/>
        <w:t>The power may be exercised to the extent that it is necessary or expedient for the purpose of bringing this Act, or provisions of this Act, into operation, or giving full effect to this Act, or provisions of this Act, on or after commencement day.</w:t>
      </w:r>
    </w:p>
    <w:p>
      <w:pPr>
        <w:pStyle w:val="Subsection"/>
      </w:pPr>
      <w:r>
        <w:tab/>
        <w:t>(3)</w:t>
      </w:r>
      <w:r>
        <w:tab/>
        <w:t xml:space="preserve">If a power to make an instrument is exercised under subsection (1), the instrument — </w:t>
      </w:r>
    </w:p>
    <w:p>
      <w:pPr>
        <w:pStyle w:val="Indenta"/>
      </w:pPr>
      <w:r>
        <w:tab/>
        <w:t>(a)</w:t>
      </w:r>
      <w:r>
        <w:tab/>
        <w:t>takes effect on commencement day; and</w:t>
      </w:r>
    </w:p>
    <w:p>
      <w:pPr>
        <w:pStyle w:val="Indenta"/>
      </w:pPr>
      <w:r>
        <w:tab/>
        <w:t>(b)</w:t>
      </w:r>
      <w:r>
        <w:tab/>
        <w:t>is taken for the purposes of this Act to have been made under the relevant power conferred on the CEO on commencement day.</w:t>
      </w:r>
    </w:p>
    <w:p>
      <w:pPr>
        <w:pStyle w:val="Subsection"/>
      </w:pPr>
      <w:r>
        <w:tab/>
        <w:t>(4)</w:t>
      </w:r>
      <w:r>
        <w:tab/>
        <w:t xml:space="preserve">This Act and the operation of the </w:t>
      </w:r>
      <w:r>
        <w:rPr>
          <w:i/>
        </w:rPr>
        <w:t xml:space="preserve">Interpretation Act 1984 </w:t>
      </w:r>
      <w:r>
        <w:t>section 25 are modified so far as is necessary to give effect to this section.</w:t>
      </w:r>
    </w:p>
    <w:p>
      <w:pPr>
        <w:pStyle w:val="Ednotesection"/>
      </w:pPr>
      <w:r>
        <w:t>[</w:t>
      </w:r>
      <w:r>
        <w:rPr>
          <w:b/>
        </w:rPr>
        <w:t>610-614.</w:t>
      </w:r>
      <w:r>
        <w:tab/>
        <w:t>Have not come into operation</w:t>
      </w:r>
      <w:r>
        <w:rPr>
          <w:i w:val="0"/>
        </w:rPr>
        <w:t>.</w:t>
      </w:r>
      <w:r>
        <w:t>]</w:t>
      </w:r>
    </w:p>
    <w:p>
      <w:pPr>
        <w:pStyle w:val="Ednotepart"/>
      </w:pPr>
      <w:r>
        <w:lastRenderedPageBreak/>
        <w:t>[Pt. 15 has not come into operation.]</w:t>
      </w:r>
    </w:p>
    <w:p>
      <w:pPr>
        <w:pStyle w:val="CentredBaseLine"/>
        <w:jc w:val="center"/>
        <w:rPr>
          <w:sz w:val="24"/>
        </w:rPr>
        <w:sectPr>
          <w:headerReference w:type="even" r:id="rId21"/>
          <w:headerReference w:type="default" r:id="rId22"/>
          <w:endnotePr>
            <w:numFmt w:val="decimal"/>
          </w:endnotePr>
          <w:pgSz w:w="11907" w:h="16840" w:code="9"/>
          <w:pgMar w:top="2381" w:right="2410" w:bottom="3544" w:left="2410" w:header="720" w:footer="3544" w:gutter="0"/>
          <w:pgNumType w:start="1"/>
          <w:cols w:space="720"/>
          <w:titlePg/>
          <w:docGrid w:linePitch="326"/>
        </w:sectPr>
      </w:pPr>
      <w:r>
        <w:rPr>
          <w:noProof/>
          <w:sz w:val="24"/>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45" w:name="_Toc161319764"/>
      <w:bookmarkStart w:id="46" w:name="_Toc161320442"/>
      <w:bookmarkStart w:id="47" w:name="_Toc161752075"/>
      <w:bookmarkStart w:id="48" w:name="_Toc161752103"/>
      <w:bookmarkStart w:id="49" w:name="_Toc161752445"/>
      <w:r>
        <w:lastRenderedPageBreak/>
        <w:t>Notes</w:t>
      </w:r>
      <w:bookmarkEnd w:id="45"/>
      <w:bookmarkEnd w:id="46"/>
      <w:bookmarkEnd w:id="47"/>
      <w:bookmarkEnd w:id="48"/>
      <w:bookmarkEnd w:id="49"/>
    </w:p>
    <w:p>
      <w:pPr>
        <w:pStyle w:val="nStatement"/>
      </w:pPr>
      <w:r>
        <w:t xml:space="preserve">This is a compilation of the </w:t>
      </w:r>
      <w:r>
        <w:rPr>
          <w:i/>
          <w:noProof/>
        </w:rPr>
        <w:t>Workers Compensation and Injury Management Act 2023</w:t>
      </w:r>
      <w:r>
        <w:t>. For provisions that have come into operation see the compilation table. For provisions that have not yet come into operation see the uncommenced provisions table.</w:t>
      </w:r>
    </w:p>
    <w:p>
      <w:pPr>
        <w:pStyle w:val="nHeading3"/>
      </w:pPr>
      <w:bookmarkStart w:id="50" w:name="_Toc161752446"/>
      <w:r>
        <w:t>Compilation table</w:t>
      </w:r>
      <w:bookmarkEnd w:id="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Workers Compensation and Injury Management Act 2023 </w:t>
            </w:r>
            <w:r>
              <w:rPr>
                <w:noProof/>
              </w:rPr>
              <w:t>Pt. 1 Div. 1, Pt. 14 (but only Div. 1, 4 and 10 and only s. 542, 543, 545, 574, 579, 603, 606 and 609)</w:t>
            </w:r>
          </w:p>
        </w:tc>
        <w:tc>
          <w:tcPr>
            <w:tcW w:w="1134" w:type="dxa"/>
          </w:tcPr>
          <w:p>
            <w:pPr>
              <w:pStyle w:val="nTable"/>
              <w:spacing w:after="40"/>
            </w:pPr>
            <w:r>
              <w:t>21 of 2023</w:t>
            </w:r>
          </w:p>
        </w:tc>
        <w:tc>
          <w:tcPr>
            <w:tcW w:w="1134" w:type="dxa"/>
          </w:tcPr>
          <w:p>
            <w:pPr>
              <w:pStyle w:val="nTable"/>
              <w:spacing w:after="40"/>
            </w:pPr>
            <w:r>
              <w:t>24 Oct 2023</w:t>
            </w:r>
          </w:p>
        </w:tc>
        <w:tc>
          <w:tcPr>
            <w:tcW w:w="2552" w:type="dxa"/>
          </w:tcPr>
          <w:p>
            <w:pPr>
              <w:pStyle w:val="nTable"/>
              <w:spacing w:after="40"/>
              <w:rPr>
                <w:noProof/>
              </w:rPr>
            </w:pPr>
            <w:r>
              <w:rPr>
                <w:noProof/>
              </w:rPr>
              <w:t>Pt 1 Div. 1: 24 Oct 2023 (see s. 2(a));</w:t>
            </w:r>
          </w:p>
          <w:p>
            <w:pPr>
              <w:pStyle w:val="nTable"/>
              <w:spacing w:after="40"/>
              <w:rPr>
                <w:noProof/>
              </w:rPr>
            </w:pPr>
            <w:r>
              <w:rPr>
                <w:noProof/>
              </w:rPr>
              <w:t>Pt. 14 (but only Div. 1, 4 and 10 and only s. 542, 543, 545, 574, 579, 603, 606 and 609): 25 Oct 2023 (see s. 2(b))</w:t>
            </w:r>
          </w:p>
        </w:tc>
      </w:tr>
    </w:tbl>
    <w:p>
      <w:pPr>
        <w:pStyle w:val="nHeading3"/>
      </w:pPr>
      <w:bookmarkStart w:id="51" w:name="_Toc161752447"/>
      <w:r>
        <w:t>Uncommenced provisions table</w:t>
      </w:r>
      <w:bookmarkEnd w:id="5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 xml:space="preserve">Workers Compensation and Injury Management Act 2023 </w:t>
            </w:r>
            <w:r>
              <w:rPr>
                <w:noProof/>
              </w:rPr>
              <w:t>(other than Pt. 1 Div. 1, Pt. 14 Div. 1 s. 542, 543 and 545, Pt. 14 Div. 4 s. 574 and 579, Pt. 14 Div. 10 s. 603, 606 and 609)</w:t>
            </w:r>
          </w:p>
        </w:tc>
        <w:tc>
          <w:tcPr>
            <w:tcW w:w="1134" w:type="dxa"/>
            <w:tcBorders>
              <w:bottom w:val="nil"/>
            </w:tcBorders>
          </w:tcPr>
          <w:p>
            <w:pPr>
              <w:pStyle w:val="nTable"/>
              <w:spacing w:after="40"/>
            </w:pPr>
            <w:r>
              <w:t>21 of 2023</w:t>
            </w:r>
          </w:p>
        </w:tc>
        <w:tc>
          <w:tcPr>
            <w:tcW w:w="1134" w:type="dxa"/>
            <w:tcBorders>
              <w:bottom w:val="nil"/>
            </w:tcBorders>
          </w:tcPr>
          <w:p>
            <w:pPr>
              <w:pStyle w:val="nTable"/>
              <w:spacing w:after="40"/>
            </w:pPr>
            <w:r>
              <w:t>24 Oct 2023</w:t>
            </w:r>
          </w:p>
        </w:tc>
        <w:tc>
          <w:tcPr>
            <w:tcW w:w="2552" w:type="dxa"/>
            <w:tcBorders>
              <w:bottom w:val="nil"/>
            </w:tcBorders>
          </w:tcPr>
          <w:p>
            <w:pPr>
              <w:pStyle w:val="nTable"/>
              <w:spacing w:after="40"/>
              <w:rPr>
                <w:noProof/>
              </w:rPr>
            </w:pPr>
            <w:r>
              <w:rPr>
                <w:noProof/>
              </w:rPr>
              <w:t xml:space="preserve">Pt. 15 Div. 3 Subdiv. 18: </w:t>
            </w:r>
            <w:r>
              <w:t xml:space="preserve">if the </w:t>
            </w:r>
            <w:r>
              <w:rPr>
                <w:i/>
              </w:rPr>
              <w:t xml:space="preserve">Criminal Law (Mental Impairment) Act 2023 </w:t>
            </w:r>
            <w:r>
              <w:t xml:space="preserve">s. 188 comes into operation on or before assent day — when s. 66 of this Act comes into operation; or otherwise — when the </w:t>
            </w:r>
            <w:r>
              <w:rPr>
                <w:i/>
              </w:rPr>
              <w:t xml:space="preserve">Criminal Law (Mental Impairment) Act 2023 </w:t>
            </w:r>
            <w:r>
              <w:t>s. 188 comes into operation</w:t>
            </w:r>
            <w:r>
              <w:rPr>
                <w:noProof/>
              </w:rPr>
              <w:t xml:space="preserve"> (see s. 2(c));</w:t>
            </w:r>
          </w:p>
          <w:p>
            <w:pPr>
              <w:pStyle w:val="nTable"/>
              <w:spacing w:after="40"/>
            </w:pPr>
            <w:r>
              <w:rPr>
                <w:noProof/>
              </w:rPr>
              <w:t>Act other than Pt. 14 Div. 1 s. 542, 543 and 545, Pt. 14 Div. 4 s. 574 and 579, Pt. 14 Div. 10 s. 603, 606 and 609 and Pt. 15 Div. 3 Subdiv. 18: 1 Jul 2024 (see s. 2(d) and SL 2024/34 cl. 2)</w:t>
            </w:r>
          </w:p>
        </w:tc>
      </w:tr>
      <w:tr>
        <w:tc>
          <w:tcPr>
            <w:tcW w:w="2268" w:type="dxa"/>
            <w:tcBorders>
              <w:top w:val="nil"/>
            </w:tcBorders>
          </w:tcPr>
          <w:p>
            <w:pPr>
              <w:pStyle w:val="nTable"/>
              <w:spacing w:after="40"/>
              <w:rPr>
                <w:i/>
                <w:noProof/>
              </w:rPr>
            </w:pPr>
            <w:r>
              <w:rPr>
                <w:i/>
                <w:noProof/>
              </w:rPr>
              <w:lastRenderedPageBreak/>
              <w:t xml:space="preserve">Workers Compensation and Injury Management Amendment Act 2023 </w:t>
            </w:r>
            <w:r>
              <w:rPr>
                <w:noProof/>
              </w:rPr>
              <w:t>s. 4</w:t>
            </w:r>
            <w:r>
              <w:rPr>
                <w:noProof/>
              </w:rPr>
              <w:noBreakHyphen/>
              <w:t>8</w:t>
            </w:r>
          </w:p>
        </w:tc>
        <w:tc>
          <w:tcPr>
            <w:tcW w:w="1134" w:type="dxa"/>
            <w:tcBorders>
              <w:top w:val="nil"/>
            </w:tcBorders>
          </w:tcPr>
          <w:p>
            <w:pPr>
              <w:pStyle w:val="nTable"/>
              <w:spacing w:after="40"/>
            </w:pPr>
            <w:r>
              <w:t>22 of 2023</w:t>
            </w:r>
          </w:p>
        </w:tc>
        <w:tc>
          <w:tcPr>
            <w:tcW w:w="1134" w:type="dxa"/>
            <w:tcBorders>
              <w:top w:val="nil"/>
            </w:tcBorders>
          </w:tcPr>
          <w:p>
            <w:pPr>
              <w:pStyle w:val="nTable"/>
              <w:spacing w:after="40"/>
            </w:pPr>
            <w:r>
              <w:t>24 Oct 2023</w:t>
            </w:r>
          </w:p>
        </w:tc>
        <w:tc>
          <w:tcPr>
            <w:tcW w:w="2552" w:type="dxa"/>
            <w:tcBorders>
              <w:top w:val="nil"/>
            </w:tcBorders>
          </w:tcPr>
          <w:p>
            <w:pPr>
              <w:pStyle w:val="nTable"/>
              <w:spacing w:after="40"/>
              <w:rPr>
                <w:noProof/>
              </w:rPr>
            </w:pPr>
            <w:r>
              <w:rPr>
                <w:noProof/>
              </w:rPr>
              <w:t>s. 4: 1 Jul 2024</w:t>
            </w:r>
            <w:r>
              <w:t xml:space="preserve"> (see s. 2(b)</w:t>
            </w:r>
            <w:r>
              <w:rPr>
                <w:noProof/>
              </w:rPr>
              <w:t xml:space="preserve"> and SL 2024/34 cl. 2)</w:t>
            </w:r>
            <w:r>
              <w:t>;</w:t>
            </w:r>
            <w:r>
              <w:br/>
            </w:r>
            <w:r>
              <w:rPr>
                <w:noProof/>
              </w:rPr>
              <w:t>s. 5: 1 Jul 2024</w:t>
            </w:r>
            <w:r>
              <w:t xml:space="preserve"> (see s. 2(c)</w:t>
            </w:r>
            <w:r>
              <w:rPr>
                <w:noProof/>
              </w:rPr>
              <w:t xml:space="preserve"> and SL 2024/34 cl. 2)</w:t>
            </w:r>
            <w:r>
              <w:t>;</w:t>
            </w:r>
            <w:r>
              <w:br/>
            </w:r>
            <w:r>
              <w:rPr>
                <w:noProof/>
              </w:rPr>
              <w:t>s. 6: 1 Jul 2024</w:t>
            </w:r>
            <w:r>
              <w:t xml:space="preserve"> (see s. 2(d)</w:t>
            </w:r>
            <w:r>
              <w:rPr>
                <w:noProof/>
              </w:rPr>
              <w:t xml:space="preserve"> and SL 2024/34 cl. 2</w:t>
            </w:r>
            <w:r>
              <w:t>);</w:t>
            </w:r>
            <w:r>
              <w:br/>
            </w:r>
            <w:r>
              <w:rPr>
                <w:noProof/>
              </w:rPr>
              <w:t>s. 7: 1 Jul 2024</w:t>
            </w:r>
            <w:r>
              <w:t xml:space="preserve"> (see s. 2(e)</w:t>
            </w:r>
            <w:r>
              <w:rPr>
                <w:noProof/>
              </w:rPr>
              <w:t xml:space="preserve"> and SL 2024/34 cl. 2)</w:t>
            </w:r>
            <w:r>
              <w:t>;</w:t>
            </w:r>
            <w:r>
              <w:br/>
            </w:r>
            <w:r>
              <w:rPr>
                <w:noProof/>
              </w:rPr>
              <w:t>s. 8: 1 Jul 2024</w:t>
            </w:r>
            <w:r>
              <w:t xml:space="preserve"> (see s. 2(f)</w:t>
            </w:r>
            <w:r>
              <w:rPr>
                <w:noProof/>
              </w:rPr>
              <w:t xml:space="preserve"> and SL 2024/34 cl. 2)</w:t>
            </w:r>
          </w:p>
        </w:tc>
      </w:tr>
    </w:tbl>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53" w:name="_Toc161319767"/>
      <w:bookmarkStart w:id="54" w:name="_Toc161320445"/>
      <w:bookmarkStart w:id="55" w:name="_Toc161752078"/>
      <w:bookmarkStart w:id="56" w:name="_Toc161752106"/>
      <w:bookmarkStart w:id="57" w:name="_Toc161752448"/>
      <w:r>
        <w:rPr>
          <w:sz w:val="28"/>
        </w:rPr>
        <w:lastRenderedPageBreak/>
        <w:t>Defined terms</w:t>
      </w:r>
      <w:bookmarkEnd w:id="53"/>
      <w:bookmarkEnd w:id="54"/>
      <w:bookmarkEnd w:id="55"/>
      <w:bookmarkEnd w:id="56"/>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assent day</w:t>
      </w:r>
      <w:r>
        <w:tab/>
        <w:t>2</w:t>
      </w:r>
    </w:p>
    <w:p>
      <w:pPr>
        <w:pStyle w:val="DefinedTerms"/>
      </w:pPr>
      <w:r>
        <w:t>commencement day</w:t>
      </w:r>
      <w:r>
        <w:tab/>
        <w:t>542</w:t>
      </w:r>
    </w:p>
    <w:p>
      <w:pPr>
        <w:pStyle w:val="DefinedTerms"/>
      </w:pPr>
      <w:r>
        <w:t>former Act</w:t>
      </w:r>
      <w:r>
        <w:tab/>
        <w:t>542</w:t>
      </w:r>
    </w:p>
    <w:p>
      <w:pPr>
        <w:pStyle w:val="DefinedTerms"/>
      </w:pPr>
      <w:r>
        <w:t>pending matter</w:t>
      </w:r>
      <w:r>
        <w:tab/>
        <w:t>542</w:t>
      </w:r>
    </w:p>
    <w:p>
      <w:pPr>
        <w:pStyle w:val="DefinedTerms"/>
      </w:pPr>
      <w:r>
        <w:t>WorkCover Western Australia Authority</w:t>
      </w:r>
      <w:r>
        <w:tab/>
        <w:t>603</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6B6B8DD7" id="_x0000_t202" coordsize="21600,21600" o:spt="202" path="m,l,21600r21600,l21600,xe">
                <v:stroke joinstyle="miter"/>
                <v:path gradientshapeok="t" o:connecttype="rect"/>
              </v:shapetype>
              <v:shape id="Authority" o:spid="_x0000_s1026" type="#_x0000_t202" style="position:absolute;margin-left:0;margin-top:591pt;width:10pt;height:51pt;z-index:25167257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28335807" w14:textId="208FDD76" w:rsidR="00A44FB5" w:rsidRDefault="0087583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BC68F2">
                        <w:rPr>
                          <w:sz w:val="16"/>
                        </w:rPr>
                        <w:t>2023</w:t>
                      </w:r>
                      <w:r>
                        <w:rPr>
                          <w:sz w:val="16"/>
                        </w:rPr>
                        <w:fldChar w:fldCharType="end"/>
                      </w:r>
                      <w:r>
                        <w:rPr>
                          <w:sz w:val="16"/>
                        </w:rPr>
                        <w:t>.</w:t>
                      </w:r>
                    </w:p>
                    <w:p w14:paraId="54C4BFBC" w14:textId="77777777" w:rsidR="00A44FB5" w:rsidRDefault="0087583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AFC7C2C" w14:textId="77868564" w:rsidR="00A44FB5" w:rsidRDefault="0087583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BC68F2">
                        <w:rPr>
                          <w:sz w:val="16"/>
                        </w:rPr>
                        <w:t>2023</w:t>
                      </w:r>
                      <w:r>
                        <w:rPr>
                          <w:sz w:val="16"/>
                        </w:rPr>
                        <w:fldChar w:fldCharType="end"/>
                      </w:r>
                      <w:r>
                        <w:rPr>
                          <w:sz w:val="16"/>
                        </w:rPr>
                        <w:t>.</w:t>
                      </w:r>
                    </w:p>
                    <w:p w14:paraId="63345489" w14:textId="77777777" w:rsidR="00A44FB5" w:rsidRDefault="0087583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2023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8" w:name="DefinedTerms"/>
    <w:bookmarkEnd w:id="5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3"/>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2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3075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31414405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208163642" w:val="RemoveTocBookmarks,RemoveUnusedBookmarks,RemoveLanguageTags,UsedStyles,ResetPageSize"/>
    <w:docVar w:name="WAFER_20190208163642_GUID" w:val="659bd990-e8c8-4070-8037-f103d03707d0"/>
    <w:docVar w:name="WAFER_20191206110434" w:val="RemoveTocBookmarks,RemoveUnusedBookmarks,RemoveLanguageTags,ResetPageSize,RunningHeaders,UpdateStyles,UsedStyles"/>
    <w:docVar w:name="WAFER_20191206110434_GUID" w:val="7a294e70-546b-4bff-8da7-b14bb09b3248"/>
    <w:docVar w:name="WAFER_20191206114102" w:val="RemoveTocBookmarks,RemoveUnusedBookmarks,RemoveLanguageTags,ResetPageSize,RunningHeaders,UpdateStyles,UsedStyles"/>
    <w:docVar w:name="WAFER_20191206114102_GUID" w:val="c7ebeeb4-1a67-480f-a7bc-8aab31834741"/>
    <w:docVar w:name="WAFER_20191206120300" w:val="RemoveTocBookmarks,RemoveUnusedBookmarks,RemoveLanguageTags,ResetPageSize,RunningHeaders,UpdateStyles,UsedStyles"/>
    <w:docVar w:name="WAFER_20191206120300_GUID" w:val="93aace8f-776e-45b2-8bd9-1ca315d9590e"/>
    <w:docVar w:name="WAFER_20191206123320" w:val="RemoveTocBookmarks,RemoveUnusedBookmarks,RemoveLanguageTags,ResetPageSize,RunningHeaders,UpdateStyles,UsedStyles"/>
    <w:docVar w:name="WAFER_20191206123320_GUID" w:val="229e5f2d-12e3-47f9-a28f-ea94230bb409"/>
    <w:docVar w:name="WAFER_20191209134538" w:val="RemoveTocBookmarks,RemoveUnusedBookmarks,RemoveLanguageTags,ResetPageSize,RunningHeaders,UpdateStyles,UsedStyles"/>
    <w:docVar w:name="WAFER_20191209134538_GUID" w:val="6e43a1e4-a796-4b55-9a6b-a5c7cec34e71"/>
    <w:docVar w:name="WAFER_20191209155156" w:val="RemoveTocBookmarks,RemoveUnusedBookmarks,RemoveLanguageTags,ResetPageSize,RunningHeaders,UpdateStyles,UsedStyles"/>
    <w:docVar w:name="WAFER_20191209155156_GUID" w:val="796669d8-c23c-4070-9df8-22e9b744d62d"/>
    <w:docVar w:name="WAFER_20200203091858" w:val="RemoveTocBookmarks,RemoveUnusedBookmarks,RemoveLanguageTags,RemoveSmartTags,ResetPageSize,RunningHeaders,UpdateStyles,UsedStyles"/>
    <w:docVar w:name="WAFER_20200203091858_GUID" w:val="6721aec1-4305-4354-965c-e2ba9795f0e2"/>
    <w:docVar w:name="WAFER_20200522082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082818_GUID" w:val="277f6461-21d0-43c1-8dce-2c1a362507cd"/>
    <w:docVar w:name="WAFER_202006171400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7140011_GUID" w:val="2987d0bd-fb14-432b-9f92-ed10413a223c"/>
    <w:docVar w:name="WAFER_20200814115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15554_GUID" w:val="49cebde5-56cd-4a6f-95d6-c40e67e1a077"/>
    <w:docVar w:name="WAFER_20200818154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8154504_GUID" w:val="94e12253-01bb-43c6-a3c2-b6f1b121b1b5"/>
    <w:docVar w:name="WAFER_20200820160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0160944_GUID" w:val="4ec1d498-33cf-46da-bce1-f6c83f8171a6"/>
    <w:docVar w:name="WAFER_202008250852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5085213_GUID" w:val="0e6894a1-c929-4365-a564-4a1f81208ff4"/>
    <w:docVar w:name="WAFER_202008251307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5130706_GUID" w:val="f3a9b9c7-3698-44c8-a08a-ab14309f08aa"/>
    <w:docVar w:name="WAFER_20200827165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65003_GUID" w:val="fecd49c3-54ac-4e2d-8f50-8593670e1138"/>
    <w:docVar w:name="WAFER_20200921093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1093035_GUID" w:val="9d6b289b-5a63-4fca-9cd6-71b5b4a2f8df"/>
    <w:docVar w:name="WAFER_20201001120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20127_GUID" w:val="1a5958bf-6ca2-4b42-a25f-4dcf38516bad"/>
    <w:docVar w:name="WAFER_20201001173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1173559_GUID" w:val="100fc366-a7d0-41b0-ac02-70b2f04e469c"/>
    <w:docVar w:name="WAFER_202010210936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1093638_GUID" w:val="287c381c-bbfe-4bab-b80a-ecda90dd0ab9"/>
    <w:docVar w:name="WAFER_202010211148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114825_GUID" w:val="0ae66411-94a8-4c74-81ca-82bd6b49cbb5"/>
    <w:docVar w:name="WAFER_20201021123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123228_GUID" w:val="e0cfd0ed-102b-4eec-a32e-5b30f356005f"/>
    <w:docVar w:name="WAFER_20201022113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13332_GUID" w:val="98dd925c-69b7-4320-83ed-f2a44d71f144"/>
    <w:docVar w:name="WAFER_20201022140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40959_GUID" w:val="601d861a-cfc4-4805-8776-2fa3fc020723"/>
    <w:docVar w:name="WAFER_20201111144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1144437_GUID" w:val="d2e88f72-f09f-4352-a05b-2174e4b207c5"/>
    <w:docVar w:name="WAFER_2020111313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3135845_GUID" w:val="10496818-32a9-43c6-8741-b15f90f3f7e8"/>
    <w:docVar w:name="WAFER_20201116085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6085509_GUID" w:val="0f04874b-f675-4fe2-8b8c-6ad87bee433e"/>
    <w:docVar w:name="WAFER_20201117084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7084807_GUID" w:val="4c8ce708-f376-4d29-b23f-99b715e92532"/>
    <w:docVar w:name="WAFER_20201117084923"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01117084923_GUID" w:val="15e97909-1790-4684-a39c-9796b9774160"/>
    <w:docVar w:name="WAFER_20201119131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9131919_GUID" w:val="9a55b268-77d5-4a28-b4f2-145f6b178c96"/>
    <w:docVar w:name="WAFER_20210427105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7105313_GUID" w:val="1ea9d6d8-6ba1-4e3f-bf1a-3fb67d74cdb0"/>
    <w:docVar w:name="WAFER_20210524132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4132301_GUID" w:val="7abb4226-ab5b-454e-b21c-024b2ca369ba"/>
    <w:docVar w:name="WAFER_2021052610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6105208_GUID" w:val="fb78a43e-7957-4603-952e-95d147315d1c"/>
    <w:docVar w:name="WAFER_20210609104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9104232_GUID" w:val="fbb7daeb-2d69-428b-8145-053716464ed6"/>
    <w:docVar w:name="WAFER_202205261304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26130416_GUID" w:val="a11d4731-8333-4e36-bef3-13790ea61c07"/>
    <w:docVar w:name="WAFER_202207061049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6104939_GUID" w:val="d96f8530-3932-4ae3-bbd7-5aadf405d85b"/>
    <w:docVar w:name="WAFER_20220920092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20092443_GUID" w:val="ad592f40-b81c-4550-88e0-f3fa9044644f"/>
    <w:docVar w:name="WAFER_20220923141948"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BadTrackChanges.RemoveTags"/>
    <w:docVar w:name="WAFER_20220923141948_GUID" w:val="476df363-5966-44f2-a1f0-4075c7c1b3c4"/>
    <w:docVar w:name="WAFER_202209231420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3142028_GUID" w:val="a35f5757-e703-40d4-86a6-78a758f6078c"/>
    <w:docVar w:name="WAFER_202210031026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03102635_GUID" w:val="77c994b8-e55c-4d5b-b19a-092cf157f8cb"/>
    <w:docVar w:name="WAFER_202211300851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30085142_GUID" w:val="90edd418-a658-4b86-b4ca-c73a6bf72e1f"/>
    <w:docVar w:name="WAFER_20221201153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1153417_GUID" w:val="809767e2-1486-415f-99f1-f43d2271bf0d"/>
    <w:docVar w:name="WAFER_202301240952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4095256_GUID" w:val="e649da37-179d-49cb-9a90-d20484019734"/>
    <w:docVar w:name="WAFER_20230124101653"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DraftersNotes.RemoveTags"/>
    <w:docVar w:name="WAFER_20230124101653_GUID" w:val="93da3a71-5058-4c4a-9ba7-2cb26f07a0ab"/>
    <w:docVar w:name="WAFER_202305111544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511154406_GUID" w:val="ae8d580b-8d47-40c4-bc82-6b0e7a179709"/>
    <w:docVar w:name="WAFER_202310111058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LanguageTags.RemoveTags,RemoveSmartTags.RemoveTags,RemoveBadTrackChanges.RemoveTags"/>
    <w:docVar w:name="WAFER_20231011105854_GUID" w:val="ab0190ce-9e5d-482a-8ef2-0c366d9d1eea"/>
    <w:docVar w:name="WAFER_202310241440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024144006_GUID" w:val="a0fccdeb-657f-486e-b6ae-efa8c6da0802"/>
    <w:docVar w:name="WAFER_202312271443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4317_GUID" w:val="fec663c8-ad45-49f8-9696-283b9647ea26"/>
    <w:docVar w:name="WAFER_202403141440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4144053_GUID" w:val="5b2ef480-88e6-4366-bfe1-bf8d8dd2a6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753"/>
    <o:shapelayout v:ext="edit">
      <o:idmap v:ext="edit" data="1"/>
    </o:shapelayout>
  </w:shapeDefaults>
  <w:decimalSymbol w:val="."/>
  <w:listSeparator w:val=","/>
  <w15:docId w15:val="{DC2574F0-E51C-4810-960D-C77F14EB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uiPriority w:val="9"/>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uiPriority w:val="9"/>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uiPriority w:val="99"/>
    <w:pPr>
      <w:tabs>
        <w:tab w:val="num" w:pos="360"/>
      </w:tabs>
    </w:pPr>
  </w:style>
  <w:style w:type="paragraph" w:styleId="ListNumber4">
    <w:name w:val="List Number 4"/>
    <w:basedOn w:val="Normal"/>
    <w:uiPriority w:val="99"/>
    <w:pPr>
      <w:tabs>
        <w:tab w:val="num" w:pos="360"/>
      </w:tabs>
    </w:pPr>
  </w:style>
  <w:style w:type="paragraph" w:styleId="ListNumber5">
    <w:name w:val="List Number 5"/>
    <w:basedOn w:val="Normal"/>
    <w:uiPriority w:val="99"/>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styleId="ListParagraph">
    <w:name w:val="List Paragraph"/>
    <w:basedOn w:val="Normal"/>
    <w:uiPriority w:val="34"/>
    <w:qFormat/>
    <w:pPr>
      <w:ind w:left="720"/>
      <w:contextualSpacing/>
    </w:p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8211">
      <w:bodyDiv w:val="1"/>
      <w:marLeft w:val="0"/>
      <w:marRight w:val="0"/>
      <w:marTop w:val="0"/>
      <w:marBottom w:val="0"/>
      <w:divBdr>
        <w:top w:val="none" w:sz="0" w:space="0" w:color="auto"/>
        <w:left w:val="none" w:sz="0" w:space="0" w:color="auto"/>
        <w:bottom w:val="none" w:sz="0" w:space="0" w:color="auto"/>
        <w:right w:val="none" w:sz="0" w:space="0" w:color="auto"/>
      </w:divBdr>
    </w:div>
    <w:div w:id="112943505">
      <w:bodyDiv w:val="1"/>
      <w:marLeft w:val="0"/>
      <w:marRight w:val="0"/>
      <w:marTop w:val="0"/>
      <w:marBottom w:val="0"/>
      <w:divBdr>
        <w:top w:val="none" w:sz="0" w:space="0" w:color="auto"/>
        <w:left w:val="none" w:sz="0" w:space="0" w:color="auto"/>
        <w:bottom w:val="none" w:sz="0" w:space="0" w:color="auto"/>
        <w:right w:val="none" w:sz="0" w:space="0" w:color="auto"/>
      </w:divBdr>
    </w:div>
    <w:div w:id="171192193">
      <w:bodyDiv w:val="1"/>
      <w:marLeft w:val="0"/>
      <w:marRight w:val="0"/>
      <w:marTop w:val="0"/>
      <w:marBottom w:val="0"/>
      <w:divBdr>
        <w:top w:val="none" w:sz="0" w:space="0" w:color="auto"/>
        <w:left w:val="none" w:sz="0" w:space="0" w:color="auto"/>
        <w:bottom w:val="none" w:sz="0" w:space="0" w:color="auto"/>
        <w:right w:val="none" w:sz="0" w:space="0" w:color="auto"/>
      </w:divBdr>
    </w:div>
    <w:div w:id="209728131">
      <w:bodyDiv w:val="1"/>
      <w:marLeft w:val="0"/>
      <w:marRight w:val="0"/>
      <w:marTop w:val="0"/>
      <w:marBottom w:val="0"/>
      <w:divBdr>
        <w:top w:val="none" w:sz="0" w:space="0" w:color="auto"/>
        <w:left w:val="none" w:sz="0" w:space="0" w:color="auto"/>
        <w:bottom w:val="none" w:sz="0" w:space="0" w:color="auto"/>
        <w:right w:val="none" w:sz="0" w:space="0" w:color="auto"/>
      </w:divBdr>
    </w:div>
    <w:div w:id="213544663">
      <w:bodyDiv w:val="1"/>
      <w:marLeft w:val="0"/>
      <w:marRight w:val="0"/>
      <w:marTop w:val="0"/>
      <w:marBottom w:val="0"/>
      <w:divBdr>
        <w:top w:val="none" w:sz="0" w:space="0" w:color="auto"/>
        <w:left w:val="none" w:sz="0" w:space="0" w:color="auto"/>
        <w:bottom w:val="none" w:sz="0" w:space="0" w:color="auto"/>
        <w:right w:val="none" w:sz="0" w:space="0" w:color="auto"/>
      </w:divBdr>
    </w:div>
    <w:div w:id="217132680">
      <w:bodyDiv w:val="1"/>
      <w:marLeft w:val="0"/>
      <w:marRight w:val="0"/>
      <w:marTop w:val="0"/>
      <w:marBottom w:val="0"/>
      <w:divBdr>
        <w:top w:val="none" w:sz="0" w:space="0" w:color="auto"/>
        <w:left w:val="none" w:sz="0" w:space="0" w:color="auto"/>
        <w:bottom w:val="none" w:sz="0" w:space="0" w:color="auto"/>
        <w:right w:val="none" w:sz="0" w:space="0" w:color="auto"/>
      </w:divBdr>
    </w:div>
    <w:div w:id="220555688">
      <w:bodyDiv w:val="1"/>
      <w:marLeft w:val="0"/>
      <w:marRight w:val="0"/>
      <w:marTop w:val="0"/>
      <w:marBottom w:val="0"/>
      <w:divBdr>
        <w:top w:val="none" w:sz="0" w:space="0" w:color="auto"/>
        <w:left w:val="none" w:sz="0" w:space="0" w:color="auto"/>
        <w:bottom w:val="none" w:sz="0" w:space="0" w:color="auto"/>
        <w:right w:val="none" w:sz="0" w:space="0" w:color="auto"/>
      </w:divBdr>
    </w:div>
    <w:div w:id="279147465">
      <w:bodyDiv w:val="1"/>
      <w:marLeft w:val="0"/>
      <w:marRight w:val="0"/>
      <w:marTop w:val="0"/>
      <w:marBottom w:val="0"/>
      <w:divBdr>
        <w:top w:val="none" w:sz="0" w:space="0" w:color="auto"/>
        <w:left w:val="none" w:sz="0" w:space="0" w:color="auto"/>
        <w:bottom w:val="none" w:sz="0" w:space="0" w:color="auto"/>
        <w:right w:val="none" w:sz="0" w:space="0" w:color="auto"/>
      </w:divBdr>
    </w:div>
    <w:div w:id="342898700">
      <w:bodyDiv w:val="1"/>
      <w:marLeft w:val="0"/>
      <w:marRight w:val="0"/>
      <w:marTop w:val="0"/>
      <w:marBottom w:val="0"/>
      <w:divBdr>
        <w:top w:val="none" w:sz="0" w:space="0" w:color="auto"/>
        <w:left w:val="none" w:sz="0" w:space="0" w:color="auto"/>
        <w:bottom w:val="none" w:sz="0" w:space="0" w:color="auto"/>
        <w:right w:val="none" w:sz="0" w:space="0" w:color="auto"/>
      </w:divBdr>
    </w:div>
    <w:div w:id="348065509">
      <w:bodyDiv w:val="1"/>
      <w:marLeft w:val="0"/>
      <w:marRight w:val="0"/>
      <w:marTop w:val="0"/>
      <w:marBottom w:val="0"/>
      <w:divBdr>
        <w:top w:val="none" w:sz="0" w:space="0" w:color="auto"/>
        <w:left w:val="none" w:sz="0" w:space="0" w:color="auto"/>
        <w:bottom w:val="none" w:sz="0" w:space="0" w:color="auto"/>
        <w:right w:val="none" w:sz="0" w:space="0" w:color="auto"/>
      </w:divBdr>
    </w:div>
    <w:div w:id="382099768">
      <w:bodyDiv w:val="1"/>
      <w:marLeft w:val="0"/>
      <w:marRight w:val="0"/>
      <w:marTop w:val="0"/>
      <w:marBottom w:val="0"/>
      <w:divBdr>
        <w:top w:val="none" w:sz="0" w:space="0" w:color="auto"/>
        <w:left w:val="none" w:sz="0" w:space="0" w:color="auto"/>
        <w:bottom w:val="none" w:sz="0" w:space="0" w:color="auto"/>
        <w:right w:val="none" w:sz="0" w:space="0" w:color="auto"/>
      </w:divBdr>
    </w:div>
    <w:div w:id="391932596">
      <w:bodyDiv w:val="1"/>
      <w:marLeft w:val="0"/>
      <w:marRight w:val="0"/>
      <w:marTop w:val="0"/>
      <w:marBottom w:val="0"/>
      <w:divBdr>
        <w:top w:val="none" w:sz="0" w:space="0" w:color="auto"/>
        <w:left w:val="none" w:sz="0" w:space="0" w:color="auto"/>
        <w:bottom w:val="none" w:sz="0" w:space="0" w:color="auto"/>
        <w:right w:val="none" w:sz="0" w:space="0" w:color="auto"/>
      </w:divBdr>
    </w:div>
    <w:div w:id="412436903">
      <w:bodyDiv w:val="1"/>
      <w:marLeft w:val="0"/>
      <w:marRight w:val="0"/>
      <w:marTop w:val="0"/>
      <w:marBottom w:val="0"/>
      <w:divBdr>
        <w:top w:val="none" w:sz="0" w:space="0" w:color="auto"/>
        <w:left w:val="none" w:sz="0" w:space="0" w:color="auto"/>
        <w:bottom w:val="none" w:sz="0" w:space="0" w:color="auto"/>
        <w:right w:val="none" w:sz="0" w:space="0" w:color="auto"/>
      </w:divBdr>
    </w:div>
    <w:div w:id="427196256">
      <w:bodyDiv w:val="1"/>
      <w:marLeft w:val="0"/>
      <w:marRight w:val="0"/>
      <w:marTop w:val="0"/>
      <w:marBottom w:val="0"/>
      <w:divBdr>
        <w:top w:val="none" w:sz="0" w:space="0" w:color="auto"/>
        <w:left w:val="none" w:sz="0" w:space="0" w:color="auto"/>
        <w:bottom w:val="none" w:sz="0" w:space="0" w:color="auto"/>
        <w:right w:val="none" w:sz="0" w:space="0" w:color="auto"/>
      </w:divBdr>
    </w:div>
    <w:div w:id="483274643">
      <w:bodyDiv w:val="1"/>
      <w:marLeft w:val="0"/>
      <w:marRight w:val="0"/>
      <w:marTop w:val="0"/>
      <w:marBottom w:val="0"/>
      <w:divBdr>
        <w:top w:val="none" w:sz="0" w:space="0" w:color="auto"/>
        <w:left w:val="none" w:sz="0" w:space="0" w:color="auto"/>
        <w:bottom w:val="none" w:sz="0" w:space="0" w:color="auto"/>
        <w:right w:val="none" w:sz="0" w:space="0" w:color="auto"/>
      </w:divBdr>
    </w:div>
    <w:div w:id="616376897">
      <w:bodyDiv w:val="1"/>
      <w:marLeft w:val="0"/>
      <w:marRight w:val="0"/>
      <w:marTop w:val="0"/>
      <w:marBottom w:val="0"/>
      <w:divBdr>
        <w:top w:val="none" w:sz="0" w:space="0" w:color="auto"/>
        <w:left w:val="none" w:sz="0" w:space="0" w:color="auto"/>
        <w:bottom w:val="none" w:sz="0" w:space="0" w:color="auto"/>
        <w:right w:val="none" w:sz="0" w:space="0" w:color="auto"/>
      </w:divBdr>
    </w:div>
    <w:div w:id="695691489">
      <w:bodyDiv w:val="1"/>
      <w:marLeft w:val="0"/>
      <w:marRight w:val="0"/>
      <w:marTop w:val="0"/>
      <w:marBottom w:val="0"/>
      <w:divBdr>
        <w:top w:val="none" w:sz="0" w:space="0" w:color="auto"/>
        <w:left w:val="none" w:sz="0" w:space="0" w:color="auto"/>
        <w:bottom w:val="none" w:sz="0" w:space="0" w:color="auto"/>
        <w:right w:val="none" w:sz="0" w:space="0" w:color="auto"/>
      </w:divBdr>
    </w:div>
    <w:div w:id="773087821">
      <w:bodyDiv w:val="1"/>
      <w:marLeft w:val="0"/>
      <w:marRight w:val="0"/>
      <w:marTop w:val="0"/>
      <w:marBottom w:val="0"/>
      <w:divBdr>
        <w:top w:val="none" w:sz="0" w:space="0" w:color="auto"/>
        <w:left w:val="none" w:sz="0" w:space="0" w:color="auto"/>
        <w:bottom w:val="none" w:sz="0" w:space="0" w:color="auto"/>
        <w:right w:val="none" w:sz="0" w:space="0" w:color="auto"/>
      </w:divBdr>
    </w:div>
    <w:div w:id="827020558">
      <w:bodyDiv w:val="1"/>
      <w:marLeft w:val="0"/>
      <w:marRight w:val="0"/>
      <w:marTop w:val="0"/>
      <w:marBottom w:val="0"/>
      <w:divBdr>
        <w:top w:val="none" w:sz="0" w:space="0" w:color="auto"/>
        <w:left w:val="none" w:sz="0" w:space="0" w:color="auto"/>
        <w:bottom w:val="none" w:sz="0" w:space="0" w:color="auto"/>
        <w:right w:val="none" w:sz="0" w:space="0" w:color="auto"/>
      </w:divBdr>
    </w:div>
    <w:div w:id="854541808">
      <w:bodyDiv w:val="1"/>
      <w:marLeft w:val="0"/>
      <w:marRight w:val="0"/>
      <w:marTop w:val="0"/>
      <w:marBottom w:val="0"/>
      <w:divBdr>
        <w:top w:val="none" w:sz="0" w:space="0" w:color="auto"/>
        <w:left w:val="none" w:sz="0" w:space="0" w:color="auto"/>
        <w:bottom w:val="none" w:sz="0" w:space="0" w:color="auto"/>
        <w:right w:val="none" w:sz="0" w:space="0" w:color="auto"/>
      </w:divBdr>
    </w:div>
    <w:div w:id="862014575">
      <w:bodyDiv w:val="1"/>
      <w:marLeft w:val="0"/>
      <w:marRight w:val="0"/>
      <w:marTop w:val="0"/>
      <w:marBottom w:val="0"/>
      <w:divBdr>
        <w:top w:val="none" w:sz="0" w:space="0" w:color="auto"/>
        <w:left w:val="none" w:sz="0" w:space="0" w:color="auto"/>
        <w:bottom w:val="none" w:sz="0" w:space="0" w:color="auto"/>
        <w:right w:val="none" w:sz="0" w:space="0" w:color="auto"/>
      </w:divBdr>
    </w:div>
    <w:div w:id="873928404">
      <w:bodyDiv w:val="1"/>
      <w:marLeft w:val="0"/>
      <w:marRight w:val="0"/>
      <w:marTop w:val="0"/>
      <w:marBottom w:val="0"/>
      <w:divBdr>
        <w:top w:val="none" w:sz="0" w:space="0" w:color="auto"/>
        <w:left w:val="none" w:sz="0" w:space="0" w:color="auto"/>
        <w:bottom w:val="none" w:sz="0" w:space="0" w:color="auto"/>
        <w:right w:val="none" w:sz="0" w:space="0" w:color="auto"/>
      </w:divBdr>
    </w:div>
    <w:div w:id="912736207">
      <w:bodyDiv w:val="1"/>
      <w:marLeft w:val="0"/>
      <w:marRight w:val="0"/>
      <w:marTop w:val="0"/>
      <w:marBottom w:val="0"/>
      <w:divBdr>
        <w:top w:val="none" w:sz="0" w:space="0" w:color="auto"/>
        <w:left w:val="none" w:sz="0" w:space="0" w:color="auto"/>
        <w:bottom w:val="none" w:sz="0" w:space="0" w:color="auto"/>
        <w:right w:val="none" w:sz="0" w:space="0" w:color="auto"/>
      </w:divBdr>
    </w:div>
    <w:div w:id="917403708">
      <w:bodyDiv w:val="1"/>
      <w:marLeft w:val="0"/>
      <w:marRight w:val="0"/>
      <w:marTop w:val="0"/>
      <w:marBottom w:val="0"/>
      <w:divBdr>
        <w:top w:val="none" w:sz="0" w:space="0" w:color="auto"/>
        <w:left w:val="none" w:sz="0" w:space="0" w:color="auto"/>
        <w:bottom w:val="none" w:sz="0" w:space="0" w:color="auto"/>
        <w:right w:val="none" w:sz="0" w:space="0" w:color="auto"/>
      </w:divBdr>
    </w:div>
    <w:div w:id="926421781">
      <w:bodyDiv w:val="1"/>
      <w:marLeft w:val="0"/>
      <w:marRight w:val="0"/>
      <w:marTop w:val="0"/>
      <w:marBottom w:val="0"/>
      <w:divBdr>
        <w:top w:val="none" w:sz="0" w:space="0" w:color="auto"/>
        <w:left w:val="none" w:sz="0" w:space="0" w:color="auto"/>
        <w:bottom w:val="none" w:sz="0" w:space="0" w:color="auto"/>
        <w:right w:val="none" w:sz="0" w:space="0" w:color="auto"/>
      </w:divBdr>
    </w:div>
    <w:div w:id="969633874">
      <w:bodyDiv w:val="1"/>
      <w:marLeft w:val="0"/>
      <w:marRight w:val="0"/>
      <w:marTop w:val="0"/>
      <w:marBottom w:val="0"/>
      <w:divBdr>
        <w:top w:val="none" w:sz="0" w:space="0" w:color="auto"/>
        <w:left w:val="none" w:sz="0" w:space="0" w:color="auto"/>
        <w:bottom w:val="none" w:sz="0" w:space="0" w:color="auto"/>
        <w:right w:val="none" w:sz="0" w:space="0" w:color="auto"/>
      </w:divBdr>
    </w:div>
    <w:div w:id="981271586">
      <w:bodyDiv w:val="1"/>
      <w:marLeft w:val="0"/>
      <w:marRight w:val="0"/>
      <w:marTop w:val="0"/>
      <w:marBottom w:val="0"/>
      <w:divBdr>
        <w:top w:val="none" w:sz="0" w:space="0" w:color="auto"/>
        <w:left w:val="none" w:sz="0" w:space="0" w:color="auto"/>
        <w:bottom w:val="none" w:sz="0" w:space="0" w:color="auto"/>
        <w:right w:val="none" w:sz="0" w:space="0" w:color="auto"/>
      </w:divBdr>
    </w:div>
    <w:div w:id="1061294880">
      <w:bodyDiv w:val="1"/>
      <w:marLeft w:val="0"/>
      <w:marRight w:val="0"/>
      <w:marTop w:val="0"/>
      <w:marBottom w:val="0"/>
      <w:divBdr>
        <w:top w:val="none" w:sz="0" w:space="0" w:color="auto"/>
        <w:left w:val="none" w:sz="0" w:space="0" w:color="auto"/>
        <w:bottom w:val="none" w:sz="0" w:space="0" w:color="auto"/>
        <w:right w:val="none" w:sz="0" w:space="0" w:color="auto"/>
      </w:divBdr>
    </w:div>
    <w:div w:id="1064062880">
      <w:bodyDiv w:val="1"/>
      <w:marLeft w:val="0"/>
      <w:marRight w:val="0"/>
      <w:marTop w:val="0"/>
      <w:marBottom w:val="0"/>
      <w:divBdr>
        <w:top w:val="none" w:sz="0" w:space="0" w:color="auto"/>
        <w:left w:val="none" w:sz="0" w:space="0" w:color="auto"/>
        <w:bottom w:val="none" w:sz="0" w:space="0" w:color="auto"/>
        <w:right w:val="none" w:sz="0" w:space="0" w:color="auto"/>
      </w:divBdr>
    </w:div>
    <w:div w:id="1066950810">
      <w:bodyDiv w:val="1"/>
      <w:marLeft w:val="0"/>
      <w:marRight w:val="0"/>
      <w:marTop w:val="0"/>
      <w:marBottom w:val="0"/>
      <w:divBdr>
        <w:top w:val="none" w:sz="0" w:space="0" w:color="auto"/>
        <w:left w:val="none" w:sz="0" w:space="0" w:color="auto"/>
        <w:bottom w:val="none" w:sz="0" w:space="0" w:color="auto"/>
        <w:right w:val="none" w:sz="0" w:space="0" w:color="auto"/>
      </w:divBdr>
    </w:div>
    <w:div w:id="1086852378">
      <w:bodyDiv w:val="1"/>
      <w:marLeft w:val="0"/>
      <w:marRight w:val="0"/>
      <w:marTop w:val="0"/>
      <w:marBottom w:val="0"/>
      <w:divBdr>
        <w:top w:val="none" w:sz="0" w:space="0" w:color="auto"/>
        <w:left w:val="none" w:sz="0" w:space="0" w:color="auto"/>
        <w:bottom w:val="none" w:sz="0" w:space="0" w:color="auto"/>
        <w:right w:val="none" w:sz="0" w:space="0" w:color="auto"/>
      </w:divBdr>
    </w:div>
    <w:div w:id="1093740960">
      <w:bodyDiv w:val="1"/>
      <w:marLeft w:val="0"/>
      <w:marRight w:val="0"/>
      <w:marTop w:val="0"/>
      <w:marBottom w:val="0"/>
      <w:divBdr>
        <w:top w:val="none" w:sz="0" w:space="0" w:color="auto"/>
        <w:left w:val="none" w:sz="0" w:space="0" w:color="auto"/>
        <w:bottom w:val="none" w:sz="0" w:space="0" w:color="auto"/>
        <w:right w:val="none" w:sz="0" w:space="0" w:color="auto"/>
      </w:divBdr>
    </w:div>
    <w:div w:id="1224176680">
      <w:bodyDiv w:val="1"/>
      <w:marLeft w:val="0"/>
      <w:marRight w:val="0"/>
      <w:marTop w:val="0"/>
      <w:marBottom w:val="0"/>
      <w:divBdr>
        <w:top w:val="none" w:sz="0" w:space="0" w:color="auto"/>
        <w:left w:val="none" w:sz="0" w:space="0" w:color="auto"/>
        <w:bottom w:val="none" w:sz="0" w:space="0" w:color="auto"/>
        <w:right w:val="none" w:sz="0" w:space="0" w:color="auto"/>
      </w:divBdr>
    </w:div>
    <w:div w:id="1226720616">
      <w:bodyDiv w:val="1"/>
      <w:marLeft w:val="0"/>
      <w:marRight w:val="0"/>
      <w:marTop w:val="0"/>
      <w:marBottom w:val="0"/>
      <w:divBdr>
        <w:top w:val="none" w:sz="0" w:space="0" w:color="auto"/>
        <w:left w:val="none" w:sz="0" w:space="0" w:color="auto"/>
        <w:bottom w:val="none" w:sz="0" w:space="0" w:color="auto"/>
        <w:right w:val="none" w:sz="0" w:space="0" w:color="auto"/>
      </w:divBdr>
    </w:div>
    <w:div w:id="1272012262">
      <w:bodyDiv w:val="1"/>
      <w:marLeft w:val="0"/>
      <w:marRight w:val="0"/>
      <w:marTop w:val="0"/>
      <w:marBottom w:val="0"/>
      <w:divBdr>
        <w:top w:val="none" w:sz="0" w:space="0" w:color="auto"/>
        <w:left w:val="none" w:sz="0" w:space="0" w:color="auto"/>
        <w:bottom w:val="none" w:sz="0" w:space="0" w:color="auto"/>
        <w:right w:val="none" w:sz="0" w:space="0" w:color="auto"/>
      </w:divBdr>
    </w:div>
    <w:div w:id="1305696540">
      <w:bodyDiv w:val="1"/>
      <w:marLeft w:val="0"/>
      <w:marRight w:val="0"/>
      <w:marTop w:val="0"/>
      <w:marBottom w:val="0"/>
      <w:divBdr>
        <w:top w:val="none" w:sz="0" w:space="0" w:color="auto"/>
        <w:left w:val="none" w:sz="0" w:space="0" w:color="auto"/>
        <w:bottom w:val="none" w:sz="0" w:space="0" w:color="auto"/>
        <w:right w:val="none" w:sz="0" w:space="0" w:color="auto"/>
      </w:divBdr>
    </w:div>
    <w:div w:id="1308320223">
      <w:bodyDiv w:val="1"/>
      <w:marLeft w:val="0"/>
      <w:marRight w:val="0"/>
      <w:marTop w:val="0"/>
      <w:marBottom w:val="0"/>
      <w:divBdr>
        <w:top w:val="none" w:sz="0" w:space="0" w:color="auto"/>
        <w:left w:val="none" w:sz="0" w:space="0" w:color="auto"/>
        <w:bottom w:val="none" w:sz="0" w:space="0" w:color="auto"/>
        <w:right w:val="none" w:sz="0" w:space="0" w:color="auto"/>
      </w:divBdr>
    </w:div>
    <w:div w:id="1520269500">
      <w:bodyDiv w:val="1"/>
      <w:marLeft w:val="0"/>
      <w:marRight w:val="0"/>
      <w:marTop w:val="0"/>
      <w:marBottom w:val="0"/>
      <w:divBdr>
        <w:top w:val="none" w:sz="0" w:space="0" w:color="auto"/>
        <w:left w:val="none" w:sz="0" w:space="0" w:color="auto"/>
        <w:bottom w:val="none" w:sz="0" w:space="0" w:color="auto"/>
        <w:right w:val="none" w:sz="0" w:space="0" w:color="auto"/>
      </w:divBdr>
    </w:div>
    <w:div w:id="1550845344">
      <w:bodyDiv w:val="1"/>
      <w:marLeft w:val="0"/>
      <w:marRight w:val="0"/>
      <w:marTop w:val="0"/>
      <w:marBottom w:val="0"/>
      <w:divBdr>
        <w:top w:val="none" w:sz="0" w:space="0" w:color="auto"/>
        <w:left w:val="none" w:sz="0" w:space="0" w:color="auto"/>
        <w:bottom w:val="none" w:sz="0" w:space="0" w:color="auto"/>
        <w:right w:val="none" w:sz="0" w:space="0" w:color="auto"/>
      </w:divBdr>
    </w:div>
    <w:div w:id="1571426282">
      <w:bodyDiv w:val="1"/>
      <w:marLeft w:val="0"/>
      <w:marRight w:val="0"/>
      <w:marTop w:val="0"/>
      <w:marBottom w:val="0"/>
      <w:divBdr>
        <w:top w:val="none" w:sz="0" w:space="0" w:color="auto"/>
        <w:left w:val="none" w:sz="0" w:space="0" w:color="auto"/>
        <w:bottom w:val="none" w:sz="0" w:space="0" w:color="auto"/>
        <w:right w:val="none" w:sz="0" w:space="0" w:color="auto"/>
      </w:divBdr>
    </w:div>
    <w:div w:id="1631671456">
      <w:bodyDiv w:val="1"/>
      <w:marLeft w:val="0"/>
      <w:marRight w:val="0"/>
      <w:marTop w:val="0"/>
      <w:marBottom w:val="0"/>
      <w:divBdr>
        <w:top w:val="none" w:sz="0" w:space="0" w:color="auto"/>
        <w:left w:val="none" w:sz="0" w:space="0" w:color="auto"/>
        <w:bottom w:val="none" w:sz="0" w:space="0" w:color="auto"/>
        <w:right w:val="none" w:sz="0" w:space="0" w:color="auto"/>
      </w:divBdr>
    </w:div>
    <w:div w:id="1679502306">
      <w:bodyDiv w:val="1"/>
      <w:marLeft w:val="0"/>
      <w:marRight w:val="0"/>
      <w:marTop w:val="0"/>
      <w:marBottom w:val="0"/>
      <w:divBdr>
        <w:top w:val="none" w:sz="0" w:space="0" w:color="auto"/>
        <w:left w:val="none" w:sz="0" w:space="0" w:color="auto"/>
        <w:bottom w:val="none" w:sz="0" w:space="0" w:color="auto"/>
        <w:right w:val="none" w:sz="0" w:space="0" w:color="auto"/>
      </w:divBdr>
    </w:div>
    <w:div w:id="1706128070">
      <w:bodyDiv w:val="1"/>
      <w:marLeft w:val="0"/>
      <w:marRight w:val="0"/>
      <w:marTop w:val="0"/>
      <w:marBottom w:val="0"/>
      <w:divBdr>
        <w:top w:val="none" w:sz="0" w:space="0" w:color="auto"/>
        <w:left w:val="none" w:sz="0" w:space="0" w:color="auto"/>
        <w:bottom w:val="none" w:sz="0" w:space="0" w:color="auto"/>
        <w:right w:val="none" w:sz="0" w:space="0" w:color="auto"/>
      </w:divBdr>
    </w:div>
    <w:div w:id="1780221684">
      <w:bodyDiv w:val="1"/>
      <w:marLeft w:val="0"/>
      <w:marRight w:val="0"/>
      <w:marTop w:val="0"/>
      <w:marBottom w:val="0"/>
      <w:divBdr>
        <w:top w:val="none" w:sz="0" w:space="0" w:color="auto"/>
        <w:left w:val="none" w:sz="0" w:space="0" w:color="auto"/>
        <w:bottom w:val="none" w:sz="0" w:space="0" w:color="auto"/>
        <w:right w:val="none" w:sz="0" w:space="0" w:color="auto"/>
      </w:divBdr>
    </w:div>
    <w:div w:id="1801145534">
      <w:bodyDiv w:val="1"/>
      <w:marLeft w:val="0"/>
      <w:marRight w:val="0"/>
      <w:marTop w:val="0"/>
      <w:marBottom w:val="0"/>
      <w:divBdr>
        <w:top w:val="none" w:sz="0" w:space="0" w:color="auto"/>
        <w:left w:val="none" w:sz="0" w:space="0" w:color="auto"/>
        <w:bottom w:val="none" w:sz="0" w:space="0" w:color="auto"/>
        <w:right w:val="none" w:sz="0" w:space="0" w:color="auto"/>
      </w:divBdr>
    </w:div>
    <w:div w:id="1883400033">
      <w:bodyDiv w:val="1"/>
      <w:marLeft w:val="0"/>
      <w:marRight w:val="0"/>
      <w:marTop w:val="0"/>
      <w:marBottom w:val="0"/>
      <w:divBdr>
        <w:top w:val="none" w:sz="0" w:space="0" w:color="auto"/>
        <w:left w:val="none" w:sz="0" w:space="0" w:color="auto"/>
        <w:bottom w:val="none" w:sz="0" w:space="0" w:color="auto"/>
        <w:right w:val="none" w:sz="0" w:space="0" w:color="auto"/>
      </w:divBdr>
    </w:div>
    <w:div w:id="1889803908">
      <w:bodyDiv w:val="1"/>
      <w:marLeft w:val="0"/>
      <w:marRight w:val="0"/>
      <w:marTop w:val="0"/>
      <w:marBottom w:val="0"/>
      <w:divBdr>
        <w:top w:val="none" w:sz="0" w:space="0" w:color="auto"/>
        <w:left w:val="none" w:sz="0" w:space="0" w:color="auto"/>
        <w:bottom w:val="none" w:sz="0" w:space="0" w:color="auto"/>
        <w:right w:val="none" w:sz="0" w:space="0" w:color="auto"/>
      </w:divBdr>
    </w:div>
    <w:div w:id="1899776774">
      <w:bodyDiv w:val="1"/>
      <w:marLeft w:val="0"/>
      <w:marRight w:val="0"/>
      <w:marTop w:val="0"/>
      <w:marBottom w:val="0"/>
      <w:divBdr>
        <w:top w:val="none" w:sz="0" w:space="0" w:color="auto"/>
        <w:left w:val="none" w:sz="0" w:space="0" w:color="auto"/>
        <w:bottom w:val="none" w:sz="0" w:space="0" w:color="auto"/>
        <w:right w:val="none" w:sz="0" w:space="0" w:color="auto"/>
      </w:divBdr>
    </w:div>
    <w:div w:id="1931422656">
      <w:bodyDiv w:val="1"/>
      <w:marLeft w:val="0"/>
      <w:marRight w:val="0"/>
      <w:marTop w:val="0"/>
      <w:marBottom w:val="0"/>
      <w:divBdr>
        <w:top w:val="none" w:sz="0" w:space="0" w:color="auto"/>
        <w:left w:val="none" w:sz="0" w:space="0" w:color="auto"/>
        <w:bottom w:val="none" w:sz="0" w:space="0" w:color="auto"/>
        <w:right w:val="none" w:sz="0" w:space="0" w:color="auto"/>
      </w:divBdr>
    </w:div>
    <w:div w:id="1953438918">
      <w:bodyDiv w:val="1"/>
      <w:marLeft w:val="0"/>
      <w:marRight w:val="0"/>
      <w:marTop w:val="0"/>
      <w:marBottom w:val="0"/>
      <w:divBdr>
        <w:top w:val="none" w:sz="0" w:space="0" w:color="auto"/>
        <w:left w:val="none" w:sz="0" w:space="0" w:color="auto"/>
        <w:bottom w:val="none" w:sz="0" w:space="0" w:color="auto"/>
        <w:right w:val="none" w:sz="0" w:space="0" w:color="auto"/>
      </w:divBdr>
    </w:div>
    <w:div w:id="2006323476">
      <w:bodyDiv w:val="1"/>
      <w:marLeft w:val="0"/>
      <w:marRight w:val="0"/>
      <w:marTop w:val="0"/>
      <w:marBottom w:val="0"/>
      <w:divBdr>
        <w:top w:val="none" w:sz="0" w:space="0" w:color="auto"/>
        <w:left w:val="none" w:sz="0" w:space="0" w:color="auto"/>
        <w:bottom w:val="none" w:sz="0" w:space="0" w:color="auto"/>
        <w:right w:val="none" w:sz="0" w:space="0" w:color="auto"/>
      </w:divBdr>
    </w:div>
    <w:div w:id="2030374478">
      <w:bodyDiv w:val="1"/>
      <w:marLeft w:val="0"/>
      <w:marRight w:val="0"/>
      <w:marTop w:val="0"/>
      <w:marBottom w:val="0"/>
      <w:divBdr>
        <w:top w:val="none" w:sz="0" w:space="0" w:color="auto"/>
        <w:left w:val="none" w:sz="0" w:space="0" w:color="auto"/>
        <w:bottom w:val="none" w:sz="0" w:space="0" w:color="auto"/>
        <w:right w:val="none" w:sz="0" w:space="0" w:color="auto"/>
      </w:divBdr>
    </w:div>
    <w:div w:id="2089501213">
      <w:bodyDiv w:val="1"/>
      <w:marLeft w:val="0"/>
      <w:marRight w:val="0"/>
      <w:marTop w:val="0"/>
      <w:marBottom w:val="0"/>
      <w:divBdr>
        <w:top w:val="none" w:sz="0" w:space="0" w:color="auto"/>
        <w:left w:val="none" w:sz="0" w:space="0" w:color="auto"/>
        <w:bottom w:val="none" w:sz="0" w:space="0" w:color="auto"/>
        <w:right w:val="none" w:sz="0" w:space="0" w:color="auto"/>
      </w:divBdr>
    </w:div>
    <w:div w:id="2092463986">
      <w:bodyDiv w:val="1"/>
      <w:marLeft w:val="0"/>
      <w:marRight w:val="0"/>
      <w:marTop w:val="0"/>
      <w:marBottom w:val="0"/>
      <w:divBdr>
        <w:top w:val="none" w:sz="0" w:space="0" w:color="auto"/>
        <w:left w:val="none" w:sz="0" w:space="0" w:color="auto"/>
        <w:bottom w:val="none" w:sz="0" w:space="0" w:color="auto"/>
        <w:right w:val="none" w:sz="0" w:space="0" w:color="auto"/>
      </w:divBdr>
    </w:div>
    <w:div w:id="20931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DD8C-BA60-4030-A88A-AA9B8C77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2156</Words>
  <Characters>10419</Characters>
  <Application>Microsoft Office Word</Application>
  <DocSecurity>0</DocSecurity>
  <Lines>347</Lines>
  <Paragraphs>202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12373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2023 - 00-b0-02</dc:title>
  <dc:subject/>
  <dc:creator/>
  <cp:keywords/>
  <dc:description/>
  <cp:lastModifiedBy>Master Repository Process</cp:lastModifiedBy>
  <cp:revision>4</cp:revision>
  <cp:lastPrinted>2023-10-18T07:46:00Z</cp:lastPrinted>
  <dcterms:created xsi:type="dcterms:W3CDTF">2024-03-19T08:36:00Z</dcterms:created>
  <dcterms:modified xsi:type="dcterms:W3CDTF">2024-03-19T08:36:00Z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2023</vt:lpwstr>
  </property>
  <property fmtid="{D5CDD505-2E9C-101B-9397-08002B2CF9AE}" pid="3" name="DocumentType">
    <vt:lpwstr>Act</vt:lpwstr>
  </property>
  <property fmtid="{D5CDD505-2E9C-101B-9397-08002B2CF9AE}" pid="4" name="AsAtDate">
    <vt:lpwstr>25 Oct 2023</vt:lpwstr>
  </property>
  <property fmtid="{D5CDD505-2E9C-101B-9397-08002B2CF9AE}" pid="5" name="Suffix">
    <vt:lpwstr>00-b0-02</vt:lpwstr>
  </property>
  <property fmtid="{D5CDD505-2E9C-101B-9397-08002B2CF9AE}" pid="6" name="Official">
    <vt:lpwstr/>
  </property>
  <property fmtid="{D5CDD505-2E9C-101B-9397-08002B2CF9AE}" pid="7" name="CommencementDate">
    <vt:lpwstr>20231025</vt:lpwstr>
  </property>
  <property fmtid="{D5CDD505-2E9C-101B-9397-08002B2CF9AE}" pid="8" name="CommencementAsAt">
    <vt:filetime>2023-10-24T16:00:00Z</vt:filetime>
  </property>
  <property fmtid="{D5CDD505-2E9C-101B-9397-08002B2CF9AE}" pid="9" name="CommencementYear">
    <vt:lpwstr>2023</vt:lpwstr>
  </property>
</Properties>
</file>