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_Toc154747735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_Toc154747736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_Toc154747737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_Toc154747738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_Toc154747739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_Toc154747740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_Toc154747741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_Toc154747742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_Toc154747743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_Toc154747744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_Toc154747745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_Toc154747746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_Toc154747747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_Toc154747748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_Toc154747749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_Toc154747750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_Toc154747751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_Toc154747752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_Toc154747753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_Toc154747754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_Toc154747755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_Toc154747756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_Toc154747757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_Toc154747758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_Toc154747759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_Toc154747760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_Toc154747761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_Toc154747762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_Toc154747763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_Toc154747764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_Toc154747765 \h </w:instrText>
      </w:r>
      <w:r>
        <w:fldChar w:fldCharType="separate"/>
      </w:r>
      <w:r>
        <w:t>28</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_Toc154747766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_Toc154747767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_Toc154747768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_Toc154747769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_Toc154747770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_Toc154747771 \h </w:instrText>
      </w:r>
      <w:r>
        <w:fldChar w:fldCharType="separate"/>
      </w:r>
      <w:r>
        <w:t>35</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_Toc154747772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_Toc154747773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_Toc154747774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_Toc154747775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_Toc154747776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_Toc154747777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_Toc154747778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_Toc154747779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_Toc154747780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_Toc154747781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_Toc154747782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_Toc154747783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_Toc154747784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_Toc154747785 \h </w:instrText>
      </w:r>
      <w:r>
        <w:fldChar w:fldCharType="separate"/>
      </w:r>
      <w:r>
        <w:t>51</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Model local laws, Governor may make</w:t>
      </w:r>
      <w:r>
        <w:tab/>
      </w:r>
      <w:r>
        <w:fldChar w:fldCharType="begin"/>
      </w:r>
      <w:r>
        <w:instrText xml:space="preserve"> PAGEREF _Toc154747786 \h </w:instrText>
      </w:r>
      <w:r>
        <w:fldChar w:fldCharType="separate"/>
      </w:r>
      <w:r>
        <w:t>51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Local laws, Governor may amend or repeal</w:t>
      </w:r>
      <w:r>
        <w:tab/>
      </w:r>
      <w:r>
        <w:fldChar w:fldCharType="begin"/>
      </w:r>
      <w:r>
        <w:instrText xml:space="preserve"> PAGEREF _Toc154747787 \h </w:instrText>
      </w:r>
      <w:r>
        <w:fldChar w:fldCharType="separate"/>
      </w:r>
      <w:r>
        <w:t>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_Toc154747788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_Toc154747789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_Toc154747790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_Toc154747791 \h </w:instrText>
      </w:r>
      <w:r>
        <w:fldChar w:fldCharType="separate"/>
      </w:r>
      <w:r>
        <w:t>54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_Toc154747793 \h </w:instrText>
      </w:r>
      <w:r>
        <w:fldChar w:fldCharType="separate"/>
      </w:r>
      <w:r>
        <w:t>55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_Toc154747794 \h </w:instrText>
      </w:r>
      <w:r>
        <w:fldChar w:fldCharType="separate"/>
      </w:r>
      <w:r>
        <w:t>58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_Toc154747795 \h </w:instrText>
      </w:r>
      <w:r>
        <w:fldChar w:fldCharType="separate"/>
      </w:r>
      <w:r>
        <w:t>59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15474773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73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154747737"/>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w:t>
      </w:r>
      <w:r>
        <w:lastRenderedPageBreak/>
        <w:t>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154747738"/>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154747739"/>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lastRenderedPageBreak/>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154747740"/>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lastRenderedPageBreak/>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154747741"/>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lastRenderedPageBreak/>
        <w:tab/>
        <w:t>[Section 5 amended: No. 106 of 1981 s. 32 and 34; No. 14 of 1996 s. 4; No. 76 of 1996 s. 27; No. 7 of 2002 s. 6; No. 16 of 2019 s. 101.]</w:t>
      </w:r>
    </w:p>
    <w:p>
      <w:pPr>
        <w:pStyle w:val="Heading5"/>
        <w:rPr>
          <w:snapToGrid w:val="0"/>
        </w:rPr>
      </w:pPr>
      <w:bookmarkStart w:id="10" w:name="_Toc154747742"/>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lastRenderedPageBreak/>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154747743"/>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154747744"/>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lastRenderedPageBreak/>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154747745"/>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 xml:space="preserve">A person shall not drive or use on any land to which this Act applies any vehicle so constructed or in such a condition as to be </w:t>
      </w:r>
      <w:r>
        <w:rPr>
          <w:snapToGrid w:val="0"/>
        </w:rPr>
        <w:lastRenderedPageBreak/>
        <w:t>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154747746"/>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154747747"/>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 xml:space="preserve">A person shall not, while occupying a seat position in a motor vehicle to which this section applies and to which a seat belt has been fitted for that seat position, drive or travel as a passenger in an area to which this section applies unless he is wearing that </w:t>
      </w:r>
      <w:r>
        <w:rPr>
          <w:snapToGrid w:val="0"/>
        </w:rPr>
        <w:lastRenderedPageBreak/>
        <w:t>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lastRenderedPageBreak/>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154747748"/>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154747749"/>
      <w:r>
        <w:rPr>
          <w:rStyle w:val="CharSectno"/>
        </w:rPr>
        <w:lastRenderedPageBreak/>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154747750"/>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154747751"/>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lastRenderedPageBreak/>
        <w:tab/>
        <w:t>[Section 13 amended: No. 14 of 1996 s. 4.]</w:t>
      </w:r>
    </w:p>
    <w:p>
      <w:pPr>
        <w:pStyle w:val="Heading5"/>
        <w:spacing w:before="240"/>
        <w:rPr>
          <w:snapToGrid w:val="0"/>
        </w:rPr>
      </w:pPr>
      <w:bookmarkStart w:id="20" w:name="_Toc154747752"/>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154747753"/>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154747754"/>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lastRenderedPageBreak/>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lastRenderedPageBreak/>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23" w:name="_Toc154747755"/>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lastRenderedPageBreak/>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154747756"/>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lastRenderedPageBreak/>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lastRenderedPageBreak/>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154747757"/>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lastRenderedPageBreak/>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154747758"/>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lastRenderedPageBreak/>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 xml:space="preserve">Regulations and local laws made under this Act may make provision for the control of vehicles in a permitted area and for the safety and obligations of persons who use vehicles in the </w:t>
      </w:r>
      <w:r>
        <w:rPr>
          <w:snapToGrid w:val="0"/>
        </w:rPr>
        <w:lastRenderedPageBreak/>
        <w:t>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154747759"/>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lastRenderedPageBreak/>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xml:space="preserve">, applies, may be paid such remuneration or allowances as the Minister from time to time determines, and any member </w:t>
      </w:r>
      <w:r>
        <w:rPr>
          <w:snapToGrid w:val="0"/>
        </w:rPr>
        <w:lastRenderedPageBreak/>
        <w:t>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lastRenderedPageBreak/>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154747760"/>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154747761"/>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 xml:space="preserve">If at any time the office of a member becomes vacant, the person who is at that time the deputy of that member is, until the office of that member is filled by the appointment of another </w:t>
      </w:r>
      <w:r>
        <w:rPr>
          <w:snapToGrid w:val="0"/>
        </w:rPr>
        <w:lastRenderedPageBreak/>
        <w:t>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154747762"/>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154747763"/>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lastRenderedPageBreak/>
        <w:tab/>
        <w:t>[Section 26 amended: No. 14 of 1996 s. 4.]</w:t>
      </w:r>
    </w:p>
    <w:p>
      <w:pPr>
        <w:pStyle w:val="Heading5"/>
        <w:rPr>
          <w:snapToGrid w:val="0"/>
        </w:rPr>
      </w:pPr>
      <w:bookmarkStart w:id="32" w:name="_Toc154747764"/>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154747765"/>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 xml:space="preserve">Where it appears to the Director General that any vehicle registered under this Act is so constructed or in such condition that it is likely to occasion danger to any person or damage to property, the registration of that vehicle may be suspended by a </w:t>
      </w:r>
      <w:r>
        <w:rPr>
          <w:snapToGrid w:val="0"/>
        </w:rPr>
        <w:lastRenderedPageBreak/>
        <w:t>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154747766"/>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lastRenderedPageBreak/>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154747767"/>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lastRenderedPageBreak/>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154747768"/>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lastRenderedPageBreak/>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lastRenderedPageBreak/>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154747769"/>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w:t>
      </w:r>
      <w:r>
        <w:rPr>
          <w:snapToGrid w:val="0"/>
        </w:rPr>
        <w:lastRenderedPageBreak/>
        <w:t>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154747770"/>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lastRenderedPageBreak/>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154747771"/>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154747772"/>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lastRenderedPageBreak/>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154747773"/>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154747774"/>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154747775"/>
      <w:r>
        <w:rPr>
          <w:rStyle w:val="CharSectno"/>
        </w:rPr>
        <w:lastRenderedPageBreak/>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154747776"/>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lastRenderedPageBreak/>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154747777"/>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lastRenderedPageBreak/>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lastRenderedPageBreak/>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154747778"/>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lastRenderedPageBreak/>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inspector or Aboriginal inspector, under the </w:t>
      </w:r>
      <w:r>
        <w:rPr>
          <w:i/>
        </w:rPr>
        <w:t>Aboriginal Cultural Heritage Act 2021</w:t>
      </w:r>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lastRenderedPageBreak/>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w:t>
      </w:r>
      <w:r>
        <w:rPr>
          <w:snapToGrid w:val="0"/>
        </w:rPr>
        <w:lastRenderedPageBreak/>
        <w:t xml:space="preserve">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lastRenderedPageBreak/>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tab/>
        <w:t>(17)</w:t>
      </w:r>
      <w:r>
        <w:tab/>
        <w:t>A vehicle detained —</w:t>
      </w:r>
    </w:p>
    <w:p>
      <w:pPr>
        <w:pStyle w:val="Indenta"/>
      </w:pPr>
      <w:r>
        <w:tab/>
        <w:t>(a)</w:t>
      </w:r>
      <w:r>
        <w:tab/>
        <w:t>under subsection (11) or (12) by a member of the Police Force; or</w:t>
      </w:r>
    </w:p>
    <w:p>
      <w:pPr>
        <w:pStyle w:val="Indenta"/>
        <w:keepNext/>
      </w:pPr>
      <w:r>
        <w:lastRenderedPageBreak/>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 No. 27 of 2021 s. 345(2).]</w:t>
      </w:r>
    </w:p>
    <w:p>
      <w:pPr>
        <w:pStyle w:val="Heading5"/>
        <w:rPr>
          <w:snapToGrid w:val="0"/>
        </w:rPr>
      </w:pPr>
      <w:bookmarkStart w:id="47" w:name="_Toc154747779"/>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tab/>
        <w:t>(ii)</w:t>
      </w:r>
      <w:r>
        <w:rPr>
          <w:snapToGrid w:val="0"/>
        </w:rPr>
        <w:tab/>
        <w:t xml:space="preserve">any vehicle was being used in circumstances where the provisions of this Act do not apply, or pursuant to and in accordance with any </w:t>
      </w:r>
      <w:r>
        <w:rPr>
          <w:snapToGrid w:val="0"/>
        </w:rPr>
        <w:lastRenderedPageBreak/>
        <w:t>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lastRenderedPageBreak/>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154747780"/>
      <w:r>
        <w:rPr>
          <w:rStyle w:val="CharSectno"/>
        </w:rPr>
        <w:t>40</w:t>
      </w:r>
      <w:r>
        <w:rPr>
          <w:snapToGrid w:val="0"/>
        </w:rPr>
        <w:t>.</w:t>
      </w:r>
      <w:r>
        <w:rPr>
          <w:snapToGrid w:val="0"/>
        </w:rPr>
        <w:tab/>
        <w:t>Prosecutions, who may commence</w:t>
      </w:r>
      <w:bookmarkEnd w:id="48"/>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154747781"/>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154747782"/>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 xml:space="preserve">until the Director General is satisfied that arrangements have been made that will ensure that the construction or </w:t>
      </w:r>
      <w:r>
        <w:rPr>
          <w:snapToGrid w:val="0"/>
        </w:rPr>
        <w:lastRenderedPageBreak/>
        <w:t>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154747783"/>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The expenses of the Director General in connection with the administration of this Act shall be paid in so far as is practicable out of moneys derived from the administration of the scheme of </w:t>
      </w:r>
      <w:r>
        <w:rPr>
          <w:snapToGrid w:val="0"/>
        </w:rPr>
        <w:lastRenderedPageBreak/>
        <w:t>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154747784"/>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154747785"/>
      <w:r>
        <w:rPr>
          <w:rStyle w:val="CharSectno"/>
        </w:rPr>
        <w:lastRenderedPageBreak/>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154747786"/>
      <w:r>
        <w:rPr>
          <w:rStyle w:val="CharSectno"/>
        </w:rPr>
        <w:t>45A</w:t>
      </w:r>
      <w:r>
        <w:rPr>
          <w:snapToGrid w:val="0"/>
        </w:rPr>
        <w:t>.</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154747787"/>
      <w:r>
        <w:rPr>
          <w:rStyle w:val="CharSectno"/>
        </w:rPr>
        <w:t>45B</w:t>
      </w:r>
      <w:r>
        <w:rPr>
          <w:snapToGrid w:val="0"/>
        </w:rPr>
        <w:t>.</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lastRenderedPageBreak/>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56" w:name="_Toc154747788"/>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lastRenderedPageBreak/>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154747789"/>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58" w:name="_Toc154747790"/>
      <w:r>
        <w:rPr>
          <w:rStyle w:val="CharSectno"/>
        </w:rPr>
        <w:lastRenderedPageBreak/>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154747791"/>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0" w:name="_Toc154747792"/>
      <w:r>
        <w:lastRenderedPageBreak/>
        <w:t>Notes</w:t>
      </w:r>
      <w:bookmarkEnd w:id="60"/>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54747793"/>
      <w:r>
        <w:t>Compilation table</w:t>
      </w:r>
      <w:bookmarkEnd w:id="6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lastRenderedPageBreak/>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lastRenderedPageBreak/>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lastRenderedPageBreak/>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snapToGrid w:val="0"/>
              </w:rPr>
            </w:pPr>
            <w:r>
              <w:rPr>
                <w:i/>
              </w:rPr>
              <w:t>Aboriginal Cultural Heritage Act 2021</w:t>
            </w:r>
            <w:r>
              <w:t xml:space="preserve"> s. 345</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shd w:val="clear" w:color="auto" w:fill="auto"/>
          </w:tcPr>
          <w:p>
            <w:pPr>
              <w:pStyle w:val="nTable"/>
              <w:spacing w:after="40"/>
            </w:pPr>
            <w:r>
              <w:t>22 Dec 2021</w:t>
            </w:r>
          </w:p>
        </w:tc>
        <w:tc>
          <w:tcPr>
            <w:tcW w:w="2496" w:type="dxa"/>
            <w:tcBorders>
              <w:bottom w:val="single" w:sz="4" w:space="0" w:color="auto"/>
            </w:tcBorders>
            <w:shd w:val="clear" w:color="auto" w:fill="auto"/>
          </w:tcPr>
          <w:p>
            <w:pPr>
              <w:pStyle w:val="nTable"/>
              <w:spacing w:after="40"/>
              <w:rPr>
                <w:snapToGrid w:val="0"/>
              </w:rPr>
            </w:pPr>
            <w:r>
              <w:t>1 Jul 2023 (see s. 2(e) and SL 2023/40 cl. 2(b))</w:t>
            </w:r>
          </w:p>
        </w:tc>
      </w:tr>
    </w:tbl>
    <w:p>
      <w:pPr>
        <w:pStyle w:val="nHeading3"/>
      </w:pPr>
      <w:bookmarkStart w:id="62" w:name="_Toc154747794"/>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24" w:type="dxa"/>
            <w:tcBorders>
              <w:top w:val="nil"/>
              <w:bottom w:val="nil"/>
            </w:tcBorders>
          </w:tcPr>
          <w:p>
            <w:pPr>
              <w:pStyle w:val="nTable"/>
              <w:spacing w:after="40"/>
            </w:pPr>
            <w:r>
              <w:rPr>
                <w:snapToGrid w:val="0"/>
              </w:rPr>
              <w:t>To be proclaimed (see s. 2(b))</w:t>
            </w:r>
          </w:p>
        </w:tc>
      </w:tr>
      <w:tr>
        <w:trPr>
          <w:cantSplit/>
        </w:trPr>
        <w:tc>
          <w:tcPr>
            <w:tcW w:w="2268" w:type="dxa"/>
            <w:tcBorders>
              <w:top w:val="nil"/>
              <w:bottom w:val="single" w:sz="4" w:space="0" w:color="auto"/>
            </w:tcBorders>
          </w:tcPr>
          <w:p>
            <w:pPr>
              <w:pStyle w:val="nTable"/>
              <w:spacing w:after="40"/>
              <w:ind w:right="113"/>
              <w:rPr>
                <w:iCs/>
                <w:snapToGrid w:val="0"/>
              </w:rPr>
            </w:pPr>
            <w:r>
              <w:rPr>
                <w:i/>
                <w:snapToGrid w:val="0"/>
              </w:rPr>
              <w:lastRenderedPageBreak/>
              <w:t>Aboriginal Heritage Legislation Amendment and Repeal Act 2023</w:t>
            </w:r>
            <w:r>
              <w:rPr>
                <w:iCs/>
                <w:snapToGrid w:val="0"/>
              </w:rPr>
              <w:t xml:space="preserve"> s. 26</w:t>
            </w:r>
          </w:p>
        </w:tc>
        <w:tc>
          <w:tcPr>
            <w:tcW w:w="1134" w:type="dxa"/>
            <w:tcBorders>
              <w:top w:val="nil"/>
              <w:bottom w:val="single" w:sz="4" w:space="0" w:color="auto"/>
            </w:tcBorders>
          </w:tcPr>
          <w:p>
            <w:pPr>
              <w:pStyle w:val="nTable"/>
              <w:spacing w:after="40"/>
            </w:pPr>
            <w:r>
              <w:t>23 of 2023</w:t>
            </w:r>
          </w:p>
        </w:tc>
        <w:tc>
          <w:tcPr>
            <w:tcW w:w="1134" w:type="dxa"/>
            <w:tcBorders>
              <w:top w:val="nil"/>
              <w:bottom w:val="single" w:sz="4" w:space="0" w:color="auto"/>
            </w:tcBorders>
          </w:tcPr>
          <w:p>
            <w:pPr>
              <w:pStyle w:val="nTable"/>
              <w:spacing w:after="40"/>
              <w:rPr>
                <w:highlight w:val="yellow"/>
              </w:rPr>
            </w:pPr>
            <w:r>
              <w:t>24 Oct 2023</w:t>
            </w:r>
          </w:p>
        </w:tc>
        <w:tc>
          <w:tcPr>
            <w:tcW w:w="2524" w:type="dxa"/>
            <w:tcBorders>
              <w:top w:val="nil"/>
              <w:bottom w:val="single" w:sz="4" w:space="0" w:color="auto"/>
            </w:tcBorders>
          </w:tcPr>
          <w:p>
            <w:pPr>
              <w:pStyle w:val="nTable"/>
              <w:spacing w:after="40"/>
              <w:rPr>
                <w:snapToGrid w:val="0"/>
              </w:rPr>
            </w:pPr>
            <w:r>
              <w:rPr>
                <w:snapToGrid w:val="0"/>
              </w:rPr>
              <w:t>15 Nov 2023 (see s. 2(d) and SL 2023/161 cl. 2)</w:t>
            </w:r>
          </w:p>
        </w:tc>
      </w:tr>
    </w:tbl>
    <w:p>
      <w:pPr>
        <w:pStyle w:val="nHeading3"/>
      </w:pPr>
      <w:bookmarkStart w:id="63" w:name="_Toc154747795"/>
      <w:r>
        <w:t>Other notes</w:t>
      </w:r>
      <w:bookmarkEnd w:id="63"/>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65" w:name="_Toc154747796"/>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10557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125F12B" w14:textId="49E7A162" w:rsidR="00227D0F" w:rsidRDefault="00227D0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A1AC8E" w14:textId="77777777" w:rsidR="00227D0F" w:rsidRDefault="00227D0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0658454" w14:textId="60E63C82" w:rsidR="00227D0F" w:rsidRDefault="00227D0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924718" w14:textId="77777777" w:rsidR="00227D0F" w:rsidRDefault="00227D0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05-j0-02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601"/>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019104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4313_GUID" w:val="2916a246-e2b6-4ae3-8fdb-6e70678032b5"/>
    <w:docVar w:name="WAFER_20231027133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3311_GUID" w:val="d2509358-79ac-47d2-aa70-8846fed9f2ac"/>
    <w:docVar w:name="WAFER_20231222092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601_GUID" w:val="78019c94-907f-4cd1-923f-b6d8a331a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17824</Words>
  <Characters>81639</Characters>
  <Application>Microsoft Office Word</Application>
  <DocSecurity>0</DocSecurity>
  <Lines>2206</Lines>
  <Paragraphs>1036</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1978 - 05-j0-02</dc:title>
  <dc:subject/>
  <dc:creator/>
  <cp:keywords/>
  <dc:description/>
  <cp:lastModifiedBy>Master Repository Process</cp:lastModifiedBy>
  <cp:revision>4</cp:revision>
  <cp:lastPrinted>2012-09-13T06:31:00Z</cp:lastPrinted>
  <dcterms:created xsi:type="dcterms:W3CDTF">2023-12-29T05:08:00Z</dcterms:created>
  <dcterms:modified xsi:type="dcterms:W3CDTF">2023-12-29T05:08:00Z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24 Oct 2023</vt:lpwstr>
  </property>
  <property fmtid="{D5CDD505-2E9C-101B-9397-08002B2CF9AE}" pid="8" name="Suffix">
    <vt:lpwstr>05-j0-02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