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Coroners Act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Coroners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_Toc154752036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_Toc154752037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_Toc154752038 \h </w:instrText>
      </w:r>
      <w:r>
        <w:fldChar w:fldCharType="separate"/>
      </w:r>
      <w:r>
        <w:t>2</w:t>
      </w:r>
      <w:r>
        <w:fldChar w:fldCharType="end"/>
      </w:r>
    </w:p>
    <w:p>
      <w:pPr>
        <w:pStyle w:val="TOC8"/>
        <w:rPr>
          <w:rFonts w:asciiTheme="minorHAnsi" w:eastAsiaTheme="minorEastAsia" w:hAnsiTheme="minorHAnsi" w:cstheme="minorBidi"/>
          <w:szCs w:val="22"/>
        </w:rPr>
      </w:pPr>
      <w:r>
        <w:t>3A.</w:t>
      </w:r>
      <w:r>
        <w:tab/>
        <w:t xml:space="preserve">Death under </w:t>
      </w:r>
      <w:r>
        <w:rPr>
          <w:i/>
        </w:rPr>
        <w:t>Voluntary Assisted Dying Act 2019</w:t>
      </w:r>
      <w:r>
        <w:t xml:space="preserve"> not reportable death</w:t>
      </w:r>
      <w:r>
        <w:tab/>
      </w:r>
      <w:r>
        <w:fldChar w:fldCharType="begin"/>
      </w:r>
      <w:r>
        <w:instrText xml:space="preserve"> PAGEREF _Toc154752039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Common law rules to cease to have effect</w:t>
      </w:r>
      <w:r>
        <w:tab/>
      </w:r>
      <w:r>
        <w:fldChar w:fldCharType="begin"/>
      </w:r>
      <w:r>
        <w:instrText xml:space="preserve"> PAGEREF _Toc154752040 \h </w:instrText>
      </w:r>
      <w:r>
        <w:fldChar w:fldCharType="separate"/>
      </w:r>
      <w:r>
        <w:t>5</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Pt. 2 applies</w:t>
      </w:r>
      <w:r>
        <w:tab/>
      </w:r>
      <w:r>
        <w:fldChar w:fldCharType="begin"/>
      </w:r>
      <w:r>
        <w:instrText xml:space="preserve"> PAGEREF _Toc154752041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Coroners and Coroner’s court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Coroner’s court</w:t>
      </w:r>
    </w:p>
    <w:p>
      <w:pPr>
        <w:pStyle w:val="TOC8"/>
        <w:rPr>
          <w:rFonts w:asciiTheme="minorHAnsi" w:eastAsiaTheme="minorEastAsia" w:hAnsiTheme="minorHAnsi" w:cstheme="minorBidi"/>
          <w:szCs w:val="22"/>
        </w:rPr>
      </w:pPr>
      <w:r>
        <w:t>5</w:t>
      </w:r>
      <w:r>
        <w:rPr>
          <w:snapToGrid w:val="0"/>
        </w:rPr>
        <w:t>.</w:t>
      </w:r>
      <w:r>
        <w:rPr>
          <w:snapToGrid w:val="0"/>
        </w:rPr>
        <w:tab/>
        <w:t>Establishment of court</w:t>
      </w:r>
      <w:r>
        <w:tab/>
      </w:r>
      <w:r>
        <w:fldChar w:fldCharType="begin"/>
      </w:r>
      <w:r>
        <w:instrText xml:space="preserve"> PAGEREF _Toc154752044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State Coroner and other coroners</w:t>
      </w:r>
    </w:p>
    <w:p>
      <w:pPr>
        <w:pStyle w:val="TOC8"/>
        <w:rPr>
          <w:rFonts w:asciiTheme="minorHAnsi" w:eastAsiaTheme="minorEastAsia" w:hAnsiTheme="minorHAnsi" w:cstheme="minorBidi"/>
          <w:szCs w:val="22"/>
        </w:rPr>
      </w:pPr>
      <w:r>
        <w:t>6</w:t>
      </w:r>
      <w:r>
        <w:rPr>
          <w:snapToGrid w:val="0"/>
        </w:rPr>
        <w:t>.</w:t>
      </w:r>
      <w:r>
        <w:rPr>
          <w:snapToGrid w:val="0"/>
        </w:rPr>
        <w:tab/>
        <w:t>State Coroner</w:t>
      </w:r>
      <w:r>
        <w:tab/>
      </w:r>
      <w:r>
        <w:fldChar w:fldCharType="begin"/>
      </w:r>
      <w:r>
        <w:instrText xml:space="preserve"> PAGEREF _Toc154752046 \h </w:instrText>
      </w:r>
      <w:r>
        <w:fldChar w:fldCharType="separate"/>
      </w:r>
      <w:r>
        <w:t>7</w:t>
      </w:r>
      <w:r>
        <w:fldChar w:fldCharType="end"/>
      </w:r>
    </w:p>
    <w:p>
      <w:pPr>
        <w:pStyle w:val="TOC8"/>
        <w:rPr>
          <w:rFonts w:asciiTheme="minorHAnsi" w:eastAsiaTheme="minorEastAsia" w:hAnsiTheme="minorHAnsi" w:cstheme="minorBidi"/>
          <w:szCs w:val="22"/>
        </w:rPr>
      </w:pPr>
      <w:r>
        <w:t>7.</w:t>
      </w:r>
      <w:r>
        <w:tab/>
        <w:t>Deputy State Coroner</w:t>
      </w:r>
      <w:r>
        <w:tab/>
      </w:r>
      <w:r>
        <w:fldChar w:fldCharType="begin"/>
      </w:r>
      <w:r>
        <w:instrText xml:space="preserve"> PAGEREF _Toc154752047 \h </w:instrText>
      </w:r>
      <w:r>
        <w:fldChar w:fldCharType="separate"/>
      </w:r>
      <w:r>
        <w:t>8</w:t>
      </w:r>
      <w:r>
        <w:fldChar w:fldCharType="end"/>
      </w:r>
    </w:p>
    <w:p>
      <w:pPr>
        <w:pStyle w:val="TOC8"/>
        <w:rPr>
          <w:rFonts w:asciiTheme="minorHAnsi" w:eastAsiaTheme="minorEastAsia" w:hAnsiTheme="minorHAnsi" w:cstheme="minorBidi"/>
          <w:szCs w:val="22"/>
        </w:rPr>
      </w:pPr>
      <w:r>
        <w:t>7A.</w:t>
      </w:r>
      <w:r>
        <w:tab/>
        <w:t>Acting Deputy State Coroner</w:t>
      </w:r>
      <w:r>
        <w:tab/>
      </w:r>
      <w:r>
        <w:fldChar w:fldCharType="begin"/>
      </w:r>
      <w:r>
        <w:instrText xml:space="preserve"> PAGEREF _Toc154752048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State Coroner</w:t>
      </w:r>
      <w:r>
        <w:tab/>
      </w:r>
      <w:r>
        <w:fldChar w:fldCharType="begin"/>
      </w:r>
      <w:r>
        <w:instrText xml:space="preserve"> PAGEREF _Toc154752049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Oath of office</w:t>
      </w:r>
      <w:r>
        <w:tab/>
      </w:r>
      <w:r>
        <w:fldChar w:fldCharType="begin"/>
      </w:r>
      <w:r>
        <w:instrText xml:space="preserve"> PAGEREF _Toc154752050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w:t>
      </w:r>
      <w:r>
        <w:tab/>
      </w:r>
      <w:r>
        <w:fldChar w:fldCharType="begin"/>
      </w:r>
      <w:r>
        <w:instrText xml:space="preserve"> PAGEREF _Toc154752051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Coroners</w:t>
      </w:r>
      <w:r>
        <w:tab/>
      </w:r>
      <w:r>
        <w:fldChar w:fldCharType="begin"/>
      </w:r>
      <w:r>
        <w:instrText xml:space="preserve"> PAGEREF _Toc154752052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Coroner’s registrars and investigators</w:t>
      </w:r>
    </w:p>
    <w:p>
      <w:pPr>
        <w:pStyle w:val="TOC8"/>
        <w:rPr>
          <w:rFonts w:asciiTheme="minorHAnsi" w:eastAsiaTheme="minorEastAsia" w:hAnsiTheme="minorHAnsi" w:cstheme="minorBidi"/>
          <w:szCs w:val="22"/>
        </w:rPr>
      </w:pPr>
      <w:r>
        <w:t>12.</w:t>
      </w:r>
      <w:r>
        <w:tab/>
        <w:t>Coroner’s registrars</w:t>
      </w:r>
      <w:r>
        <w:tab/>
      </w:r>
      <w:r>
        <w:fldChar w:fldCharType="begin"/>
      </w:r>
      <w:r>
        <w:instrText xml:space="preserve"> PAGEREF _Toc154752054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Functions of coroner’s </w:t>
      </w:r>
      <w:r>
        <w:t>registrars</w:t>
      </w:r>
      <w:r>
        <w:tab/>
      </w:r>
      <w:r>
        <w:fldChar w:fldCharType="begin"/>
      </w:r>
      <w:r>
        <w:instrText xml:space="preserve"> PAGEREF _Toc154752055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Appointment of coroner’s investigators</w:t>
      </w:r>
      <w:r>
        <w:tab/>
      </w:r>
      <w:r>
        <w:fldChar w:fldCharType="begin"/>
      </w:r>
      <w:r>
        <w:instrText xml:space="preserve"> PAGEREF _Toc154752056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Affidavits</w:t>
      </w:r>
      <w:r>
        <w:tab/>
      </w:r>
      <w:r>
        <w:fldChar w:fldCharType="begin"/>
      </w:r>
      <w:r>
        <w:instrText xml:space="preserve"> PAGEREF _Toc154752057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Counselling</w:t>
      </w:r>
    </w:p>
    <w:p>
      <w:pPr>
        <w:pStyle w:val="TOC8"/>
        <w:rPr>
          <w:rFonts w:asciiTheme="minorHAnsi" w:eastAsiaTheme="minorEastAsia" w:hAnsiTheme="minorHAnsi" w:cstheme="minorBidi"/>
          <w:szCs w:val="22"/>
        </w:rPr>
      </w:pPr>
      <w:r>
        <w:t>16</w:t>
      </w:r>
      <w:r>
        <w:rPr>
          <w:snapToGrid w:val="0"/>
        </w:rPr>
        <w:t>.</w:t>
      </w:r>
      <w:r>
        <w:rPr>
          <w:snapToGrid w:val="0"/>
        </w:rPr>
        <w:tab/>
        <w:t>Counselling</w:t>
      </w:r>
      <w:r>
        <w:tab/>
      </w:r>
      <w:r>
        <w:fldChar w:fldCharType="begin"/>
      </w:r>
      <w:r>
        <w:instrText xml:space="preserve"> PAGEREF _Toc154752059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Reporting of deaths</w:t>
      </w:r>
    </w:p>
    <w:p>
      <w:pPr>
        <w:pStyle w:val="TOC8"/>
        <w:rPr>
          <w:rFonts w:asciiTheme="minorHAnsi" w:eastAsiaTheme="minorEastAsia" w:hAnsiTheme="minorHAnsi" w:cstheme="minorBidi"/>
          <w:szCs w:val="22"/>
        </w:rPr>
      </w:pPr>
      <w:r>
        <w:t>17</w:t>
      </w:r>
      <w:r>
        <w:rPr>
          <w:snapToGrid w:val="0"/>
        </w:rPr>
        <w:t>.</w:t>
      </w:r>
      <w:r>
        <w:rPr>
          <w:snapToGrid w:val="0"/>
        </w:rPr>
        <w:tab/>
        <w:t>Obligation to report death</w:t>
      </w:r>
      <w:r>
        <w:tab/>
      </w:r>
      <w:r>
        <w:fldChar w:fldCharType="begin"/>
      </w:r>
      <w:r>
        <w:instrText xml:space="preserve"> PAGEREF _Toc154752061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Information to be given to coroner</w:t>
      </w:r>
      <w:r>
        <w:tab/>
      </w:r>
      <w:r>
        <w:fldChar w:fldCharType="begin"/>
      </w:r>
      <w:r>
        <w:instrText xml:space="preserve"> PAGEREF _Toc154752062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Investigation of deaths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powers and duties of coroners</w:t>
      </w:r>
    </w:p>
    <w:p>
      <w:pPr>
        <w:pStyle w:val="TOC8"/>
        <w:rPr>
          <w:rFonts w:asciiTheme="minorHAnsi" w:eastAsiaTheme="minorEastAsia" w:hAnsiTheme="minorHAnsi" w:cstheme="minorBidi"/>
          <w:szCs w:val="22"/>
        </w:rPr>
      </w:pPr>
      <w:r>
        <w:t>19</w:t>
      </w:r>
      <w:r>
        <w:rPr>
          <w:snapToGrid w:val="0"/>
        </w:rPr>
        <w:t>.</w:t>
      </w:r>
      <w:r>
        <w:rPr>
          <w:snapToGrid w:val="0"/>
        </w:rPr>
        <w:tab/>
        <w:t>Jurisdiction of coroner to investigate death</w:t>
      </w:r>
      <w:r>
        <w:tab/>
      </w:r>
      <w:r>
        <w:fldChar w:fldCharType="begin"/>
      </w:r>
      <w:r>
        <w:instrText xml:space="preserve"> PAGEREF _Toc154752065 \h </w:instrText>
      </w:r>
      <w:r>
        <w:fldChar w:fldCharType="separate"/>
      </w:r>
      <w:r>
        <w:t>15</w:t>
      </w:r>
      <w:r>
        <w:fldChar w:fldCharType="end"/>
      </w:r>
    </w:p>
    <w:p>
      <w:pPr>
        <w:pStyle w:val="TOC8"/>
        <w:rPr>
          <w:rFonts w:asciiTheme="minorHAnsi" w:eastAsiaTheme="minorEastAsia" w:hAnsiTheme="minorHAnsi" w:cstheme="minorBidi"/>
          <w:szCs w:val="22"/>
        </w:rPr>
      </w:pPr>
      <w:r>
        <w:t>19A.</w:t>
      </w:r>
      <w:r>
        <w:tab/>
        <w:t>Certain reportable deaths do not require investigation</w:t>
      </w:r>
      <w:r>
        <w:tab/>
      </w:r>
      <w:r>
        <w:fldChar w:fldCharType="begin"/>
      </w:r>
      <w:r>
        <w:instrText xml:space="preserve"> PAGEREF _Toc154752066 \h </w:instrText>
      </w:r>
      <w:r>
        <w:fldChar w:fldCharType="separate"/>
      </w:r>
      <w:r>
        <w:t>15</w:t>
      </w:r>
      <w:r>
        <w:fldChar w:fldCharType="end"/>
      </w:r>
    </w:p>
    <w:p>
      <w:pPr>
        <w:pStyle w:val="TOC8"/>
        <w:rPr>
          <w:rFonts w:asciiTheme="minorHAnsi" w:eastAsiaTheme="minorEastAsia" w:hAnsiTheme="minorHAnsi" w:cstheme="minorBidi"/>
          <w:szCs w:val="22"/>
        </w:rPr>
      </w:pPr>
      <w:r>
        <w:t>19B.</w:t>
      </w:r>
      <w:r>
        <w:tab/>
        <w:t>Investigations and Aboriginal ancestral remains</w:t>
      </w:r>
      <w:r>
        <w:tab/>
      </w:r>
      <w:r>
        <w:fldChar w:fldCharType="begin"/>
      </w:r>
      <w:r>
        <w:instrText xml:space="preserve"> PAGEREF _Toc154752067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Information to be provided to next of kin</w:t>
      </w:r>
      <w:r>
        <w:tab/>
      </w:r>
      <w:r>
        <w:fldChar w:fldCharType="begin"/>
      </w:r>
      <w:r>
        <w:instrText xml:space="preserve"> PAGEREF _Toc154752068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Directions by State Coroner</w:t>
      </w:r>
      <w:r>
        <w:tab/>
      </w:r>
      <w:r>
        <w:fldChar w:fldCharType="begin"/>
      </w:r>
      <w:r>
        <w:instrText xml:space="preserve"> PAGEREF _Toc154752069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Jurisdiction of coroner to hold inquest into death</w:t>
      </w:r>
      <w:r>
        <w:tab/>
      </w:r>
      <w:r>
        <w:fldChar w:fldCharType="begin"/>
      </w:r>
      <w:r>
        <w:instrText xml:space="preserve"> PAGEREF _Toc154752070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Investigation of suspected deaths</w:t>
      </w:r>
      <w:r>
        <w:tab/>
      </w:r>
      <w:r>
        <w:fldChar w:fldCharType="begin"/>
      </w:r>
      <w:r>
        <w:instrText xml:space="preserve"> PAGEREF _Toc154752071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Application for inquest into death</w:t>
      </w:r>
      <w:r>
        <w:tab/>
      </w:r>
      <w:r>
        <w:fldChar w:fldCharType="begin"/>
      </w:r>
      <w:r>
        <w:instrText xml:space="preserve"> PAGEREF _Toc154752072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Findings and comments of coroner</w:t>
      </w:r>
      <w:r>
        <w:tab/>
      </w:r>
      <w:r>
        <w:fldChar w:fldCharType="begin"/>
      </w:r>
      <w:r>
        <w:instrText xml:space="preserve"> PAGEREF _Toc154752073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 of findings and comments</w:t>
      </w:r>
      <w:r>
        <w:tab/>
      </w:r>
      <w:r>
        <w:fldChar w:fldCharType="begin"/>
      </w:r>
      <w:r>
        <w:instrText xml:space="preserve"> PAGEREF _Toc154752074 \h </w:instrText>
      </w:r>
      <w:r>
        <w:fldChar w:fldCharType="separate"/>
      </w:r>
      <w:r>
        <w:t>20</w:t>
      </w:r>
      <w:r>
        <w:fldChar w:fldCharType="end"/>
      </w:r>
    </w:p>
    <w:p>
      <w:pPr>
        <w:pStyle w:val="TOC8"/>
        <w:rPr>
          <w:rFonts w:asciiTheme="minorHAnsi" w:eastAsiaTheme="minorEastAsia" w:hAnsiTheme="minorHAnsi" w:cstheme="minorBidi"/>
          <w:szCs w:val="22"/>
        </w:rPr>
      </w:pPr>
      <w:r>
        <w:t>26A.</w:t>
      </w:r>
      <w:r>
        <w:tab/>
        <w:t>Access to evidence</w:t>
      </w:r>
      <w:r>
        <w:tab/>
      </w:r>
      <w:r>
        <w:fldChar w:fldCharType="begin"/>
      </w:r>
      <w:r>
        <w:instrText xml:space="preserve"> PAGEREF _Toc154752075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Reports</w:t>
      </w:r>
      <w:r>
        <w:tab/>
      </w:r>
      <w:r>
        <w:fldChar w:fldCharType="begin"/>
      </w:r>
      <w:r>
        <w:instrText xml:space="preserve"> PAGEREF _Toc154752076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Notification of reported deaths to Registrar of Births, Deaths and Marriages</w:t>
      </w:r>
      <w:r>
        <w:tab/>
      </w:r>
      <w:r>
        <w:fldChar w:fldCharType="begin"/>
      </w:r>
      <w:r>
        <w:instrText xml:space="preserve"> PAGEREF _Toc154752077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Certificate of disposal of body</w:t>
      </w:r>
      <w:r>
        <w:tab/>
      </w:r>
      <w:r>
        <w:fldChar w:fldCharType="begin"/>
      </w:r>
      <w:r>
        <w:instrText xml:space="preserve"> PAGEREF _Toc154752078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Control of body</w:t>
      </w:r>
      <w:r>
        <w:tab/>
      </w:r>
      <w:r>
        <w:fldChar w:fldCharType="begin"/>
      </w:r>
      <w:r>
        <w:instrText xml:space="preserve"> PAGEREF _Toc154752079 \h </w:instrText>
      </w:r>
      <w:r>
        <w:fldChar w:fldCharType="separate"/>
      </w:r>
      <w:r>
        <w:t>23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Aid to coroners in other places</w:t>
      </w:r>
      <w:r>
        <w:tab/>
      </w:r>
      <w:r>
        <w:fldChar w:fldCharType="begin"/>
      </w:r>
      <w:r>
        <w:instrText xml:space="preserve"> PAGEREF _Toc154752080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Powers of investigation</w:t>
      </w:r>
    </w:p>
    <w:p>
      <w:pPr>
        <w:pStyle w:val="TOC8"/>
        <w:rPr>
          <w:rFonts w:asciiTheme="minorHAnsi" w:eastAsiaTheme="minorEastAsia" w:hAnsiTheme="minorHAnsi" w:cstheme="minorBidi"/>
          <w:szCs w:val="22"/>
        </w:rPr>
      </w:pPr>
      <w:r>
        <w:t>32</w:t>
      </w:r>
      <w:r>
        <w:rPr>
          <w:snapToGrid w:val="0"/>
        </w:rPr>
        <w:t>.</w:t>
      </w:r>
      <w:r>
        <w:rPr>
          <w:snapToGrid w:val="0"/>
        </w:rPr>
        <w:tab/>
        <w:t>Restriction of access to area</w:t>
      </w:r>
      <w:r>
        <w:tab/>
      </w:r>
      <w:r>
        <w:fldChar w:fldCharType="begin"/>
      </w:r>
      <w:r>
        <w:instrText xml:space="preserve"> PAGEREF _Toc154752082 \h </w:instrText>
      </w:r>
      <w:r>
        <w:fldChar w:fldCharType="separate"/>
      </w:r>
      <w:r>
        <w:t>23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entry, inspection and possession</w:t>
      </w:r>
      <w:r>
        <w:tab/>
      </w:r>
      <w:r>
        <w:fldChar w:fldCharType="begin"/>
      </w:r>
      <w:r>
        <w:instrText xml:space="preserve"> PAGEREF _Toc154752083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Post mortem examinations</w:t>
      </w:r>
      <w:r>
        <w:tab/>
      </w:r>
      <w:r>
        <w:fldChar w:fldCharType="begin"/>
      </w:r>
      <w:r>
        <w:instrText xml:space="preserve"> PAGEREF _Toc154752084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Independent doctor at post mortem examination</w:t>
      </w:r>
      <w:r>
        <w:tab/>
      </w:r>
      <w:r>
        <w:fldChar w:fldCharType="begin"/>
      </w:r>
      <w:r>
        <w:instrText xml:space="preserve"> PAGEREF _Toc154752085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for post mortem examination</w:t>
      </w:r>
      <w:r>
        <w:tab/>
      </w:r>
      <w:r>
        <w:fldChar w:fldCharType="begin"/>
      </w:r>
      <w:r>
        <w:instrText xml:space="preserve"> PAGEREF _Toc154752086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Objections to post mortem examinations</w:t>
      </w:r>
      <w:r>
        <w:tab/>
      </w:r>
      <w:r>
        <w:fldChar w:fldCharType="begin"/>
      </w:r>
      <w:r>
        <w:instrText xml:space="preserve"> PAGEREF _Toc154752087 \h </w:instrText>
      </w:r>
      <w:r>
        <w:fldChar w:fldCharType="separate"/>
      </w:r>
      <w:r>
        <w:t>29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Exhumation</w:t>
      </w:r>
      <w:r>
        <w:tab/>
      </w:r>
      <w:r>
        <w:fldChar w:fldCharType="begin"/>
      </w:r>
      <w:r>
        <w:instrText xml:space="preserve"> PAGEREF _Toc154752088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Inquests into deaths</w:t>
      </w:r>
    </w:p>
    <w:p>
      <w:pPr>
        <w:pStyle w:val="TOC8"/>
        <w:rPr>
          <w:rFonts w:asciiTheme="minorHAnsi" w:eastAsiaTheme="minorEastAsia" w:hAnsiTheme="minorHAnsi" w:cstheme="minorBidi"/>
          <w:szCs w:val="22"/>
        </w:rPr>
      </w:pPr>
      <w:r>
        <w:t>39</w:t>
      </w:r>
      <w:r>
        <w:rPr>
          <w:snapToGrid w:val="0"/>
        </w:rPr>
        <w:t>.</w:t>
      </w:r>
      <w:r>
        <w:rPr>
          <w:snapToGrid w:val="0"/>
        </w:rPr>
        <w:tab/>
        <w:t>Advertisement of inquest</w:t>
      </w:r>
      <w:r>
        <w:tab/>
      </w:r>
      <w:r>
        <w:fldChar w:fldCharType="begin"/>
      </w:r>
      <w:r>
        <w:instrText xml:space="preserve"> PAGEREF _Toc154752090 \h </w:instrText>
      </w:r>
      <w:r>
        <w:fldChar w:fldCharType="separate"/>
      </w:r>
      <w:r>
        <w:t>33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Two or more deaths</w:t>
      </w:r>
      <w:r>
        <w:tab/>
      </w:r>
      <w:r>
        <w:fldChar w:fldCharType="begin"/>
      </w:r>
      <w:r>
        <w:instrText xml:space="preserve"> PAGEREF _Toc154752091 \h </w:instrText>
      </w:r>
      <w:r>
        <w:fldChar w:fldCharType="separate"/>
      </w:r>
      <w:r>
        <w:t>33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Rules of evidence not to apply</w:t>
      </w:r>
      <w:r>
        <w:tab/>
      </w:r>
      <w:r>
        <w:fldChar w:fldCharType="begin"/>
      </w:r>
      <w:r>
        <w:instrText xml:space="preserve"> PAGEREF _Toc154752092 \h </w:instrText>
      </w:r>
      <w:r>
        <w:fldChar w:fldCharType="separate"/>
      </w:r>
      <w:r>
        <w:t>33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Rights of interested persons</w:t>
      </w:r>
      <w:r>
        <w:tab/>
      </w:r>
      <w:r>
        <w:fldChar w:fldCharType="begin"/>
      </w:r>
      <w:r>
        <w:instrText xml:space="preserve"> PAGEREF _Toc154752093 \h </w:instrText>
      </w:r>
      <w:r>
        <w:fldChar w:fldCharType="separate"/>
      </w:r>
      <w:r>
        <w:t>33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Attorney General may appear at inquest</w:t>
      </w:r>
      <w:r>
        <w:tab/>
      </w:r>
      <w:r>
        <w:fldChar w:fldCharType="begin"/>
      </w:r>
      <w:r>
        <w:instrText xml:space="preserve"> PAGEREF _Toc154752094 \h </w:instrText>
      </w:r>
      <w:r>
        <w:fldChar w:fldCharType="separate"/>
      </w:r>
      <w:r>
        <w:t>33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Other persons may appear at inquest</w:t>
      </w:r>
      <w:r>
        <w:tab/>
      </w:r>
      <w:r>
        <w:fldChar w:fldCharType="begin"/>
      </w:r>
      <w:r>
        <w:instrText xml:space="preserve"> PAGEREF _Toc154752095 \h </w:instrText>
      </w:r>
      <w:r>
        <w:fldChar w:fldCharType="separate"/>
      </w:r>
      <w:r>
        <w:t>33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Exclusion from inquest</w:t>
      </w:r>
      <w:r>
        <w:tab/>
      </w:r>
      <w:r>
        <w:fldChar w:fldCharType="begin"/>
      </w:r>
      <w:r>
        <w:instrText xml:space="preserve"> PAGEREF _Toc154752096 \h </w:instrText>
      </w:r>
      <w:r>
        <w:fldChar w:fldCharType="separate"/>
      </w:r>
      <w:r>
        <w:t>34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Powers of coroners at inquests</w:t>
      </w:r>
      <w:r>
        <w:tab/>
      </w:r>
      <w:r>
        <w:fldChar w:fldCharType="begin"/>
      </w:r>
      <w:r>
        <w:instrText xml:space="preserve"> PAGEREF _Toc154752097 \h </w:instrText>
      </w:r>
      <w:r>
        <w:fldChar w:fldCharType="separate"/>
      </w:r>
      <w:r>
        <w:t>34</w:t>
      </w:r>
      <w:r>
        <w:fldChar w:fldCharType="end"/>
      </w:r>
    </w:p>
    <w:p>
      <w:pPr>
        <w:pStyle w:val="TOC8"/>
        <w:rPr>
          <w:rFonts w:asciiTheme="minorHAnsi" w:eastAsiaTheme="minorEastAsia" w:hAnsiTheme="minorHAnsi" w:cstheme="minorBidi"/>
          <w:szCs w:val="22"/>
        </w:rPr>
      </w:pPr>
      <w:r>
        <w:t>46A.</w:t>
      </w:r>
      <w:r>
        <w:tab/>
        <w:t>Disobeying coroner</w:t>
      </w:r>
      <w:r>
        <w:tab/>
      </w:r>
      <w:r>
        <w:fldChar w:fldCharType="begin"/>
      </w:r>
      <w:r>
        <w:instrText xml:space="preserve"> PAGEREF _Toc154752098 \h </w:instrText>
      </w:r>
      <w:r>
        <w:fldChar w:fldCharType="separate"/>
      </w:r>
      <w:r>
        <w:t>35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Statements made by witness</w:t>
      </w:r>
      <w:r>
        <w:tab/>
      </w:r>
      <w:r>
        <w:fldChar w:fldCharType="begin"/>
      </w:r>
      <w:r>
        <w:instrText xml:space="preserve"> PAGEREF _Toc154752099 \h </w:instrText>
      </w:r>
      <w:r>
        <w:fldChar w:fldCharType="separate"/>
      </w:r>
      <w:r>
        <w:t>35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Record of evidence</w:t>
      </w:r>
      <w:r>
        <w:tab/>
      </w:r>
      <w:r>
        <w:fldChar w:fldCharType="begin"/>
      </w:r>
      <w:r>
        <w:instrText xml:space="preserve"> PAGEREF _Toc154752100 \h </w:instrText>
      </w:r>
      <w:r>
        <w:fldChar w:fldCharType="separate"/>
      </w:r>
      <w:r>
        <w:t>36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Restriction on publication of reports</w:t>
      </w:r>
      <w:r>
        <w:tab/>
      </w:r>
      <w:r>
        <w:fldChar w:fldCharType="begin"/>
      </w:r>
      <w:r>
        <w:instrText xml:space="preserve"> PAGEREF _Toc154752101 \h </w:instrText>
      </w:r>
      <w:r>
        <w:fldChar w:fldCharType="separate"/>
      </w:r>
      <w:r>
        <w:t>37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Reference to disciplinary body</w:t>
      </w:r>
      <w:r>
        <w:tab/>
      </w:r>
      <w:r>
        <w:fldChar w:fldCharType="begin"/>
      </w:r>
      <w:r>
        <w:instrText xml:space="preserve"> PAGEREF _Toc154752102 \h </w:instrText>
      </w:r>
      <w:r>
        <w:fldChar w:fldCharType="separate"/>
      </w:r>
      <w:r>
        <w:t>37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Interruption of inquest</w:t>
      </w:r>
      <w:r>
        <w:tab/>
      </w:r>
      <w:r>
        <w:fldChar w:fldCharType="begin"/>
      </w:r>
      <w:r>
        <w:instrText xml:space="preserve"> PAGEREF _Toc154752103 \h </w:instrText>
      </w:r>
      <w:r>
        <w:fldChar w:fldCharType="separate"/>
      </w:r>
      <w:r>
        <w:t>38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New inquests and re</w:t>
      </w:r>
      <w:r>
        <w:rPr>
          <w:snapToGrid w:val="0"/>
        </w:rPr>
        <w:noBreakHyphen/>
        <w:t>opening of inquests</w:t>
      </w:r>
      <w:r>
        <w:tab/>
      </w:r>
      <w:r>
        <w:fldChar w:fldCharType="begin"/>
      </w:r>
      <w:r>
        <w:instrText xml:space="preserve"> PAGEREF _Toc154752104 \h </w:instrText>
      </w:r>
      <w:r>
        <w:fldChar w:fldCharType="separate"/>
      </w:r>
      <w:r>
        <w:t>38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Inquest not to proceed where criminal proceedings instituted</w:t>
      </w:r>
      <w:r>
        <w:tab/>
      </w:r>
      <w:r>
        <w:fldChar w:fldCharType="begin"/>
      </w:r>
      <w:r>
        <w:instrText xml:space="preserve"> PAGEREF _Toc154752105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53A.</w:t>
      </w:r>
      <w:r>
        <w:tab/>
        <w:t>State Coroner may provide information about deaths to human tissue donation agencies</w:t>
      </w:r>
      <w:r>
        <w:tab/>
      </w:r>
      <w:r>
        <w:fldChar w:fldCharType="begin"/>
      </w:r>
      <w:r>
        <w:instrText xml:space="preserve"> PAGEREF _Toc154752107 \h </w:instrText>
      </w:r>
      <w:r>
        <w:fldChar w:fldCharType="separate"/>
      </w:r>
      <w:r>
        <w:t>40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Obstruction</w:t>
      </w:r>
      <w:r>
        <w:tab/>
      </w:r>
      <w:r>
        <w:fldChar w:fldCharType="begin"/>
      </w:r>
      <w:r>
        <w:instrText xml:space="preserve"> PAGEREF _Toc154752108 \h </w:instrText>
      </w:r>
      <w:r>
        <w:fldChar w:fldCharType="separate"/>
      </w:r>
      <w:r>
        <w:t>41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Protection from legal proceedings</w:t>
      </w:r>
      <w:r>
        <w:tab/>
      </w:r>
      <w:r>
        <w:fldChar w:fldCharType="begin"/>
      </w:r>
      <w:r>
        <w:instrText xml:space="preserve"> PAGEREF _Toc154752109 \h </w:instrText>
      </w:r>
      <w:r>
        <w:fldChar w:fldCharType="separate"/>
      </w:r>
      <w:r>
        <w:t>41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Coroner not to be called as witness</w:t>
      </w:r>
      <w:r>
        <w:tab/>
      </w:r>
      <w:r>
        <w:fldChar w:fldCharType="begin"/>
      </w:r>
      <w:r>
        <w:instrText xml:space="preserve"> PAGEREF _Toc154752110 \h </w:instrText>
      </w:r>
      <w:r>
        <w:fldChar w:fldCharType="separate"/>
      </w:r>
      <w:r>
        <w:t>41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Review of Act</w:t>
      </w:r>
      <w:r>
        <w:tab/>
      </w:r>
      <w:r>
        <w:fldChar w:fldCharType="begin"/>
      </w:r>
      <w:r>
        <w:instrText xml:space="preserve"> PAGEREF _Toc154752111 \h </w:instrText>
      </w:r>
      <w:r>
        <w:fldChar w:fldCharType="separate"/>
      </w:r>
      <w:r>
        <w:t>41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Guidelines</w:t>
      </w:r>
      <w:r>
        <w:tab/>
      </w:r>
      <w:r>
        <w:fldChar w:fldCharType="begin"/>
      </w:r>
      <w:r>
        <w:instrText xml:space="preserve"> PAGEREF _Toc154752112 \h </w:instrText>
      </w:r>
      <w:r>
        <w:fldChar w:fldCharType="separate"/>
      </w:r>
      <w:r>
        <w:t>42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Regulations</w:t>
      </w:r>
      <w:r>
        <w:tab/>
      </w:r>
      <w:r>
        <w:fldChar w:fldCharType="begin"/>
      </w:r>
      <w:r>
        <w:instrText xml:space="preserve"> PAGEREF _Toc154752113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 — Repeal of </w:t>
      </w:r>
      <w:r>
        <w:rPr>
          <w:i/>
        </w:rPr>
        <w:t>Coroners Act 1920</w:t>
      </w:r>
      <w:r>
        <w:t>, amendment of certain other Acts and savings provision</w:t>
      </w:r>
    </w:p>
    <w:p>
      <w:pPr>
        <w:pStyle w:val="TOC8"/>
        <w:rPr>
          <w:rFonts w:asciiTheme="minorHAnsi" w:eastAsiaTheme="minorEastAsia" w:hAnsiTheme="minorHAnsi" w:cstheme="minorBidi"/>
          <w:szCs w:val="22"/>
        </w:rPr>
      </w:pPr>
      <w:r>
        <w:t>62.</w:t>
      </w:r>
      <w:r>
        <w:tab/>
        <w:t>Application of Act to deaths which occurred before Act came into operation</w:t>
      </w:r>
      <w:r>
        <w:tab/>
      </w:r>
      <w:r>
        <w:fldChar w:fldCharType="begin"/>
      </w:r>
      <w:r>
        <w:instrText xml:space="preserve"> PAGEREF _Toc154752115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_Toc154752117 \h </w:instrText>
      </w:r>
      <w:r>
        <w:fldChar w:fldCharType="separate"/>
      </w:r>
      <w:r>
        <w:t>45</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_Toc154752118 \h </w:instrText>
      </w:r>
      <w:r>
        <w:fldChar w:fldCharType="separate"/>
      </w:r>
      <w:r>
        <w:t>47</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_Toc154752119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600" w:after="1200"/>
      </w:pPr>
      <w:r>
        <w:t>Coroners Act 1996</w:t>
      </w:r>
    </w:p>
    <w:p>
      <w:pPr>
        <w:pStyle w:val="LongTitle"/>
        <w:rPr>
          <w:snapToGrid w:val="0"/>
        </w:rPr>
      </w:pPr>
      <w:r>
        <w:rPr>
          <w:snapToGrid w:val="0"/>
        </w:rPr>
        <w:t xml:space="preserve">An Act to establish the office of State Coroner, to provide for a State coronial system to inquire into Western Australian deaths, to repeal the </w:t>
      </w:r>
      <w:r>
        <w:rPr>
          <w:i/>
          <w:snapToGrid w:val="0"/>
        </w:rPr>
        <w:t>Coroners Act 1920</w:t>
      </w:r>
      <w:r>
        <w:rPr>
          <w:b w:val="0"/>
          <w:snapToGrid w:val="0"/>
          <w:vertAlign w:val="superscript"/>
        </w:rPr>
        <w:t> 1</w:t>
      </w:r>
      <w:r>
        <w:rPr>
          <w:snapToGrid w:val="0"/>
        </w:rPr>
        <w:t xml:space="preserve">, to amend certain other Acts and for related purposes. </w:t>
      </w:r>
    </w:p>
    <w:p>
      <w:pPr>
        <w:pStyle w:val="Heading2"/>
      </w:pPr>
      <w:bookmarkStart w:id="3" w:name="_Toc154752035"/>
      <w:r>
        <w:rPr>
          <w:rStyle w:val="CharPartNo"/>
        </w:rPr>
        <w:lastRenderedPageBreak/>
        <w:t>Part 1</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154752036"/>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rPr>
        <w:t>.</w:t>
      </w:r>
    </w:p>
    <w:p>
      <w:pPr>
        <w:pStyle w:val="Heading5"/>
        <w:rPr>
          <w:snapToGrid w:val="0"/>
        </w:rPr>
      </w:pPr>
      <w:bookmarkStart w:id="5" w:name="_Toc154752037"/>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6" w:name="_Toc154752038"/>
      <w:r>
        <w:rPr>
          <w:rStyle w:val="CharSectno"/>
        </w:rPr>
        <w:t>3</w:t>
      </w:r>
      <w:r>
        <w:rPr>
          <w:snapToGrid w:val="0"/>
        </w:rPr>
        <w:t>.</w:t>
      </w:r>
      <w:r>
        <w:rPr>
          <w:snapToGrid w:val="0"/>
        </w:rPr>
        <w:tab/>
        <w:t>Terms used</w:t>
      </w:r>
      <w:bookmarkEnd w:id="6"/>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lastRenderedPageBreak/>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 or</w:t>
      </w:r>
    </w:p>
    <w:p>
      <w:pPr>
        <w:pStyle w:val="Defsubpara"/>
      </w:pPr>
      <w:r>
        <w:tab/>
        <w:t>(ii)</w:t>
      </w:r>
      <w:r>
        <w:tab/>
        <w:t xml:space="preserve">the Chief Executive Officer of the department of the Public Service principally assisting the Minister administering the </w:t>
      </w:r>
      <w:r>
        <w:rPr>
          <w:i/>
        </w:rPr>
        <w:t>Prisons Act 1981</w:t>
      </w:r>
      <w:r>
        <w:t xml:space="preserve"> in its administration; or</w:t>
      </w:r>
    </w:p>
    <w:p>
      <w:pPr>
        <w:pStyle w:val="Defsubpara"/>
      </w:pPr>
      <w:r>
        <w:tab/>
        <w:t>(iii)</w:t>
      </w:r>
      <w:r>
        <w:tab/>
        <w:t>a member of the Police Force;</w:t>
      </w:r>
    </w:p>
    <w:p>
      <w:pPr>
        <w:pStyle w:val="Defpara"/>
      </w:pPr>
      <w:r>
        <w:tab/>
      </w:r>
      <w:r>
        <w:tab/>
        <w:t>or</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 or</w:t>
      </w:r>
    </w:p>
    <w:p>
      <w:pPr>
        <w:pStyle w:val="Defpara"/>
      </w:pPr>
      <w:r>
        <w:tab/>
        <w:t>(b)</w:t>
      </w:r>
      <w:r>
        <w:tab/>
        <w:t xml:space="preserve">a person admitted to a centre under the </w:t>
      </w:r>
      <w:r>
        <w:rPr>
          <w:i/>
        </w:rPr>
        <w:t>Alcohol and Other Drugs Act 1974</w:t>
      </w:r>
      <w:r>
        <w:t>; or</w:t>
      </w:r>
    </w:p>
    <w:p>
      <w:pPr>
        <w:pStyle w:val="Defpara"/>
      </w:pPr>
      <w:r>
        <w:tab/>
        <w:t>(ca)</w:t>
      </w:r>
      <w:r>
        <w:tab/>
        <w:t xml:space="preserve">a resident as defined in the </w:t>
      </w:r>
      <w:r>
        <w:rPr>
          <w:i/>
        </w:rPr>
        <w:t xml:space="preserve">Declared Places (Mentally Impaired Accused) Act 2015 </w:t>
      </w:r>
      <w:r>
        <w:t>section 3;</w:t>
      </w:r>
    </w:p>
    <w:p>
      <w:pPr>
        <w:pStyle w:val="Defpara"/>
      </w:pPr>
      <w:r>
        <w:tab/>
        <w:t>(c)</w:t>
      </w:r>
      <w:r>
        <w:tab/>
        <w:t xml:space="preserve">a person — </w:t>
      </w:r>
    </w:p>
    <w:p>
      <w:pPr>
        <w:pStyle w:val="Defsubpara"/>
      </w:pPr>
      <w:r>
        <w:tab/>
        <w:t>(i)</w:t>
      </w:r>
      <w:r>
        <w:tab/>
        <w:t xml:space="preserve">who is an involuntary patient under the </w:t>
      </w:r>
      <w:r>
        <w:rPr>
          <w:i/>
        </w:rPr>
        <w:t>Mental Health Act 2014</w:t>
      </w:r>
      <w:r>
        <w:t>; or</w:t>
      </w:r>
    </w:p>
    <w:p>
      <w:pPr>
        <w:pStyle w:val="Defsubpara"/>
      </w:pPr>
      <w:r>
        <w:tab/>
        <w:t>(ii)</w:t>
      </w:r>
      <w:r>
        <w:tab/>
        <w:t>who is apprehended or detained under that Act; or</w:t>
      </w:r>
    </w:p>
    <w:p>
      <w:pPr>
        <w:pStyle w:val="Defsubpara"/>
      </w:pPr>
      <w:r>
        <w:tab/>
        <w:t>(iii)</w:t>
      </w:r>
      <w:r>
        <w:tab/>
        <w:t>who is absent without leave from a hospital or other place under section 97 of that Act;</w:t>
      </w:r>
    </w:p>
    <w:p>
      <w:pPr>
        <w:pStyle w:val="Indenta"/>
      </w:pPr>
      <w:r>
        <w:tab/>
      </w:r>
      <w:r>
        <w:tab/>
        <w:t>or</w:t>
      </w:r>
    </w:p>
    <w:p>
      <w:pPr>
        <w:pStyle w:val="Defpara"/>
      </w:pPr>
      <w:r>
        <w:lastRenderedPageBreak/>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 or</w:t>
      </w:r>
    </w:p>
    <w:p>
      <w:pPr>
        <w:pStyle w:val="Defpara"/>
      </w:pPr>
      <w:r>
        <w:tab/>
        <w:t>(b)</w:t>
      </w:r>
      <w:r>
        <w:tab/>
        <w:t>that occurs during an anaesthetic; or</w:t>
      </w:r>
    </w:p>
    <w:p>
      <w:pPr>
        <w:pStyle w:val="Defpara"/>
      </w:pPr>
      <w:r>
        <w:tab/>
        <w:t>(c)</w:t>
      </w:r>
      <w:r>
        <w:tab/>
        <w:t>that occurs as a result of an anaesthetic and is not due to natural causes; or</w:t>
      </w:r>
    </w:p>
    <w:p>
      <w:pPr>
        <w:pStyle w:val="Defpara"/>
      </w:pPr>
      <w:r>
        <w:tab/>
        <w:t>(d)</w:t>
      </w:r>
      <w:r>
        <w:tab/>
        <w:t>that occurs in prescribed circumstances; or</w:t>
      </w:r>
    </w:p>
    <w:p>
      <w:pPr>
        <w:pStyle w:val="Defpara"/>
      </w:pPr>
      <w:r>
        <w:tab/>
        <w:t>(e)</w:t>
      </w:r>
      <w:r>
        <w:tab/>
        <w:t>of a person who immediately before death was a person held in care; or</w:t>
      </w:r>
    </w:p>
    <w:p>
      <w:pPr>
        <w:pStyle w:val="Defpara"/>
      </w:pPr>
      <w:r>
        <w:tab/>
        <w:t>(f)</w:t>
      </w:r>
      <w:r>
        <w:tab/>
        <w:t>that appears to have been caused or contributed to while the person was held in care; or</w:t>
      </w:r>
    </w:p>
    <w:p>
      <w:pPr>
        <w:pStyle w:val="Defpara"/>
      </w:pPr>
      <w:r>
        <w:tab/>
        <w:t>(g)</w:t>
      </w:r>
      <w:r>
        <w:tab/>
        <w:t>that appears to have been caused or contributed to by any action of a member of the Police Force; or</w:t>
      </w:r>
    </w:p>
    <w:p>
      <w:pPr>
        <w:pStyle w:val="Defpara"/>
      </w:pPr>
      <w:r>
        <w:tab/>
        <w:t>(h)</w:t>
      </w:r>
      <w:r>
        <w:tab/>
        <w:t>of a person whose identity is unknown; or</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keepNext/>
      </w:pPr>
      <w:r>
        <w:lastRenderedPageBreak/>
        <w:tab/>
      </w:r>
      <w:r>
        <w:rPr>
          <w:rStyle w:val="CharDefText"/>
        </w:rPr>
        <w:t>Western Australian death</w:t>
      </w:r>
      <w:r>
        <w:t xml:space="preserve"> means a death — </w:t>
      </w:r>
    </w:p>
    <w:p>
      <w:pPr>
        <w:pStyle w:val="Defpara"/>
      </w:pPr>
      <w:r>
        <w:tab/>
        <w:t>(a)</w:t>
      </w:r>
      <w:r>
        <w:tab/>
        <w:t>that occurred in Western Australia; or</w:t>
      </w:r>
    </w:p>
    <w:p>
      <w:pPr>
        <w:pStyle w:val="Defpara"/>
      </w:pPr>
      <w:r>
        <w:tab/>
        <w:t>(b)</w:t>
      </w:r>
      <w:r>
        <w:tab/>
        <w:t>where the body is in Western Australia; or</w:t>
      </w:r>
    </w:p>
    <w:p>
      <w:pPr>
        <w:pStyle w:val="Defpara"/>
      </w:pPr>
      <w:r>
        <w:tab/>
        <w:t>(c)</w:t>
      </w:r>
      <w:r>
        <w:tab/>
        <w:t>the cause of which occurred in Western Australia; or</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No. 40 of 1998 s. 8(2); No. 47 of 1999 s. 9; No. 8 of 2000 s. 3; No. 15 of 2003 s. 4; </w:t>
      </w:r>
      <w:r>
        <w:rPr>
          <w:spacing w:val="-6"/>
        </w:rPr>
        <w:t>No. 34 of 2004 Sch. 2 cl. 6</w:t>
      </w:r>
      <w:r>
        <w:t>; No. 59 of 2004 s. 76; No. 22 of 2008 Sch. 3 cl. 10; No. 35 of 2010 s. 46; No. 25 of 2014 s. 42; No. 3 of 2015 s. 15; No. 4 of 2015 s. 83.]</w:t>
      </w:r>
    </w:p>
    <w:p>
      <w:pPr>
        <w:pStyle w:val="Heading5"/>
      </w:pPr>
      <w:bookmarkStart w:id="7" w:name="_Toc154752039"/>
      <w:r>
        <w:rPr>
          <w:rStyle w:val="CharSectno"/>
        </w:rPr>
        <w:t>3A</w:t>
      </w:r>
      <w:r>
        <w:t>.</w:t>
      </w:r>
      <w:r>
        <w:tab/>
        <w:t xml:space="preserve">Death under </w:t>
      </w:r>
      <w:r>
        <w:rPr>
          <w:i/>
        </w:rPr>
        <w:t>Voluntary Assisted Dying Act 2019</w:t>
      </w:r>
      <w:r>
        <w:t xml:space="preserve"> not reportable death</w:t>
      </w:r>
      <w:bookmarkEnd w:id="7"/>
    </w:p>
    <w:p>
      <w:pPr>
        <w:pStyle w:val="Subsection"/>
      </w:pPr>
      <w:r>
        <w:tab/>
        <w:t>(1)</w:t>
      </w:r>
      <w:r>
        <w:tab/>
        <w:t xml:space="preserve">Despite the definition of </w:t>
      </w:r>
      <w:r>
        <w:rPr>
          <w:b/>
          <w:i/>
        </w:rPr>
        <w:t>reportable death</w:t>
      </w:r>
      <w:r>
        <w:t xml:space="preserve"> in section 3, a Western Australian death of a person who has self</w:t>
      </w:r>
      <w:r>
        <w:noBreakHyphen/>
        <w:t xml:space="preserve">administered, or has been administered, a voluntary assisted dying substance in accordance with the </w:t>
      </w:r>
      <w:r>
        <w:rPr>
          <w:i/>
        </w:rPr>
        <w:t>Voluntary Assisted Dying Act 2019</w:t>
      </w:r>
      <w:r>
        <w:t xml:space="preserve"> is not a reportable death for the purposes of this Act.</w:t>
      </w:r>
    </w:p>
    <w:p>
      <w:pPr>
        <w:pStyle w:val="Subsection"/>
      </w:pPr>
      <w:r>
        <w:tab/>
        <w:t>(2)</w:t>
      </w:r>
      <w:r>
        <w:tab/>
        <w:t>Subsection (1) does not apply to a Western Australian death of a person who immediately before death was a person held in care.</w:t>
      </w:r>
    </w:p>
    <w:p>
      <w:pPr>
        <w:pStyle w:val="Footnotesection"/>
      </w:pPr>
      <w:r>
        <w:tab/>
        <w:t>[Section 3A inserted: No. 27 of 2019 s. 168.]</w:t>
      </w:r>
    </w:p>
    <w:p>
      <w:pPr>
        <w:pStyle w:val="Heading5"/>
        <w:rPr>
          <w:snapToGrid w:val="0"/>
        </w:rPr>
      </w:pPr>
      <w:bookmarkStart w:id="8" w:name="_Toc154752040"/>
      <w:r>
        <w:rPr>
          <w:rStyle w:val="CharSectno"/>
        </w:rPr>
        <w:t>4</w:t>
      </w:r>
      <w:r>
        <w:rPr>
          <w:snapToGrid w:val="0"/>
        </w:rPr>
        <w:t>.</w:t>
      </w:r>
      <w:r>
        <w:rPr>
          <w:snapToGrid w:val="0"/>
        </w:rPr>
        <w:tab/>
        <w:t>Common law rules to cease to have effect</w:t>
      </w:r>
      <w:bookmarkEnd w:id="8"/>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5"/>
      </w:pPr>
      <w:bookmarkStart w:id="9" w:name="_Toc154752041"/>
      <w:r>
        <w:rPr>
          <w:rStyle w:val="CharSectno"/>
        </w:rPr>
        <w:lastRenderedPageBreak/>
        <w:t>4A</w:t>
      </w:r>
      <w:r>
        <w:t>.</w:t>
      </w:r>
      <w:r>
        <w:tab/>
      </w:r>
      <w:r>
        <w:rPr>
          <w:i/>
        </w:rPr>
        <w:t>Courts and Tribunals (Electronic Processes Facilitation) Act 2013</w:t>
      </w:r>
      <w:r>
        <w:t xml:space="preserve"> Pt. 2 applies</w:t>
      </w:r>
      <w:bookmarkEnd w:id="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34 of 2020 s. 54.]</w:t>
      </w:r>
    </w:p>
    <w:p>
      <w:pPr>
        <w:pStyle w:val="Heading2"/>
      </w:pPr>
      <w:bookmarkStart w:id="10" w:name="_Toc154752042"/>
      <w:r>
        <w:rPr>
          <w:rStyle w:val="CharPartNo"/>
        </w:rPr>
        <w:lastRenderedPageBreak/>
        <w:t>Part 2</w:t>
      </w:r>
      <w:r>
        <w:t> — </w:t>
      </w:r>
      <w:r>
        <w:rPr>
          <w:rStyle w:val="CharPartText"/>
        </w:rPr>
        <w:t>Coroners and Coroner’s court</w:t>
      </w:r>
      <w:bookmarkEnd w:id="10"/>
      <w:r>
        <w:rPr>
          <w:rStyle w:val="CharPartText"/>
        </w:rPr>
        <w:t xml:space="preserve"> </w:t>
      </w:r>
    </w:p>
    <w:p>
      <w:pPr>
        <w:pStyle w:val="Heading3"/>
        <w:rPr>
          <w:snapToGrid w:val="0"/>
        </w:rPr>
      </w:pPr>
      <w:bookmarkStart w:id="11" w:name="_Toc154752043"/>
      <w:r>
        <w:rPr>
          <w:rStyle w:val="CharDivNo"/>
        </w:rPr>
        <w:t>Division 1</w:t>
      </w:r>
      <w:r>
        <w:rPr>
          <w:snapToGrid w:val="0"/>
        </w:rPr>
        <w:t> — </w:t>
      </w:r>
      <w:r>
        <w:rPr>
          <w:rStyle w:val="CharDivText"/>
        </w:rPr>
        <w:t>Coroner’s court</w:t>
      </w:r>
      <w:bookmarkEnd w:id="11"/>
      <w:r>
        <w:rPr>
          <w:rStyle w:val="CharDivText"/>
        </w:rPr>
        <w:t xml:space="preserve"> </w:t>
      </w:r>
    </w:p>
    <w:p>
      <w:pPr>
        <w:pStyle w:val="Heading5"/>
        <w:rPr>
          <w:snapToGrid w:val="0"/>
        </w:rPr>
      </w:pPr>
      <w:bookmarkStart w:id="12" w:name="_Toc154752044"/>
      <w:r>
        <w:rPr>
          <w:rStyle w:val="CharSectno"/>
        </w:rPr>
        <w:t>5</w:t>
      </w:r>
      <w:r>
        <w:rPr>
          <w:snapToGrid w:val="0"/>
        </w:rPr>
        <w:t>.</w:t>
      </w:r>
      <w:r>
        <w:rPr>
          <w:snapToGrid w:val="0"/>
        </w:rPr>
        <w:tab/>
        <w:t>Establishment of court</w:t>
      </w:r>
      <w:bookmarkEnd w:id="12"/>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spacing w:before="280"/>
        <w:rPr>
          <w:snapToGrid w:val="0"/>
        </w:rPr>
      </w:pPr>
      <w:bookmarkStart w:id="13" w:name="_Toc154752045"/>
      <w:r>
        <w:rPr>
          <w:rStyle w:val="CharDivNo"/>
        </w:rPr>
        <w:t>Division 2</w:t>
      </w:r>
      <w:r>
        <w:rPr>
          <w:snapToGrid w:val="0"/>
        </w:rPr>
        <w:t> — </w:t>
      </w:r>
      <w:r>
        <w:rPr>
          <w:rStyle w:val="CharDivText"/>
        </w:rPr>
        <w:t>State Coroner and other coroners</w:t>
      </w:r>
      <w:bookmarkEnd w:id="13"/>
    </w:p>
    <w:p>
      <w:pPr>
        <w:pStyle w:val="Heading5"/>
        <w:rPr>
          <w:snapToGrid w:val="0"/>
        </w:rPr>
      </w:pPr>
      <w:bookmarkStart w:id="14" w:name="_Toc154752046"/>
      <w:r>
        <w:rPr>
          <w:rStyle w:val="CharSectno"/>
        </w:rPr>
        <w:t>6</w:t>
      </w:r>
      <w:r>
        <w:rPr>
          <w:snapToGrid w:val="0"/>
        </w:rPr>
        <w:t>.</w:t>
      </w:r>
      <w:r>
        <w:rPr>
          <w:snapToGrid w:val="0"/>
        </w:rPr>
        <w:tab/>
        <w:t>State Coroner</w:t>
      </w:r>
      <w:bookmarkEnd w:id="14"/>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lastRenderedPageBreak/>
        <w:tab/>
        <w:t>(5)</w:t>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appointment as State Coroner then that person may continue to be a contributor, or member, under that Act while holding office as State Coroner.</w:t>
      </w:r>
    </w:p>
    <w:p>
      <w:pPr>
        <w:pStyle w:val="Subsection"/>
        <w:rPr>
          <w:snapToGrid w:val="0"/>
        </w:rPr>
      </w:pPr>
      <w:r>
        <w:rPr>
          <w:snapToGrid w:val="0"/>
        </w:rPr>
        <w:tab/>
        <w:t>(6)</w:t>
      </w:r>
      <w:r>
        <w:rPr>
          <w:snapToGrid w:val="0"/>
        </w:rPr>
        <w:tab/>
        <w:t xml:space="preserve">The State Coroner may not practise as </w:t>
      </w:r>
      <w:r>
        <w:t xml:space="preserve">a legal practitioner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No. 43 of 2000 s. 36(1); No. 65 of 2003 s. 25; No. 59 of 2004 s. 76; No. 21 of 2008 s. 652(2); No. 9 of 2022 s. 424.]</w:t>
      </w:r>
    </w:p>
    <w:p>
      <w:pPr>
        <w:pStyle w:val="Heading5"/>
      </w:pPr>
      <w:bookmarkStart w:id="15" w:name="_Toc154752047"/>
      <w:r>
        <w:rPr>
          <w:rStyle w:val="CharSectno"/>
        </w:rPr>
        <w:t>7</w:t>
      </w:r>
      <w:r>
        <w:t>.</w:t>
      </w:r>
      <w:r>
        <w:tab/>
        <w:t>Deputy State Coroner</w:t>
      </w:r>
      <w:bookmarkEnd w:id="15"/>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The Deputy State Coroner may not practise as a legal practitioner or be directly or indirectly concerned in such practice.</w:t>
      </w:r>
    </w:p>
    <w:p>
      <w:pPr>
        <w:pStyle w:val="Subsection"/>
      </w:pPr>
      <w:r>
        <w:lastRenderedPageBreak/>
        <w:tab/>
        <w:t>(5)</w:t>
      </w:r>
      <w:r>
        <w:tab/>
        <w:t>In the exercise of that office the Deputy State Coroner has the same protection and immunity as a judge has in respect of proceedings in the Supreme Court.</w:t>
      </w:r>
    </w:p>
    <w:p>
      <w:pPr>
        <w:pStyle w:val="Subsection"/>
        <w:keepNext/>
      </w:pPr>
      <w:r>
        <w:tab/>
        <w:t>(6)</w:t>
      </w:r>
      <w:r>
        <w:tab/>
        <w:t>The Deputy State Coroner may at any time, by written notice addressed to the Attorney General, resign as Deputy State Coroner.</w:t>
      </w:r>
    </w:p>
    <w:p>
      <w:pPr>
        <w:pStyle w:val="Footnotesection"/>
      </w:pPr>
      <w:r>
        <w:tab/>
        <w:t>[Section 7 inserted: No. 8 of 2000 s. 4; amended: No. 65 of 2003 s. 25(2); No. 21 of 2008 s. 652(3); No. 9 of 2022 s. 424.]</w:t>
      </w:r>
    </w:p>
    <w:p>
      <w:pPr>
        <w:pStyle w:val="Heading5"/>
      </w:pPr>
      <w:bookmarkStart w:id="16" w:name="_Toc154752048"/>
      <w:r>
        <w:rPr>
          <w:rStyle w:val="CharSectno"/>
        </w:rPr>
        <w:t>7A</w:t>
      </w:r>
      <w:r>
        <w:t>.</w:t>
      </w:r>
      <w:r>
        <w:tab/>
        <w:t>Acting Deputy State Coroner</w:t>
      </w:r>
      <w:bookmarkEnd w:id="16"/>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No. 8 of 2000 s. 4.]</w:t>
      </w:r>
    </w:p>
    <w:p>
      <w:pPr>
        <w:pStyle w:val="Heading5"/>
        <w:rPr>
          <w:snapToGrid w:val="0"/>
        </w:rPr>
      </w:pPr>
      <w:bookmarkStart w:id="17" w:name="_Toc154752049"/>
      <w:r>
        <w:rPr>
          <w:rStyle w:val="CharSectno"/>
        </w:rPr>
        <w:t>8</w:t>
      </w:r>
      <w:r>
        <w:rPr>
          <w:snapToGrid w:val="0"/>
        </w:rPr>
        <w:t>.</w:t>
      </w:r>
      <w:r>
        <w:rPr>
          <w:snapToGrid w:val="0"/>
        </w:rPr>
        <w:tab/>
        <w:t>Functions of State Coroner</w:t>
      </w:r>
      <w:bookmarkEnd w:id="17"/>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lastRenderedPageBreak/>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18" w:name="_Toc154752050"/>
      <w:r>
        <w:rPr>
          <w:rStyle w:val="CharSectno"/>
        </w:rPr>
        <w:t>9</w:t>
      </w:r>
      <w:r>
        <w:rPr>
          <w:snapToGrid w:val="0"/>
        </w:rPr>
        <w:t>.</w:t>
      </w:r>
      <w:r>
        <w:rPr>
          <w:snapToGrid w:val="0"/>
        </w:rPr>
        <w:tab/>
        <w:t>Oath of office</w:t>
      </w:r>
      <w:bookmarkEnd w:id="18"/>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19" w:name="_Toc154752051"/>
      <w:r>
        <w:rPr>
          <w:rStyle w:val="CharSectno"/>
        </w:rPr>
        <w:t>10</w:t>
      </w:r>
      <w:r>
        <w:rPr>
          <w:snapToGrid w:val="0"/>
        </w:rPr>
        <w:t>.</w:t>
      </w:r>
      <w:r>
        <w:rPr>
          <w:snapToGrid w:val="0"/>
        </w:rPr>
        <w:tab/>
        <w:t>Delegation</w:t>
      </w:r>
      <w:bookmarkEnd w:id="19"/>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No. 59 of 2004 s. 76.]</w:t>
      </w:r>
    </w:p>
    <w:p>
      <w:pPr>
        <w:pStyle w:val="Heading5"/>
        <w:rPr>
          <w:snapToGrid w:val="0"/>
        </w:rPr>
      </w:pPr>
      <w:bookmarkStart w:id="20" w:name="_Toc154752052"/>
      <w:r>
        <w:rPr>
          <w:rStyle w:val="CharSectno"/>
        </w:rPr>
        <w:t>11</w:t>
      </w:r>
      <w:r>
        <w:rPr>
          <w:snapToGrid w:val="0"/>
        </w:rPr>
        <w:t>.</w:t>
      </w:r>
      <w:r>
        <w:rPr>
          <w:snapToGrid w:val="0"/>
        </w:rPr>
        <w:tab/>
        <w:t>Coroners</w:t>
      </w:r>
      <w:bookmarkEnd w:id="20"/>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No. 15 of 2003 s. 5.]</w:t>
      </w:r>
    </w:p>
    <w:p>
      <w:pPr>
        <w:pStyle w:val="Heading3"/>
        <w:spacing w:before="600"/>
        <w:rPr>
          <w:snapToGrid w:val="0"/>
        </w:rPr>
      </w:pPr>
      <w:bookmarkStart w:id="21" w:name="_Toc154752053"/>
      <w:r>
        <w:rPr>
          <w:rStyle w:val="CharDivNo"/>
        </w:rPr>
        <w:lastRenderedPageBreak/>
        <w:t>Division 3</w:t>
      </w:r>
      <w:r>
        <w:rPr>
          <w:snapToGrid w:val="0"/>
        </w:rPr>
        <w:t> — </w:t>
      </w:r>
      <w:r>
        <w:rPr>
          <w:rStyle w:val="CharDivText"/>
        </w:rPr>
        <w:t>Coroner’s registrars and investigators</w:t>
      </w:r>
      <w:bookmarkEnd w:id="21"/>
      <w:r>
        <w:rPr>
          <w:rStyle w:val="CharDivText"/>
        </w:rPr>
        <w:t xml:space="preserve"> </w:t>
      </w:r>
    </w:p>
    <w:p>
      <w:pPr>
        <w:pStyle w:val="Footnoteheading"/>
        <w:keepNext/>
      </w:pPr>
      <w:r>
        <w:tab/>
        <w:t>[Heading amended: No. 59 of 2004 s. 76.]</w:t>
      </w:r>
    </w:p>
    <w:p>
      <w:pPr>
        <w:pStyle w:val="Heading5"/>
      </w:pPr>
      <w:bookmarkStart w:id="22" w:name="_Toc154752054"/>
      <w:r>
        <w:rPr>
          <w:rStyle w:val="CharSectno"/>
        </w:rPr>
        <w:t>12</w:t>
      </w:r>
      <w:r>
        <w:t>.</w:t>
      </w:r>
      <w:r>
        <w:tab/>
        <w:t>Coroner’s registrars</w:t>
      </w:r>
      <w:bookmarkEnd w:id="22"/>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No. 59 of 2004 s. 75(1).]</w:t>
      </w:r>
    </w:p>
    <w:p>
      <w:pPr>
        <w:pStyle w:val="Heading5"/>
        <w:rPr>
          <w:snapToGrid w:val="0"/>
        </w:rPr>
      </w:pPr>
      <w:bookmarkStart w:id="23" w:name="_Toc154752055"/>
      <w:r>
        <w:rPr>
          <w:rStyle w:val="CharSectno"/>
        </w:rPr>
        <w:t>13</w:t>
      </w:r>
      <w:r>
        <w:rPr>
          <w:snapToGrid w:val="0"/>
        </w:rPr>
        <w:t>.</w:t>
      </w:r>
      <w:r>
        <w:rPr>
          <w:snapToGrid w:val="0"/>
        </w:rPr>
        <w:tab/>
        <w:t xml:space="preserve">Functions of coroner’s </w:t>
      </w:r>
      <w:r>
        <w:t>registrars</w:t>
      </w:r>
      <w:bookmarkEnd w:id="23"/>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 and</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No. 59 of 2004 s. 76.]</w:t>
      </w:r>
    </w:p>
    <w:p>
      <w:pPr>
        <w:pStyle w:val="Heading5"/>
        <w:rPr>
          <w:snapToGrid w:val="0"/>
        </w:rPr>
      </w:pPr>
      <w:bookmarkStart w:id="24" w:name="_Toc154752056"/>
      <w:r>
        <w:rPr>
          <w:rStyle w:val="CharSectno"/>
        </w:rPr>
        <w:t>14</w:t>
      </w:r>
      <w:r>
        <w:rPr>
          <w:snapToGrid w:val="0"/>
        </w:rPr>
        <w:t>.</w:t>
      </w:r>
      <w:r>
        <w:rPr>
          <w:snapToGrid w:val="0"/>
        </w:rPr>
        <w:tab/>
        <w:t>Appointment of coroner’s investigators</w:t>
      </w:r>
      <w:bookmarkEnd w:id="24"/>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lastRenderedPageBreak/>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No. 15 of 2003 s. 6.]</w:t>
      </w:r>
    </w:p>
    <w:p>
      <w:pPr>
        <w:pStyle w:val="Heading5"/>
        <w:rPr>
          <w:snapToGrid w:val="0"/>
        </w:rPr>
      </w:pPr>
      <w:bookmarkStart w:id="25" w:name="_Toc154752057"/>
      <w:r>
        <w:rPr>
          <w:rStyle w:val="CharSectno"/>
        </w:rPr>
        <w:t>15</w:t>
      </w:r>
      <w:r>
        <w:rPr>
          <w:snapToGrid w:val="0"/>
        </w:rPr>
        <w:t>.</w:t>
      </w:r>
      <w:r>
        <w:rPr>
          <w:snapToGrid w:val="0"/>
        </w:rPr>
        <w:tab/>
        <w:t>Affidavits</w:t>
      </w:r>
      <w:bookmarkEnd w:id="25"/>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No. 59 of 2004 s. 76.]</w:t>
      </w:r>
    </w:p>
    <w:p>
      <w:pPr>
        <w:pStyle w:val="Heading3"/>
        <w:rPr>
          <w:snapToGrid w:val="0"/>
        </w:rPr>
      </w:pPr>
      <w:bookmarkStart w:id="26" w:name="_Toc154752058"/>
      <w:r>
        <w:rPr>
          <w:rStyle w:val="CharDivNo"/>
        </w:rPr>
        <w:t>Division 4</w:t>
      </w:r>
      <w:r>
        <w:rPr>
          <w:snapToGrid w:val="0"/>
        </w:rPr>
        <w:t> — </w:t>
      </w:r>
      <w:r>
        <w:rPr>
          <w:rStyle w:val="CharDivText"/>
        </w:rPr>
        <w:t>Counselling</w:t>
      </w:r>
      <w:bookmarkEnd w:id="26"/>
      <w:r>
        <w:rPr>
          <w:rStyle w:val="CharDivText"/>
        </w:rPr>
        <w:t xml:space="preserve"> </w:t>
      </w:r>
    </w:p>
    <w:p>
      <w:pPr>
        <w:pStyle w:val="Heading5"/>
        <w:rPr>
          <w:snapToGrid w:val="0"/>
        </w:rPr>
      </w:pPr>
      <w:bookmarkStart w:id="27" w:name="_Toc154752059"/>
      <w:r>
        <w:rPr>
          <w:rStyle w:val="CharSectno"/>
        </w:rPr>
        <w:t>16</w:t>
      </w:r>
      <w:r>
        <w:rPr>
          <w:snapToGrid w:val="0"/>
        </w:rPr>
        <w:t>.</w:t>
      </w:r>
      <w:r>
        <w:rPr>
          <w:snapToGrid w:val="0"/>
        </w:rPr>
        <w:tab/>
        <w:t>Counselling</w:t>
      </w:r>
      <w:bookmarkEnd w:id="27"/>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28" w:name="_Toc154752060"/>
      <w:r>
        <w:rPr>
          <w:rStyle w:val="CharPartNo"/>
        </w:rPr>
        <w:lastRenderedPageBreak/>
        <w:t>Part 3</w:t>
      </w:r>
      <w:r>
        <w:rPr>
          <w:rStyle w:val="CharDivNo"/>
        </w:rPr>
        <w:t> </w:t>
      </w:r>
      <w:r>
        <w:t>—</w:t>
      </w:r>
      <w:r>
        <w:rPr>
          <w:rStyle w:val="CharDivText"/>
        </w:rPr>
        <w:t> </w:t>
      </w:r>
      <w:r>
        <w:rPr>
          <w:rStyle w:val="CharPartText"/>
        </w:rPr>
        <w:t>Reporting of deaths</w:t>
      </w:r>
      <w:bookmarkEnd w:id="28"/>
    </w:p>
    <w:p>
      <w:pPr>
        <w:pStyle w:val="Heading5"/>
        <w:rPr>
          <w:snapToGrid w:val="0"/>
        </w:rPr>
      </w:pPr>
      <w:bookmarkStart w:id="29" w:name="_Toc154752061"/>
      <w:r>
        <w:rPr>
          <w:rStyle w:val="CharSectno"/>
        </w:rPr>
        <w:t>17</w:t>
      </w:r>
      <w:r>
        <w:rPr>
          <w:snapToGrid w:val="0"/>
        </w:rPr>
        <w:t>.</w:t>
      </w:r>
      <w:r>
        <w:rPr>
          <w:snapToGrid w:val="0"/>
        </w:rPr>
        <w:tab/>
        <w:t>Obligation to report death</w:t>
      </w:r>
      <w:bookmarkEnd w:id="29"/>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 or</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No. 40 of 1998 s. 8(3).]</w:t>
      </w:r>
    </w:p>
    <w:p>
      <w:pPr>
        <w:pStyle w:val="Heading5"/>
        <w:rPr>
          <w:snapToGrid w:val="0"/>
        </w:rPr>
      </w:pPr>
      <w:bookmarkStart w:id="30" w:name="_Toc154752062"/>
      <w:r>
        <w:rPr>
          <w:rStyle w:val="CharSectno"/>
        </w:rPr>
        <w:lastRenderedPageBreak/>
        <w:t>18</w:t>
      </w:r>
      <w:r>
        <w:rPr>
          <w:snapToGrid w:val="0"/>
        </w:rPr>
        <w:t>.</w:t>
      </w:r>
      <w:r>
        <w:rPr>
          <w:snapToGrid w:val="0"/>
        </w:rPr>
        <w:tab/>
        <w:t>Information to be given to coroner</w:t>
      </w:r>
      <w:bookmarkEnd w:id="30"/>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31" w:name="_Toc154752063"/>
      <w:r>
        <w:rPr>
          <w:rStyle w:val="CharPartNo"/>
        </w:rPr>
        <w:lastRenderedPageBreak/>
        <w:t>Part 4</w:t>
      </w:r>
      <w:r>
        <w:t> — </w:t>
      </w:r>
      <w:r>
        <w:rPr>
          <w:rStyle w:val="CharPartText"/>
        </w:rPr>
        <w:t>Investigation of deaths</w:t>
      </w:r>
      <w:bookmarkEnd w:id="31"/>
    </w:p>
    <w:p>
      <w:pPr>
        <w:pStyle w:val="Heading3"/>
        <w:rPr>
          <w:snapToGrid w:val="0"/>
        </w:rPr>
      </w:pPr>
      <w:bookmarkStart w:id="32" w:name="_Toc154752064"/>
      <w:r>
        <w:rPr>
          <w:rStyle w:val="CharDivNo"/>
        </w:rPr>
        <w:t>Division 1</w:t>
      </w:r>
      <w:r>
        <w:rPr>
          <w:snapToGrid w:val="0"/>
        </w:rPr>
        <w:t> — </w:t>
      </w:r>
      <w:r>
        <w:rPr>
          <w:rStyle w:val="CharDivText"/>
        </w:rPr>
        <w:t>General powers and duties of coroners</w:t>
      </w:r>
      <w:bookmarkEnd w:id="32"/>
      <w:r>
        <w:rPr>
          <w:rStyle w:val="CharDivText"/>
        </w:rPr>
        <w:t xml:space="preserve"> </w:t>
      </w:r>
    </w:p>
    <w:p>
      <w:pPr>
        <w:pStyle w:val="Heading5"/>
        <w:rPr>
          <w:snapToGrid w:val="0"/>
        </w:rPr>
      </w:pPr>
      <w:bookmarkStart w:id="33" w:name="_Toc154752065"/>
      <w:r>
        <w:rPr>
          <w:rStyle w:val="CharSectno"/>
        </w:rPr>
        <w:t>19</w:t>
      </w:r>
      <w:r>
        <w:rPr>
          <w:snapToGrid w:val="0"/>
        </w:rPr>
        <w:t>.</w:t>
      </w:r>
      <w:r>
        <w:rPr>
          <w:snapToGrid w:val="0"/>
        </w:rPr>
        <w:tab/>
        <w:t>Jurisdiction of coroner to investigate death</w:t>
      </w:r>
      <w:bookmarkEnd w:id="33"/>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pPr>
      <w:bookmarkStart w:id="34" w:name="_Toc154752066"/>
      <w:r>
        <w:rPr>
          <w:rStyle w:val="CharSectno"/>
        </w:rPr>
        <w:t>19A</w:t>
      </w:r>
      <w:r>
        <w:t>.</w:t>
      </w:r>
      <w:r>
        <w:tab/>
        <w:t>Certain reportable deaths do not require investigation</w:t>
      </w:r>
      <w:bookmarkEnd w:id="34"/>
    </w:p>
    <w:p>
      <w:pPr>
        <w:pStyle w:val="Subsection"/>
      </w:pPr>
      <w:r>
        <w:tab/>
        <w:t>(1)</w:t>
      </w:r>
      <w:r>
        <w:tab/>
        <w:t>A coroner is not required to investigate, or continue to investigate, a reportable death if the coroner determines that —</w:t>
      </w:r>
    </w:p>
    <w:p>
      <w:pPr>
        <w:pStyle w:val="Indenta"/>
      </w:pPr>
      <w:r>
        <w:tab/>
        <w:t>(a)</w:t>
      </w:r>
      <w:r>
        <w:tab/>
        <w:t>the death is due to natural causes; and</w:t>
      </w:r>
    </w:p>
    <w:p>
      <w:pPr>
        <w:pStyle w:val="Indenta"/>
      </w:pPr>
      <w:r>
        <w:tab/>
        <w:t>(b)</w:t>
      </w:r>
      <w:r>
        <w:tab/>
        <w:t>the death is a reportable death solely because it appears to have been unexpected.</w:t>
      </w:r>
    </w:p>
    <w:p>
      <w:pPr>
        <w:pStyle w:val="Subsection"/>
      </w:pPr>
      <w:r>
        <w:tab/>
        <w:t>(2)</w:t>
      </w:r>
      <w:r>
        <w:tab/>
        <w:t>For the purposes of subsection (1)(a), a coroner may determine that a death is due to natural causes if a pathologist informs the coroner in writing that, in the pathologist’s opinion, the death is due to natural causes or consistent with natural causes.</w:t>
      </w:r>
    </w:p>
    <w:p>
      <w:pPr>
        <w:pStyle w:val="Subsection"/>
      </w:pPr>
      <w:r>
        <w:tab/>
        <w:t>(3)</w:t>
      </w:r>
      <w:r>
        <w:tab/>
        <w:t xml:space="preserve">However, a determination cannot be made under subsection (1) about a reportable death if — </w:t>
      </w:r>
    </w:p>
    <w:p>
      <w:pPr>
        <w:pStyle w:val="Indenta"/>
      </w:pPr>
      <w:r>
        <w:tab/>
        <w:t>(a)</w:t>
      </w:r>
      <w:r>
        <w:tab/>
        <w:t>there is a duty to hold an inquest into the death under this Act; or</w:t>
      </w:r>
    </w:p>
    <w:p>
      <w:pPr>
        <w:pStyle w:val="Indenta"/>
      </w:pPr>
      <w:r>
        <w:tab/>
        <w:t>(b)</w:t>
      </w:r>
      <w:r>
        <w:tab/>
        <w:t>the death occurred during an anaesthetic.</w:t>
      </w:r>
    </w:p>
    <w:p>
      <w:pPr>
        <w:pStyle w:val="Subsection"/>
      </w:pPr>
      <w:r>
        <w:tab/>
        <w:t>(4)</w:t>
      </w:r>
      <w:r>
        <w:tab/>
        <w:t>If a determination is made under subsection (1), the coroner must notify the Registrar of Births, Deaths and Marriages as soon as possible of the particulars (if any) found by the coroner which are needed to register the death.</w:t>
      </w:r>
    </w:p>
    <w:p>
      <w:pPr>
        <w:pStyle w:val="Footnotesection"/>
      </w:pPr>
      <w:r>
        <w:tab/>
        <w:t>[Section 19A inserted: No. 23 of 2018 s. 4.]</w:t>
      </w:r>
    </w:p>
    <w:p>
      <w:pPr>
        <w:pStyle w:val="Heading5"/>
      </w:pPr>
      <w:bookmarkStart w:id="35" w:name="_Toc154752067"/>
      <w:r>
        <w:rPr>
          <w:rStyle w:val="CharSectno"/>
        </w:rPr>
        <w:lastRenderedPageBreak/>
        <w:t>19B</w:t>
      </w:r>
      <w:r>
        <w:t>.</w:t>
      </w:r>
      <w:r>
        <w:tab/>
        <w:t>Investigations and Aboriginal ancestral remains</w:t>
      </w:r>
      <w:bookmarkEnd w:id="35"/>
    </w:p>
    <w:p>
      <w:pPr>
        <w:pStyle w:val="Subsection"/>
      </w:pPr>
      <w:r>
        <w:tab/>
        <w:t>(1)</w:t>
      </w:r>
      <w:r>
        <w:tab/>
        <w:t xml:space="preserve">In this section — </w:t>
      </w:r>
    </w:p>
    <w:p>
      <w:pPr>
        <w:pStyle w:val="Defstart"/>
      </w:pPr>
      <w:r>
        <w:tab/>
      </w:r>
      <w:r>
        <w:rPr>
          <w:rStyle w:val="CharDefText"/>
        </w:rPr>
        <w:t>Aboriginal ancestral remains</w:t>
      </w:r>
      <w:r>
        <w:t xml:space="preserve"> has the meaning given in paragraph (b)(iv) of the definition of </w:t>
      </w:r>
      <w:r>
        <w:rPr>
          <w:b/>
          <w:i/>
        </w:rPr>
        <w:t>Aboriginal cultural heritage</w:t>
      </w:r>
      <w:r>
        <w:t xml:space="preserve"> in the </w:t>
      </w:r>
      <w:r>
        <w:rPr>
          <w:i/>
        </w:rPr>
        <w:t xml:space="preserve">Aboriginal Cultural Heritage Act 2021 </w:t>
      </w:r>
      <w:r>
        <w:t>section 12;</w:t>
      </w:r>
    </w:p>
    <w:p>
      <w:pPr>
        <w:pStyle w:val="Defstart"/>
      </w:pPr>
      <w:r>
        <w:tab/>
      </w:r>
      <w:r>
        <w:rPr>
          <w:rStyle w:val="CharDefText"/>
        </w:rPr>
        <w:t>Aboriginal Cultural Heritage Council</w:t>
      </w:r>
      <w:r>
        <w:t xml:space="preserve"> means the body established under the </w:t>
      </w:r>
      <w:r>
        <w:rPr>
          <w:i/>
        </w:rPr>
        <w:t xml:space="preserve">Aboriginal Cultural Heritage Act 2021 </w:t>
      </w:r>
      <w:r>
        <w:t>section 20(1).</w:t>
      </w:r>
    </w:p>
    <w:p>
      <w:pPr>
        <w:pStyle w:val="Subsection"/>
      </w:pPr>
      <w:r>
        <w:tab/>
        <w:t>(2)</w:t>
      </w:r>
      <w:r>
        <w:tab/>
        <w:t>If a coroner investigating a death believes that the body is, or is likely to be, Aboriginal ancestral remains, the coroner must notify the Aboriginal Cultural Heritage Council.</w:t>
      </w:r>
    </w:p>
    <w:p>
      <w:pPr>
        <w:pStyle w:val="Footnotesection"/>
      </w:pPr>
      <w:r>
        <w:tab/>
        <w:t>[Section 19B inserted: No. 27 of 2021 s. 346(2).]</w:t>
      </w:r>
    </w:p>
    <w:p>
      <w:pPr>
        <w:pStyle w:val="Heading5"/>
        <w:rPr>
          <w:snapToGrid w:val="0"/>
        </w:rPr>
      </w:pPr>
      <w:bookmarkStart w:id="36" w:name="_Toc154752068"/>
      <w:r>
        <w:rPr>
          <w:rStyle w:val="CharSectno"/>
        </w:rPr>
        <w:t>20</w:t>
      </w:r>
      <w:r>
        <w:rPr>
          <w:snapToGrid w:val="0"/>
        </w:rPr>
        <w:t>.</w:t>
      </w:r>
      <w:r>
        <w:rPr>
          <w:snapToGrid w:val="0"/>
        </w:rPr>
        <w:tab/>
        <w:t>Information to be provided to next of kin</w:t>
      </w:r>
      <w:bookmarkEnd w:id="36"/>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 and</w:t>
      </w:r>
    </w:p>
    <w:p>
      <w:pPr>
        <w:pStyle w:val="Indenta"/>
        <w:rPr>
          <w:snapToGrid w:val="0"/>
        </w:rPr>
      </w:pPr>
      <w:r>
        <w:rPr>
          <w:snapToGrid w:val="0"/>
        </w:rPr>
        <w:tab/>
        <w:t>(b)</w:t>
      </w:r>
      <w:r>
        <w:rPr>
          <w:snapToGrid w:val="0"/>
        </w:rPr>
        <w:tab/>
        <w:t>that a post mortem examination is likely to be performed on the body under section 34; and</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 and</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 and</w:t>
      </w:r>
    </w:p>
    <w:p>
      <w:pPr>
        <w:pStyle w:val="Indenta"/>
        <w:rPr>
          <w:snapToGrid w:val="0"/>
        </w:rPr>
      </w:pPr>
      <w:r>
        <w:rPr>
          <w:snapToGrid w:val="0"/>
        </w:rPr>
        <w:lastRenderedPageBreak/>
        <w:tab/>
        <w:t>(e)</w:t>
      </w:r>
      <w:r>
        <w:rPr>
          <w:snapToGrid w:val="0"/>
        </w:rPr>
        <w:tab/>
        <w:t>that if tissue is to be removed from the body under section 34(3)(b), then there is a right to view the written permission of the deceased; and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 and</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 and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 and</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37" w:name="_Toc154752069"/>
      <w:r>
        <w:rPr>
          <w:rStyle w:val="CharSectno"/>
        </w:rPr>
        <w:t>21</w:t>
      </w:r>
      <w:r>
        <w:rPr>
          <w:snapToGrid w:val="0"/>
        </w:rPr>
        <w:t>.</w:t>
      </w:r>
      <w:r>
        <w:rPr>
          <w:snapToGrid w:val="0"/>
        </w:rPr>
        <w:tab/>
        <w:t>Directions by State Coroner</w:t>
      </w:r>
      <w:bookmarkEnd w:id="37"/>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No. 8 of 2000 s. 5; No. 59 of 2004 s. 76.]</w:t>
      </w:r>
    </w:p>
    <w:p>
      <w:pPr>
        <w:pStyle w:val="Heading5"/>
        <w:spacing w:before="180"/>
        <w:rPr>
          <w:snapToGrid w:val="0"/>
        </w:rPr>
      </w:pPr>
      <w:bookmarkStart w:id="38" w:name="_Toc154752070"/>
      <w:r>
        <w:rPr>
          <w:rStyle w:val="CharSectno"/>
        </w:rPr>
        <w:lastRenderedPageBreak/>
        <w:t>22</w:t>
      </w:r>
      <w:r>
        <w:rPr>
          <w:snapToGrid w:val="0"/>
        </w:rPr>
        <w:t>.</w:t>
      </w:r>
      <w:r>
        <w:rPr>
          <w:snapToGrid w:val="0"/>
        </w:rPr>
        <w:tab/>
        <w:t>Jurisdiction of coroner to hold inquest into death</w:t>
      </w:r>
      <w:bookmarkEnd w:id="38"/>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 or</w:t>
      </w:r>
    </w:p>
    <w:p>
      <w:pPr>
        <w:pStyle w:val="Indenta"/>
        <w:rPr>
          <w:snapToGrid w:val="0"/>
        </w:rPr>
      </w:pPr>
      <w:r>
        <w:rPr>
          <w:snapToGrid w:val="0"/>
        </w:rPr>
        <w:tab/>
        <w:t>(b)</w:t>
      </w:r>
      <w:r>
        <w:rPr>
          <w:snapToGrid w:val="0"/>
        </w:rPr>
        <w:tab/>
        <w:t>it appears that the death was caused, or contributed to, by any action of a member of the Police Force; or</w:t>
      </w:r>
    </w:p>
    <w:p>
      <w:pPr>
        <w:pStyle w:val="Indenta"/>
        <w:rPr>
          <w:snapToGrid w:val="0"/>
        </w:rPr>
      </w:pPr>
      <w:r>
        <w:rPr>
          <w:snapToGrid w:val="0"/>
        </w:rPr>
        <w:tab/>
        <w:t>(c)</w:t>
      </w:r>
      <w:r>
        <w:rPr>
          <w:snapToGrid w:val="0"/>
        </w:rPr>
        <w:tab/>
        <w:t>it appears that the death was caused, or contributed to, while the deceased was a person held in care; or</w:t>
      </w:r>
    </w:p>
    <w:p>
      <w:pPr>
        <w:pStyle w:val="Indenta"/>
        <w:rPr>
          <w:snapToGrid w:val="0"/>
        </w:rPr>
      </w:pPr>
      <w:r>
        <w:rPr>
          <w:snapToGrid w:val="0"/>
        </w:rPr>
        <w:tab/>
        <w:t>(d)</w:t>
      </w:r>
      <w:r>
        <w:rPr>
          <w:snapToGrid w:val="0"/>
        </w:rPr>
        <w:tab/>
        <w:t>the Attorney General so directs; or</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39" w:name="_Toc154752071"/>
      <w:r>
        <w:rPr>
          <w:rStyle w:val="CharSectno"/>
        </w:rPr>
        <w:t>23</w:t>
      </w:r>
      <w:r>
        <w:rPr>
          <w:snapToGrid w:val="0"/>
        </w:rPr>
        <w:t>.</w:t>
      </w:r>
      <w:r>
        <w:rPr>
          <w:snapToGrid w:val="0"/>
        </w:rPr>
        <w:tab/>
        <w:t>Investigation of suspected deaths</w:t>
      </w:r>
      <w:bookmarkEnd w:id="39"/>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40" w:name="_Toc154752072"/>
      <w:r>
        <w:rPr>
          <w:rStyle w:val="CharSectno"/>
        </w:rPr>
        <w:t>24</w:t>
      </w:r>
      <w:r>
        <w:rPr>
          <w:snapToGrid w:val="0"/>
        </w:rPr>
        <w:t>.</w:t>
      </w:r>
      <w:r>
        <w:rPr>
          <w:snapToGrid w:val="0"/>
        </w:rPr>
        <w:tab/>
        <w:t>Application for inquest into death</w:t>
      </w:r>
      <w:bookmarkEnd w:id="40"/>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lastRenderedPageBreak/>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No. 15 of 2003 s. 7.]</w:t>
      </w:r>
    </w:p>
    <w:p>
      <w:pPr>
        <w:pStyle w:val="Heading5"/>
        <w:rPr>
          <w:snapToGrid w:val="0"/>
        </w:rPr>
      </w:pPr>
      <w:bookmarkStart w:id="41" w:name="_Toc154752073"/>
      <w:r>
        <w:rPr>
          <w:rStyle w:val="CharSectno"/>
        </w:rPr>
        <w:t>25</w:t>
      </w:r>
      <w:r>
        <w:rPr>
          <w:snapToGrid w:val="0"/>
        </w:rPr>
        <w:t>.</w:t>
      </w:r>
      <w:r>
        <w:rPr>
          <w:snapToGrid w:val="0"/>
        </w:rPr>
        <w:tab/>
        <w:t>Findings and comments of coroner</w:t>
      </w:r>
      <w:bookmarkEnd w:id="41"/>
      <w:r>
        <w:rPr>
          <w:snapToGrid w:val="0"/>
        </w:rPr>
        <w:t xml:space="preserve"> </w:t>
      </w:r>
    </w:p>
    <w:p>
      <w:pPr>
        <w:pStyle w:val="Subsection"/>
        <w:keepNext/>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the identity of the deceased; and</w:t>
      </w:r>
    </w:p>
    <w:p>
      <w:pPr>
        <w:pStyle w:val="Indenta"/>
        <w:rPr>
          <w:snapToGrid w:val="0"/>
        </w:rPr>
      </w:pPr>
      <w:r>
        <w:rPr>
          <w:snapToGrid w:val="0"/>
        </w:rPr>
        <w:tab/>
        <w:t>(b)</w:t>
      </w:r>
      <w:r>
        <w:rPr>
          <w:snapToGrid w:val="0"/>
        </w:rPr>
        <w:tab/>
        <w:t>how death occurred; and</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pPr>
      <w:r>
        <w:tab/>
        <w:t>(1A)</w:t>
      </w:r>
      <w:r>
        <w:tab/>
        <w:t xml:space="preserve">However, a coroner is not under a duty to make a finding under subsection (1)(b) as to how death occurred, even if it is possible to do so, if — </w:t>
      </w:r>
    </w:p>
    <w:p>
      <w:pPr>
        <w:pStyle w:val="Indenta"/>
      </w:pPr>
      <w:r>
        <w:tab/>
        <w:t>(a)</w:t>
      </w:r>
      <w:r>
        <w:tab/>
        <w:t>there is no duty to hold an inquest into the death under this Act; and</w:t>
      </w:r>
    </w:p>
    <w:p>
      <w:pPr>
        <w:pStyle w:val="Indenta"/>
      </w:pPr>
      <w:r>
        <w:tab/>
        <w:t>(b)</w:t>
      </w:r>
      <w:r>
        <w:tab/>
        <w:t>the coroner determines that there is no public interest to be served in making a finding as to how the death occurred.</w:t>
      </w:r>
    </w:p>
    <w:p>
      <w:pPr>
        <w:pStyle w:val="Subsection"/>
        <w:rPr>
          <w:snapToGrid w:val="0"/>
        </w:rPr>
      </w:pPr>
      <w:r>
        <w:rPr>
          <w:snapToGrid w:val="0"/>
        </w:rPr>
        <w:lastRenderedPageBreak/>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No. 40 of 1998 s. 8(4); No. 23 of 2018 s. 5.]</w:t>
      </w:r>
    </w:p>
    <w:p>
      <w:pPr>
        <w:pStyle w:val="Heading5"/>
        <w:rPr>
          <w:snapToGrid w:val="0"/>
        </w:rPr>
      </w:pPr>
      <w:bookmarkStart w:id="42" w:name="_Toc154752074"/>
      <w:r>
        <w:rPr>
          <w:rStyle w:val="CharSectno"/>
        </w:rPr>
        <w:t>26</w:t>
      </w:r>
      <w:r>
        <w:rPr>
          <w:snapToGrid w:val="0"/>
        </w:rPr>
        <w:t>.</w:t>
      </w:r>
      <w:r>
        <w:rPr>
          <w:snapToGrid w:val="0"/>
        </w:rPr>
        <w:tab/>
        <w:t>Record of findings and comments</w:t>
      </w:r>
      <w:bookmarkEnd w:id="42"/>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No. 15 of 2003 s. 8; No. 59 of 2004 s. 76.]</w:t>
      </w:r>
    </w:p>
    <w:p>
      <w:pPr>
        <w:pStyle w:val="Heading5"/>
      </w:pPr>
      <w:bookmarkStart w:id="43" w:name="_Toc154752075"/>
      <w:r>
        <w:rPr>
          <w:rStyle w:val="CharSectno"/>
        </w:rPr>
        <w:t>26A</w:t>
      </w:r>
      <w:r>
        <w:t>.</w:t>
      </w:r>
      <w:r>
        <w:tab/>
        <w:t>Access to evidence</w:t>
      </w:r>
      <w:bookmarkEnd w:id="43"/>
    </w:p>
    <w:p>
      <w:pPr>
        <w:pStyle w:val="Subsection"/>
        <w:keepNext/>
      </w:pPr>
      <w:r>
        <w:tab/>
      </w:r>
      <w:r>
        <w:tab/>
        <w:t xml:space="preserve">If the senior next of kin of a deceased person asks a coroner for access to evidence obtained for the purpose of investigating the death, the coroner is to give that person access to that evidence, </w:t>
      </w:r>
      <w:r>
        <w:lastRenderedPageBreak/>
        <w:t>unless the coroner believes it is not desirable or practicable to do so.</w:t>
      </w:r>
    </w:p>
    <w:p>
      <w:pPr>
        <w:pStyle w:val="Footnotesection"/>
      </w:pPr>
      <w:r>
        <w:tab/>
        <w:t>[Section 26A inserted: No. 15 of 2003 s. 9.]</w:t>
      </w:r>
    </w:p>
    <w:p>
      <w:pPr>
        <w:pStyle w:val="Heading5"/>
        <w:rPr>
          <w:snapToGrid w:val="0"/>
        </w:rPr>
      </w:pPr>
      <w:bookmarkStart w:id="44" w:name="_Toc154752076"/>
      <w:r>
        <w:rPr>
          <w:rStyle w:val="CharSectno"/>
        </w:rPr>
        <w:t>27</w:t>
      </w:r>
      <w:r>
        <w:rPr>
          <w:snapToGrid w:val="0"/>
        </w:rPr>
        <w:t>.</w:t>
      </w:r>
      <w:r>
        <w:rPr>
          <w:snapToGrid w:val="0"/>
        </w:rPr>
        <w:tab/>
        <w:t>Reports</w:t>
      </w:r>
      <w:bookmarkEnd w:id="44"/>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No. 15 of 2003 s. 10.]</w:t>
      </w:r>
    </w:p>
    <w:p>
      <w:pPr>
        <w:pStyle w:val="Heading5"/>
        <w:rPr>
          <w:snapToGrid w:val="0"/>
        </w:rPr>
      </w:pPr>
      <w:bookmarkStart w:id="45" w:name="_Toc154752077"/>
      <w:r>
        <w:rPr>
          <w:rStyle w:val="CharSectno"/>
        </w:rPr>
        <w:lastRenderedPageBreak/>
        <w:t>28</w:t>
      </w:r>
      <w:r>
        <w:rPr>
          <w:snapToGrid w:val="0"/>
        </w:rPr>
        <w:t>.</w:t>
      </w:r>
      <w:r>
        <w:rPr>
          <w:snapToGrid w:val="0"/>
        </w:rPr>
        <w:tab/>
        <w:t>Notification of reported deaths to Registrar of Births, Deaths and Marriages</w:t>
      </w:r>
      <w:bookmarkEnd w:id="45"/>
    </w:p>
    <w:p>
      <w:pPr>
        <w:pStyle w:val="Subsection"/>
        <w:rPr>
          <w:snapToGrid w:val="0"/>
        </w:rPr>
      </w:pPr>
      <w:r>
        <w:rPr>
          <w:snapToGrid w:val="0"/>
        </w:rPr>
        <w:tab/>
        <w:t>(1)</w:t>
      </w:r>
      <w:r>
        <w:rPr>
          <w:snapToGrid w:val="0"/>
        </w:rPr>
        <w:tab/>
        <w:t>A coroner investigating a death must notify the Registrar of Births, Deaths and Marriages as soon as possible of the particulars (if any)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No. 40 of 1998 s. 8(5) and (6); No. 23 of 2018 s. 6.]</w:t>
      </w:r>
    </w:p>
    <w:p>
      <w:pPr>
        <w:pStyle w:val="Heading5"/>
        <w:rPr>
          <w:snapToGrid w:val="0"/>
        </w:rPr>
      </w:pPr>
      <w:bookmarkStart w:id="46" w:name="_Toc154752078"/>
      <w:r>
        <w:rPr>
          <w:rStyle w:val="CharSectno"/>
        </w:rPr>
        <w:t>29</w:t>
      </w:r>
      <w:r>
        <w:rPr>
          <w:snapToGrid w:val="0"/>
        </w:rPr>
        <w:t>.</w:t>
      </w:r>
      <w:r>
        <w:rPr>
          <w:snapToGrid w:val="0"/>
        </w:rPr>
        <w:tab/>
        <w:t>Certificate of disposal of body</w:t>
      </w:r>
      <w:bookmarkEnd w:id="46"/>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 or</w:t>
      </w:r>
    </w:p>
    <w:p>
      <w:pPr>
        <w:pStyle w:val="Indenta"/>
      </w:pPr>
      <w:r>
        <w:tab/>
        <w:t>(b)</w:t>
      </w:r>
      <w:r>
        <w:tab/>
        <w:t>the time specified in section 36(3) for making an application has expired; or</w:t>
      </w:r>
    </w:p>
    <w:p>
      <w:pPr>
        <w:pStyle w:val="Indenta"/>
      </w:pPr>
      <w:r>
        <w:tab/>
        <w:t>(c)</w:t>
      </w:r>
      <w:r>
        <w:tab/>
        <w:t xml:space="preserve">if the coroner investigating the death has notice that an application has been made under section 36(3a) for an extension of time, the application is disposed of or any </w:t>
      </w:r>
      <w:r>
        <w:lastRenderedPageBreak/>
        <w:t>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No. 8 of 2000 s. 6.]</w:t>
      </w:r>
    </w:p>
    <w:p>
      <w:pPr>
        <w:pStyle w:val="Heading5"/>
        <w:rPr>
          <w:snapToGrid w:val="0"/>
        </w:rPr>
      </w:pPr>
      <w:bookmarkStart w:id="47" w:name="_Toc154752079"/>
      <w:r>
        <w:rPr>
          <w:rStyle w:val="CharSectno"/>
        </w:rPr>
        <w:t>30</w:t>
      </w:r>
      <w:r>
        <w:rPr>
          <w:snapToGrid w:val="0"/>
        </w:rPr>
        <w:t>.</w:t>
      </w:r>
      <w:r>
        <w:rPr>
          <w:snapToGrid w:val="0"/>
        </w:rPr>
        <w:tab/>
        <w:t>Control of body</w:t>
      </w:r>
      <w:bookmarkEnd w:id="47"/>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48" w:name="_Toc154752080"/>
      <w:r>
        <w:rPr>
          <w:rStyle w:val="CharSectno"/>
        </w:rPr>
        <w:t>31</w:t>
      </w:r>
      <w:r>
        <w:rPr>
          <w:snapToGrid w:val="0"/>
        </w:rPr>
        <w:t>.</w:t>
      </w:r>
      <w:r>
        <w:rPr>
          <w:snapToGrid w:val="0"/>
        </w:rPr>
        <w:tab/>
        <w:t>Aid to coroners in other places</w:t>
      </w:r>
      <w:bookmarkEnd w:id="48"/>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49" w:name="_Toc154752081"/>
      <w:r>
        <w:rPr>
          <w:rStyle w:val="CharDivNo"/>
        </w:rPr>
        <w:t>Division 2</w:t>
      </w:r>
      <w:r>
        <w:rPr>
          <w:snapToGrid w:val="0"/>
        </w:rPr>
        <w:t> — </w:t>
      </w:r>
      <w:r>
        <w:rPr>
          <w:rStyle w:val="CharDivText"/>
        </w:rPr>
        <w:t>Powers of investigation</w:t>
      </w:r>
      <w:bookmarkEnd w:id="49"/>
      <w:r>
        <w:rPr>
          <w:rStyle w:val="CharDivText"/>
        </w:rPr>
        <w:t xml:space="preserve"> </w:t>
      </w:r>
    </w:p>
    <w:p>
      <w:pPr>
        <w:pStyle w:val="Heading5"/>
        <w:rPr>
          <w:snapToGrid w:val="0"/>
        </w:rPr>
      </w:pPr>
      <w:bookmarkStart w:id="50" w:name="_Toc154752082"/>
      <w:r>
        <w:rPr>
          <w:rStyle w:val="CharSectno"/>
        </w:rPr>
        <w:t>32</w:t>
      </w:r>
      <w:r>
        <w:rPr>
          <w:snapToGrid w:val="0"/>
        </w:rPr>
        <w:t>.</w:t>
      </w:r>
      <w:r>
        <w:rPr>
          <w:snapToGrid w:val="0"/>
        </w:rPr>
        <w:tab/>
        <w:t>Restriction of access to area</w:t>
      </w:r>
      <w:bookmarkEnd w:id="50"/>
      <w:r>
        <w:rPr>
          <w:snapToGrid w:val="0"/>
        </w:rPr>
        <w:t xml:space="preserve"> </w:t>
      </w:r>
    </w:p>
    <w:p>
      <w:pPr>
        <w:pStyle w:val="Subsection"/>
        <w:rPr>
          <w:snapToGrid w:val="0"/>
        </w:rPr>
      </w:pPr>
      <w:r>
        <w:rPr>
          <w:snapToGrid w:val="0"/>
        </w:rPr>
        <w:tab/>
        <w:t>(1)</w:t>
      </w:r>
      <w:r>
        <w:rPr>
          <w:snapToGrid w:val="0"/>
        </w:rPr>
        <w:tab/>
        <w:t xml:space="preserve">A coroner, or coroner’s investigator, investigating a death may take reasonable steps to restrict access to the place where the </w:t>
      </w:r>
      <w:r>
        <w:rPr>
          <w:snapToGrid w:val="0"/>
        </w:rPr>
        <w:lastRenderedPageBreak/>
        <w:t>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51" w:name="_Toc154752083"/>
      <w:r>
        <w:rPr>
          <w:rStyle w:val="CharSectno"/>
        </w:rPr>
        <w:t>33</w:t>
      </w:r>
      <w:r>
        <w:rPr>
          <w:snapToGrid w:val="0"/>
        </w:rPr>
        <w:t>.</w:t>
      </w:r>
      <w:r>
        <w:rPr>
          <w:snapToGrid w:val="0"/>
        </w:rPr>
        <w:tab/>
        <w:t>Powers of entry, inspection and possession</w:t>
      </w:r>
      <w:bookmarkEnd w:id="51"/>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 and</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lastRenderedPageBreak/>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 and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 xml:space="preserve">A coroner may, if the coroner reasonably believes it is necessary for the investigation, in writing authorise a coroner’s </w:t>
      </w:r>
      <w:r>
        <w:rPr>
          <w:snapToGrid w:val="0"/>
        </w:rPr>
        <w:lastRenderedPageBreak/>
        <w:t>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 and</w:t>
      </w:r>
    </w:p>
    <w:p>
      <w:pPr>
        <w:pStyle w:val="Indenta"/>
        <w:rPr>
          <w:snapToGrid w:val="0"/>
        </w:rPr>
      </w:pPr>
      <w:r>
        <w:rPr>
          <w:snapToGrid w:val="0"/>
        </w:rPr>
        <w:tab/>
        <w:t>(b)</w:t>
      </w:r>
      <w:r>
        <w:rPr>
          <w:snapToGrid w:val="0"/>
        </w:rPr>
        <w:tab/>
        <w:t>to inspect a specified place and anything in it; and</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No. 15 of 2003 s. 11.]</w:t>
      </w:r>
    </w:p>
    <w:p>
      <w:pPr>
        <w:pStyle w:val="Heading5"/>
        <w:rPr>
          <w:snapToGrid w:val="0"/>
        </w:rPr>
      </w:pPr>
      <w:bookmarkStart w:id="52" w:name="_Toc154752084"/>
      <w:r>
        <w:rPr>
          <w:rStyle w:val="CharSectno"/>
        </w:rPr>
        <w:lastRenderedPageBreak/>
        <w:t>34</w:t>
      </w:r>
      <w:r>
        <w:rPr>
          <w:snapToGrid w:val="0"/>
        </w:rPr>
        <w:t>.</w:t>
      </w:r>
      <w:r>
        <w:rPr>
          <w:snapToGrid w:val="0"/>
        </w:rPr>
        <w:tab/>
        <w:t>Post mortem examinations</w:t>
      </w:r>
      <w:bookmarkEnd w:id="52"/>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 or</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lastRenderedPageBreak/>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53" w:name="_Toc154752085"/>
      <w:r>
        <w:rPr>
          <w:rStyle w:val="CharSectno"/>
        </w:rPr>
        <w:t>35</w:t>
      </w:r>
      <w:r>
        <w:rPr>
          <w:snapToGrid w:val="0"/>
        </w:rPr>
        <w:t>.</w:t>
      </w:r>
      <w:r>
        <w:rPr>
          <w:snapToGrid w:val="0"/>
        </w:rPr>
        <w:tab/>
        <w:t>Independent doctor at post mortem examination</w:t>
      </w:r>
      <w:bookmarkEnd w:id="53"/>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54" w:name="_Toc154752086"/>
      <w:r>
        <w:rPr>
          <w:rStyle w:val="CharSectno"/>
        </w:rPr>
        <w:t>36</w:t>
      </w:r>
      <w:r>
        <w:rPr>
          <w:snapToGrid w:val="0"/>
        </w:rPr>
        <w:t>.</w:t>
      </w:r>
      <w:r>
        <w:rPr>
          <w:snapToGrid w:val="0"/>
        </w:rPr>
        <w:tab/>
        <w:t>Application for post mortem examination</w:t>
      </w:r>
      <w:bookmarkEnd w:id="54"/>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lastRenderedPageBreak/>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No. 8 of 2000 s. 7.]</w:t>
      </w:r>
    </w:p>
    <w:p>
      <w:pPr>
        <w:pStyle w:val="Heading5"/>
        <w:rPr>
          <w:snapToGrid w:val="0"/>
        </w:rPr>
      </w:pPr>
      <w:bookmarkStart w:id="55" w:name="_Toc154752087"/>
      <w:r>
        <w:rPr>
          <w:rStyle w:val="CharSectno"/>
        </w:rPr>
        <w:t>37</w:t>
      </w:r>
      <w:r>
        <w:rPr>
          <w:snapToGrid w:val="0"/>
        </w:rPr>
        <w:t>.</w:t>
      </w:r>
      <w:r>
        <w:rPr>
          <w:snapToGrid w:val="0"/>
        </w:rPr>
        <w:tab/>
        <w:t>Objections to post mortem examinations</w:t>
      </w:r>
      <w:bookmarkEnd w:id="55"/>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 xml:space="preserve">On the application of the senior next of kin, the Supreme Court may grant an extension of time within which the senior next of kin may apply to the Court for an order that no post mortem be </w:t>
      </w:r>
      <w:r>
        <w:lastRenderedPageBreak/>
        <w:t>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r>
      <w:r>
        <w:tab/>
        <w:t>or</w:t>
      </w:r>
    </w:p>
    <w:p>
      <w:pPr>
        <w:pStyle w:val="Indenta"/>
      </w:pPr>
      <w:r>
        <w:tab/>
        <w:t>(b)</w:t>
      </w:r>
      <w:r>
        <w:tab/>
        <w:t>a person who, immediately before death, was legally married to the person; or</w:t>
      </w:r>
    </w:p>
    <w:p>
      <w:pPr>
        <w:pStyle w:val="Indenta"/>
      </w:pPr>
      <w:r>
        <w:tab/>
        <w:t>(c)</w:t>
      </w:r>
      <w:r>
        <w:tab/>
        <w:t>a son or daughter, who is of or over the age of 18 years, of the person; or</w:t>
      </w:r>
    </w:p>
    <w:p>
      <w:pPr>
        <w:pStyle w:val="Indenta"/>
      </w:pPr>
      <w:r>
        <w:tab/>
        <w:t>(d)</w:t>
      </w:r>
      <w:r>
        <w:tab/>
        <w:t>a parent of the person; or</w:t>
      </w:r>
    </w:p>
    <w:p>
      <w:pPr>
        <w:pStyle w:val="Indenta"/>
      </w:pPr>
      <w:r>
        <w:tab/>
        <w:t>(e)</w:t>
      </w:r>
      <w:r>
        <w:tab/>
        <w:t>a brother or sister, who is of or over the age of 18 years, of the person; or</w:t>
      </w:r>
    </w:p>
    <w:p>
      <w:pPr>
        <w:pStyle w:val="Indenta"/>
      </w:pPr>
      <w:r>
        <w:tab/>
        <w:t>(f)</w:t>
      </w:r>
      <w:r>
        <w:tab/>
        <w:t>an executor named in the will of the person or a person who, immediately before the death, was a personal representative of the person; or</w:t>
      </w:r>
    </w:p>
    <w:p>
      <w:pPr>
        <w:pStyle w:val="Indenta"/>
        <w:keepNext/>
      </w:pPr>
      <w:r>
        <w:lastRenderedPageBreak/>
        <w:tab/>
        <w:t>(g)</w:t>
      </w:r>
      <w:r>
        <w:tab/>
        <w:t>any person nominated by the person to be contacted in an emergency.</w:t>
      </w:r>
    </w:p>
    <w:p>
      <w:pPr>
        <w:pStyle w:val="Footnotesection"/>
      </w:pPr>
      <w:r>
        <w:tab/>
        <w:t>[Section 37 amended: No. 8 of 2000 s. 8; No. 15 of 2003 s. 12; No. 28 of 2003 s. 27.]</w:t>
      </w:r>
    </w:p>
    <w:p>
      <w:pPr>
        <w:pStyle w:val="Heading5"/>
        <w:rPr>
          <w:snapToGrid w:val="0"/>
        </w:rPr>
      </w:pPr>
      <w:bookmarkStart w:id="56" w:name="_Toc154752088"/>
      <w:r>
        <w:rPr>
          <w:rStyle w:val="CharSectno"/>
        </w:rPr>
        <w:t>38</w:t>
      </w:r>
      <w:r>
        <w:rPr>
          <w:snapToGrid w:val="0"/>
        </w:rPr>
        <w:t>.</w:t>
      </w:r>
      <w:r>
        <w:rPr>
          <w:snapToGrid w:val="0"/>
        </w:rPr>
        <w:tab/>
        <w:t>Exhumation</w:t>
      </w:r>
      <w:bookmarkEnd w:id="56"/>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lastRenderedPageBreak/>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No. 14 of 1996 s. 4; No. 8 of 2000 s. 9; No. 15 of 2003 s. 13.] </w:t>
      </w:r>
    </w:p>
    <w:p>
      <w:pPr>
        <w:pStyle w:val="Heading2"/>
      </w:pPr>
      <w:bookmarkStart w:id="57" w:name="_Toc154752089"/>
      <w:r>
        <w:rPr>
          <w:rStyle w:val="CharPartNo"/>
        </w:rPr>
        <w:lastRenderedPageBreak/>
        <w:t>Part 5</w:t>
      </w:r>
      <w:r>
        <w:rPr>
          <w:rStyle w:val="CharDivNo"/>
        </w:rPr>
        <w:t> </w:t>
      </w:r>
      <w:r>
        <w:t>—</w:t>
      </w:r>
      <w:r>
        <w:rPr>
          <w:rStyle w:val="CharDivText"/>
        </w:rPr>
        <w:t> </w:t>
      </w:r>
      <w:r>
        <w:rPr>
          <w:rStyle w:val="CharPartText"/>
        </w:rPr>
        <w:t>Inquests into deaths</w:t>
      </w:r>
      <w:bookmarkEnd w:id="57"/>
      <w:r>
        <w:rPr>
          <w:rStyle w:val="CharPartText"/>
        </w:rPr>
        <w:t xml:space="preserve"> </w:t>
      </w:r>
    </w:p>
    <w:p>
      <w:pPr>
        <w:pStyle w:val="Heading5"/>
        <w:rPr>
          <w:snapToGrid w:val="0"/>
        </w:rPr>
      </w:pPr>
      <w:bookmarkStart w:id="58" w:name="_Toc154752090"/>
      <w:r>
        <w:rPr>
          <w:rStyle w:val="CharSectno"/>
        </w:rPr>
        <w:t>39</w:t>
      </w:r>
      <w:r>
        <w:rPr>
          <w:snapToGrid w:val="0"/>
        </w:rPr>
        <w:t>.</w:t>
      </w:r>
      <w:r>
        <w:rPr>
          <w:snapToGrid w:val="0"/>
        </w:rPr>
        <w:tab/>
        <w:t>Advertisement of inquest</w:t>
      </w:r>
      <w:bookmarkEnd w:id="58"/>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59" w:name="_Toc154752091"/>
      <w:r>
        <w:rPr>
          <w:rStyle w:val="CharSectno"/>
        </w:rPr>
        <w:t>40</w:t>
      </w:r>
      <w:r>
        <w:rPr>
          <w:snapToGrid w:val="0"/>
        </w:rPr>
        <w:t>.</w:t>
      </w:r>
      <w:r>
        <w:rPr>
          <w:snapToGrid w:val="0"/>
        </w:rPr>
        <w:tab/>
        <w:t>Two or more deaths</w:t>
      </w:r>
      <w:bookmarkEnd w:id="59"/>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60" w:name="_Toc154752092"/>
      <w:r>
        <w:rPr>
          <w:rStyle w:val="CharSectno"/>
        </w:rPr>
        <w:t>41</w:t>
      </w:r>
      <w:r>
        <w:rPr>
          <w:snapToGrid w:val="0"/>
        </w:rPr>
        <w:t>.</w:t>
      </w:r>
      <w:r>
        <w:rPr>
          <w:snapToGrid w:val="0"/>
        </w:rPr>
        <w:tab/>
        <w:t>Rules of evidence not to apply</w:t>
      </w:r>
      <w:bookmarkEnd w:id="60"/>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61" w:name="_Toc154752093"/>
      <w:r>
        <w:rPr>
          <w:rStyle w:val="CharSectno"/>
        </w:rPr>
        <w:t>42</w:t>
      </w:r>
      <w:r>
        <w:rPr>
          <w:snapToGrid w:val="0"/>
        </w:rPr>
        <w:t>.</w:t>
      </w:r>
      <w:r>
        <w:rPr>
          <w:snapToGrid w:val="0"/>
        </w:rPr>
        <w:tab/>
        <w:t>Rights of interested persons</w:t>
      </w:r>
      <w:bookmarkEnd w:id="61"/>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62" w:name="_Toc154752094"/>
      <w:r>
        <w:rPr>
          <w:rStyle w:val="CharSectno"/>
        </w:rPr>
        <w:t>43</w:t>
      </w:r>
      <w:r>
        <w:rPr>
          <w:snapToGrid w:val="0"/>
        </w:rPr>
        <w:t>.</w:t>
      </w:r>
      <w:r>
        <w:rPr>
          <w:snapToGrid w:val="0"/>
        </w:rPr>
        <w:tab/>
        <w:t>Attorney General may appear at inquest</w:t>
      </w:r>
      <w:bookmarkEnd w:id="62"/>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63" w:name="_Toc154752095"/>
      <w:r>
        <w:rPr>
          <w:rStyle w:val="CharSectno"/>
        </w:rPr>
        <w:t>44</w:t>
      </w:r>
      <w:r>
        <w:rPr>
          <w:snapToGrid w:val="0"/>
        </w:rPr>
        <w:t>.</w:t>
      </w:r>
      <w:r>
        <w:rPr>
          <w:snapToGrid w:val="0"/>
        </w:rPr>
        <w:tab/>
        <w:t>Other persons may appear at inquest</w:t>
      </w:r>
      <w:bookmarkEnd w:id="63"/>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a legal practitioner</w:t>
      </w:r>
      <w:r>
        <w:rPr>
          <w:snapToGrid w:val="0"/>
        </w:rPr>
        <w:t>,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lastRenderedPageBreak/>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pPr>
      <w:r>
        <w:tab/>
        <w:t>[Section 44 amended: No. 21 of 2008 s. 652(4); No. 9 of 2022 s. 424.]</w:t>
      </w:r>
    </w:p>
    <w:p>
      <w:pPr>
        <w:pStyle w:val="Heading5"/>
        <w:rPr>
          <w:snapToGrid w:val="0"/>
        </w:rPr>
      </w:pPr>
      <w:bookmarkStart w:id="64" w:name="_Toc154752096"/>
      <w:r>
        <w:rPr>
          <w:rStyle w:val="CharSectno"/>
        </w:rPr>
        <w:t>45</w:t>
      </w:r>
      <w:r>
        <w:rPr>
          <w:snapToGrid w:val="0"/>
        </w:rPr>
        <w:t>.</w:t>
      </w:r>
      <w:r>
        <w:rPr>
          <w:snapToGrid w:val="0"/>
        </w:rPr>
        <w:tab/>
        <w:t>Exclusion from inquest</w:t>
      </w:r>
      <w:bookmarkEnd w:id="64"/>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No. 59 of 2004 s. 76.]</w:t>
      </w:r>
    </w:p>
    <w:p>
      <w:pPr>
        <w:pStyle w:val="Heading5"/>
        <w:rPr>
          <w:snapToGrid w:val="0"/>
        </w:rPr>
      </w:pPr>
      <w:bookmarkStart w:id="65" w:name="_Toc154752097"/>
      <w:r>
        <w:rPr>
          <w:rStyle w:val="CharSectno"/>
        </w:rPr>
        <w:t>46</w:t>
      </w:r>
      <w:r>
        <w:rPr>
          <w:snapToGrid w:val="0"/>
        </w:rPr>
        <w:t>.</w:t>
      </w:r>
      <w:r>
        <w:rPr>
          <w:snapToGrid w:val="0"/>
        </w:rPr>
        <w:tab/>
        <w:t>Powers of coroners at inquests</w:t>
      </w:r>
      <w:bookmarkEnd w:id="65"/>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 and</w:t>
      </w:r>
    </w:p>
    <w:p>
      <w:pPr>
        <w:pStyle w:val="Indenta"/>
        <w:rPr>
          <w:snapToGrid w:val="0"/>
        </w:rPr>
      </w:pPr>
      <w:r>
        <w:rPr>
          <w:snapToGrid w:val="0"/>
        </w:rPr>
        <w:tab/>
        <w:t>(b)</w:t>
      </w:r>
      <w:r>
        <w:rPr>
          <w:snapToGrid w:val="0"/>
        </w:rPr>
        <w:tab/>
        <w:t>inspect, copy and keep for a reasonable period any thing produced at the inquest; and</w:t>
      </w:r>
    </w:p>
    <w:p>
      <w:pPr>
        <w:pStyle w:val="Indenta"/>
        <w:keepNext/>
        <w:rPr>
          <w:snapToGrid w:val="0"/>
        </w:rPr>
      </w:pPr>
      <w:r>
        <w:rPr>
          <w:snapToGrid w:val="0"/>
        </w:rPr>
        <w:lastRenderedPageBreak/>
        <w:tab/>
        <w:t>(c)</w:t>
      </w:r>
      <w:r>
        <w:rPr>
          <w:snapToGrid w:val="0"/>
        </w:rPr>
        <w:tab/>
        <w:t>order a witness to answer questions; and</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40"/>
        <w:rPr>
          <w:snapToGrid w:val="0"/>
        </w:rPr>
      </w:pPr>
      <w:r>
        <w:rPr>
          <w:snapToGrid w:val="0"/>
        </w:rPr>
        <w:tab/>
        <w:t>(2)</w:t>
      </w:r>
      <w:r>
        <w:rPr>
          <w:snapToGrid w:val="0"/>
        </w:rPr>
        <w:tab/>
        <w:t>A coroner may be assisted by counsel, or by any other person that the coroner believes will be of assistance.</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spacing w:before="140"/>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spacing w:before="100"/>
      </w:pPr>
      <w:r>
        <w:tab/>
        <w:t>[Section 46 amended: No. 35 of 2001 s. 3(1); No. 59 of 2004 s. 76.]</w:t>
      </w:r>
    </w:p>
    <w:p>
      <w:pPr>
        <w:pStyle w:val="Heading5"/>
        <w:spacing w:before="200"/>
      </w:pPr>
      <w:bookmarkStart w:id="66" w:name="_Toc154752098"/>
      <w:r>
        <w:rPr>
          <w:rStyle w:val="CharSectno"/>
        </w:rPr>
        <w:t>46A</w:t>
      </w:r>
      <w:r>
        <w:t>.</w:t>
      </w:r>
      <w:r>
        <w:tab/>
        <w:t>Disobeying coroner</w:t>
      </w:r>
      <w:bookmarkEnd w:id="66"/>
    </w:p>
    <w:p>
      <w:pPr>
        <w:pStyle w:val="Subsection"/>
        <w:spacing w:before="140"/>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spacing w:before="100"/>
      </w:pPr>
      <w:r>
        <w:tab/>
        <w:t>[Section 46A inserted: No. 4 of 2004 s. 58.]</w:t>
      </w:r>
    </w:p>
    <w:p>
      <w:pPr>
        <w:pStyle w:val="Heading5"/>
        <w:spacing w:before="200"/>
        <w:rPr>
          <w:snapToGrid w:val="0"/>
        </w:rPr>
      </w:pPr>
      <w:bookmarkStart w:id="67" w:name="_Toc154752099"/>
      <w:r>
        <w:rPr>
          <w:rStyle w:val="CharSectno"/>
        </w:rPr>
        <w:t>47</w:t>
      </w:r>
      <w:r>
        <w:rPr>
          <w:snapToGrid w:val="0"/>
        </w:rPr>
        <w:t>.</w:t>
      </w:r>
      <w:r>
        <w:rPr>
          <w:snapToGrid w:val="0"/>
        </w:rPr>
        <w:tab/>
        <w:t>Statements made by witness</w:t>
      </w:r>
      <w:bookmarkEnd w:id="67"/>
      <w:r>
        <w:rPr>
          <w:snapToGrid w:val="0"/>
        </w:rPr>
        <w:t xml:space="preserve"> </w:t>
      </w:r>
    </w:p>
    <w:p>
      <w:pPr>
        <w:pStyle w:val="Subsection"/>
        <w:spacing w:before="140"/>
        <w:rPr>
          <w:snapToGrid w:val="0"/>
        </w:rPr>
      </w:pPr>
      <w:r>
        <w:rPr>
          <w:snapToGrid w:val="0"/>
        </w:rPr>
        <w:tab/>
        <w:t>(1)</w:t>
      </w:r>
      <w:r>
        <w:rPr>
          <w:snapToGrid w:val="0"/>
        </w:rPr>
        <w:tab/>
        <w:t xml:space="preserve">If a person called as a witness at an inquest declines to answer any question on the ground that his or her answer will criminate or tend to criminate him or her, the coroner may, if it appears to the coroner expedient for the ends of justice that the person be </w:t>
      </w:r>
      <w:r>
        <w:rPr>
          <w:snapToGrid w:val="0"/>
        </w:rPr>
        <w:lastRenderedPageBreak/>
        <w:t>compelled to answer the question, tell the person that if the person answers the question and other questions that may be put to him or her, the coroner will grant the person a certificate under this section.</w:t>
      </w:r>
    </w:p>
    <w:p>
      <w:pPr>
        <w:pStyle w:val="Subsection"/>
        <w:spacing w:before="14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4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68" w:name="_Toc154752100"/>
      <w:r>
        <w:rPr>
          <w:rStyle w:val="CharSectno"/>
        </w:rPr>
        <w:t>48</w:t>
      </w:r>
      <w:r>
        <w:rPr>
          <w:snapToGrid w:val="0"/>
        </w:rPr>
        <w:t>.</w:t>
      </w:r>
      <w:r>
        <w:rPr>
          <w:snapToGrid w:val="0"/>
        </w:rPr>
        <w:tab/>
        <w:t>Record of evidence</w:t>
      </w:r>
      <w:bookmarkEnd w:id="68"/>
      <w:r>
        <w:rPr>
          <w:snapToGrid w:val="0"/>
        </w:rPr>
        <w:t xml:space="preserve"> </w:t>
      </w:r>
    </w:p>
    <w:p>
      <w:pPr>
        <w:pStyle w:val="Subsection"/>
        <w:spacing w:before="140"/>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spacing w:before="140"/>
        <w:rPr>
          <w:snapToGrid w:val="0"/>
        </w:rPr>
      </w:pPr>
      <w:r>
        <w:rPr>
          <w:snapToGrid w:val="0"/>
        </w:rPr>
        <w:tab/>
        <w:t>(2)</w:t>
      </w:r>
      <w:r>
        <w:rPr>
          <w:snapToGrid w:val="0"/>
        </w:rPr>
        <w:tab/>
        <w:t>If the evidence is recorded in writing, the record must be read and signed by the witness and the coroner.</w:t>
      </w:r>
    </w:p>
    <w:p>
      <w:pPr>
        <w:pStyle w:val="Subsection"/>
        <w:spacing w:before="140"/>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keepNext/>
        <w:spacing w:before="140"/>
        <w:rPr>
          <w:snapToGrid w:val="0"/>
        </w:rPr>
      </w:pPr>
      <w:r>
        <w:rPr>
          <w:snapToGrid w:val="0"/>
        </w:rPr>
        <w:lastRenderedPageBreak/>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69" w:name="_Toc154752101"/>
      <w:r>
        <w:rPr>
          <w:rStyle w:val="CharSectno"/>
        </w:rPr>
        <w:t>49</w:t>
      </w:r>
      <w:r>
        <w:rPr>
          <w:snapToGrid w:val="0"/>
        </w:rPr>
        <w:t>.</w:t>
      </w:r>
      <w:r>
        <w:rPr>
          <w:snapToGrid w:val="0"/>
        </w:rPr>
        <w:tab/>
        <w:t>Restriction on publication of reports</w:t>
      </w:r>
      <w:bookmarkEnd w:id="69"/>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70" w:name="_Toc154752102"/>
      <w:r>
        <w:rPr>
          <w:rStyle w:val="CharSectno"/>
        </w:rPr>
        <w:t>50</w:t>
      </w:r>
      <w:r>
        <w:rPr>
          <w:snapToGrid w:val="0"/>
        </w:rPr>
        <w:t>.</w:t>
      </w:r>
      <w:r>
        <w:rPr>
          <w:snapToGrid w:val="0"/>
        </w:rPr>
        <w:tab/>
        <w:t>Reference to disciplinary body</w:t>
      </w:r>
      <w:bookmarkEnd w:id="70"/>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keepNext/>
        <w:rPr>
          <w:snapToGrid w:val="0"/>
        </w:rPr>
      </w:pPr>
      <w:r>
        <w:rPr>
          <w:snapToGrid w:val="0"/>
        </w:rPr>
        <w:lastRenderedPageBreak/>
        <w:tab/>
        <w:t>(2)</w:t>
      </w:r>
      <w:r>
        <w:rPr>
          <w:snapToGrid w:val="0"/>
        </w:rPr>
        <w:tab/>
        <w:t xml:space="preserve">In subsection (1) </w:t>
      </w:r>
      <w:r>
        <w:t xml:space="preserve">a </w:t>
      </w:r>
      <w:r>
        <w:rPr>
          <w:rStyle w:val="CharDefText"/>
        </w:rPr>
        <w:t>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71" w:name="_Toc154752103"/>
      <w:r>
        <w:rPr>
          <w:rStyle w:val="CharSectno"/>
        </w:rPr>
        <w:t>51</w:t>
      </w:r>
      <w:r>
        <w:rPr>
          <w:snapToGrid w:val="0"/>
        </w:rPr>
        <w:t>.</w:t>
      </w:r>
      <w:r>
        <w:rPr>
          <w:snapToGrid w:val="0"/>
        </w:rPr>
        <w:tab/>
        <w:t>Interruption of inquest</w:t>
      </w:r>
      <w:bookmarkEnd w:id="71"/>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72" w:name="_Toc154752104"/>
      <w:r>
        <w:rPr>
          <w:rStyle w:val="CharSectno"/>
        </w:rPr>
        <w:t>52</w:t>
      </w:r>
      <w:r>
        <w:rPr>
          <w:snapToGrid w:val="0"/>
        </w:rPr>
        <w:t>.</w:t>
      </w:r>
      <w:r>
        <w:rPr>
          <w:snapToGrid w:val="0"/>
        </w:rPr>
        <w:tab/>
        <w:t>New inquests and re</w:t>
      </w:r>
      <w:r>
        <w:rPr>
          <w:snapToGrid w:val="0"/>
        </w:rPr>
        <w:noBreakHyphen/>
        <w:t>opening of inquests</w:t>
      </w:r>
      <w:bookmarkEnd w:id="72"/>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 or</w:t>
      </w:r>
    </w:p>
    <w:p>
      <w:pPr>
        <w:pStyle w:val="Indenta"/>
        <w:rPr>
          <w:snapToGrid w:val="0"/>
        </w:rPr>
      </w:pPr>
      <w:r>
        <w:rPr>
          <w:snapToGrid w:val="0"/>
        </w:rPr>
        <w:tab/>
        <w:t>(b)</w:t>
      </w:r>
      <w:r>
        <w:rPr>
          <w:snapToGrid w:val="0"/>
        </w:rPr>
        <w:tab/>
        <w:t>there is a mistake in the record of the findings; or</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lastRenderedPageBreak/>
        <w:tab/>
        <w:t>(d)</w:t>
      </w:r>
      <w:r>
        <w:rPr>
          <w:snapToGrid w:val="0"/>
        </w:rPr>
        <w:tab/>
        <w:t>the findings are against the evidence or the weight of the evidence.</w:t>
      </w:r>
    </w:p>
    <w:p>
      <w:pPr>
        <w:pStyle w:val="Heading5"/>
        <w:rPr>
          <w:snapToGrid w:val="0"/>
        </w:rPr>
      </w:pPr>
      <w:bookmarkStart w:id="73" w:name="_Toc154752105"/>
      <w:r>
        <w:rPr>
          <w:rStyle w:val="CharSectno"/>
        </w:rPr>
        <w:t>53</w:t>
      </w:r>
      <w:r>
        <w:rPr>
          <w:snapToGrid w:val="0"/>
        </w:rPr>
        <w:t>.</w:t>
      </w:r>
      <w:r>
        <w:rPr>
          <w:snapToGrid w:val="0"/>
        </w:rPr>
        <w:tab/>
        <w:t>Inquest not to proceed where criminal proceedings instituted</w:t>
      </w:r>
      <w:bookmarkEnd w:id="73"/>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74" w:name="_Toc154752106"/>
      <w:r>
        <w:rPr>
          <w:rStyle w:val="CharPartNo"/>
        </w:rPr>
        <w:lastRenderedPageBreak/>
        <w:t>Part 6</w:t>
      </w:r>
      <w:r>
        <w:rPr>
          <w:rStyle w:val="CharDivNo"/>
        </w:rPr>
        <w:t> </w:t>
      </w:r>
      <w:r>
        <w:t>—</w:t>
      </w:r>
      <w:r>
        <w:rPr>
          <w:rStyle w:val="CharDivText"/>
        </w:rPr>
        <w:t> </w:t>
      </w:r>
      <w:r>
        <w:rPr>
          <w:rStyle w:val="CharPartText"/>
        </w:rPr>
        <w:t>Miscellaneous</w:t>
      </w:r>
      <w:bookmarkEnd w:id="74"/>
      <w:r>
        <w:rPr>
          <w:rStyle w:val="CharPartText"/>
        </w:rPr>
        <w:t xml:space="preserve"> </w:t>
      </w:r>
    </w:p>
    <w:p>
      <w:pPr>
        <w:pStyle w:val="Heading5"/>
      </w:pPr>
      <w:bookmarkStart w:id="75" w:name="_Toc154752107"/>
      <w:r>
        <w:rPr>
          <w:rStyle w:val="CharSectno"/>
        </w:rPr>
        <w:t>53A</w:t>
      </w:r>
      <w:r>
        <w:t>.</w:t>
      </w:r>
      <w:r>
        <w:tab/>
        <w:t>State Coroner may provide information about deaths to human tissue donation agencies</w:t>
      </w:r>
      <w:bookmarkEnd w:id="75"/>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 and</w:t>
      </w:r>
    </w:p>
    <w:p>
      <w:pPr>
        <w:pStyle w:val="Indenta"/>
      </w:pPr>
      <w:r>
        <w:tab/>
        <w:t>(b)</w:t>
      </w:r>
      <w:r>
        <w:tab/>
        <w:t>the deceased person’s age; and</w:t>
      </w:r>
    </w:p>
    <w:p>
      <w:pPr>
        <w:pStyle w:val="Indenta"/>
      </w:pPr>
      <w:r>
        <w:tab/>
        <w:t>(c)</w:t>
      </w:r>
      <w:r>
        <w:tab/>
        <w:t>a brief description of the circumstances of death; and</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No. 22 of 2004 s. 3.]</w:t>
      </w:r>
    </w:p>
    <w:p>
      <w:pPr>
        <w:pStyle w:val="Heading5"/>
        <w:rPr>
          <w:snapToGrid w:val="0"/>
        </w:rPr>
      </w:pPr>
      <w:bookmarkStart w:id="76" w:name="_Toc154752108"/>
      <w:r>
        <w:rPr>
          <w:rStyle w:val="CharSectno"/>
        </w:rPr>
        <w:lastRenderedPageBreak/>
        <w:t>54</w:t>
      </w:r>
      <w:r>
        <w:rPr>
          <w:snapToGrid w:val="0"/>
        </w:rPr>
        <w:t>.</w:t>
      </w:r>
      <w:r>
        <w:rPr>
          <w:snapToGrid w:val="0"/>
        </w:rPr>
        <w:tab/>
        <w:t>Obstruction</w:t>
      </w:r>
      <w:bookmarkEnd w:id="76"/>
      <w:r>
        <w:rPr>
          <w:snapToGrid w:val="0"/>
        </w:rPr>
        <w:t xml:space="preserve"> </w:t>
      </w:r>
    </w:p>
    <w:p>
      <w:pPr>
        <w:pStyle w:val="Subsection"/>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rPr>
          <w:snapToGrid w:val="0"/>
        </w:rPr>
      </w:pPr>
      <w:bookmarkStart w:id="77" w:name="_Toc154752109"/>
      <w:r>
        <w:rPr>
          <w:rStyle w:val="CharSectno"/>
        </w:rPr>
        <w:t>55</w:t>
      </w:r>
      <w:r>
        <w:rPr>
          <w:snapToGrid w:val="0"/>
        </w:rPr>
        <w:t>.</w:t>
      </w:r>
      <w:r>
        <w:rPr>
          <w:snapToGrid w:val="0"/>
        </w:rPr>
        <w:tab/>
        <w:t>Protection from legal proceedings</w:t>
      </w:r>
      <w:bookmarkEnd w:id="77"/>
      <w:r>
        <w:rPr>
          <w:snapToGrid w:val="0"/>
        </w:rPr>
        <w:t xml:space="preserve"> </w:t>
      </w:r>
    </w:p>
    <w:p>
      <w:pPr>
        <w:pStyle w:val="Subsection"/>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rPr>
          <w:snapToGrid w:val="0"/>
        </w:rPr>
      </w:pPr>
      <w:bookmarkStart w:id="78" w:name="_Toc154752110"/>
      <w:r>
        <w:rPr>
          <w:rStyle w:val="CharSectno"/>
        </w:rPr>
        <w:t>56</w:t>
      </w:r>
      <w:r>
        <w:rPr>
          <w:snapToGrid w:val="0"/>
        </w:rPr>
        <w:t>.</w:t>
      </w:r>
      <w:r>
        <w:rPr>
          <w:snapToGrid w:val="0"/>
        </w:rPr>
        <w:tab/>
        <w:t>Coroner not to be called as witness</w:t>
      </w:r>
      <w:bookmarkEnd w:id="78"/>
      <w:r>
        <w:rPr>
          <w:snapToGrid w:val="0"/>
        </w:rPr>
        <w:t xml:space="preserve"> </w:t>
      </w:r>
    </w:p>
    <w:p>
      <w:pPr>
        <w:pStyle w:val="Subsection"/>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rPr>
          <w:snapToGrid w:val="0"/>
        </w:rPr>
      </w:pPr>
      <w:r>
        <w:rPr>
          <w:snapToGrid w:val="0"/>
        </w:rPr>
        <w:tab/>
        <w:t>(2)</w:t>
      </w:r>
      <w:r>
        <w:rPr>
          <w:snapToGrid w:val="0"/>
        </w:rPr>
        <w:tab/>
        <w:t>Subsection (1) does not apply in relation to proceedings against a coroner for anything done in bad faith.</w:t>
      </w:r>
    </w:p>
    <w:p>
      <w:pPr>
        <w:pStyle w:val="Heading5"/>
        <w:rPr>
          <w:snapToGrid w:val="0"/>
        </w:rPr>
      </w:pPr>
      <w:bookmarkStart w:id="79" w:name="_Toc154752111"/>
      <w:r>
        <w:rPr>
          <w:rStyle w:val="CharSectno"/>
        </w:rPr>
        <w:t>57</w:t>
      </w:r>
      <w:r>
        <w:rPr>
          <w:snapToGrid w:val="0"/>
        </w:rPr>
        <w:t>.</w:t>
      </w:r>
      <w:r>
        <w:rPr>
          <w:snapToGrid w:val="0"/>
        </w:rPr>
        <w:tab/>
        <w:t>Review of Act</w:t>
      </w:r>
      <w:bookmarkEnd w:id="79"/>
      <w:r>
        <w:rPr>
          <w:snapToGrid w:val="0"/>
        </w:rPr>
        <w:t> </w:t>
      </w:r>
    </w:p>
    <w:p>
      <w:pPr>
        <w:pStyle w:val="Subsection"/>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lastRenderedPageBreak/>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80" w:name="_Toc154752112"/>
      <w:r>
        <w:rPr>
          <w:rStyle w:val="CharSectno"/>
        </w:rPr>
        <w:t>58</w:t>
      </w:r>
      <w:r>
        <w:rPr>
          <w:snapToGrid w:val="0"/>
        </w:rPr>
        <w:t>.</w:t>
      </w:r>
      <w:r>
        <w:rPr>
          <w:snapToGrid w:val="0"/>
        </w:rPr>
        <w:tab/>
        <w:t>Guidelines</w:t>
      </w:r>
      <w:bookmarkEnd w:id="80"/>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81" w:name="_Toc154752113"/>
      <w:r>
        <w:rPr>
          <w:rStyle w:val="CharSectno"/>
        </w:rPr>
        <w:t>59</w:t>
      </w:r>
      <w:r>
        <w:rPr>
          <w:snapToGrid w:val="0"/>
        </w:rPr>
        <w:t>.</w:t>
      </w:r>
      <w:r>
        <w:rPr>
          <w:snapToGrid w:val="0"/>
        </w:rPr>
        <w:tab/>
        <w:t>Regulations</w:t>
      </w:r>
      <w:bookmarkEnd w:id="81"/>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w:t>
      </w:r>
      <w:r>
        <w:rPr>
          <w:snapToGrid w:val="0"/>
        </w:rPr>
        <w:lastRenderedPageBreak/>
        <w:t xml:space="preserve">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82" w:name="_Toc154752114"/>
      <w:r>
        <w:rPr>
          <w:rStyle w:val="CharPartNo"/>
        </w:rPr>
        <w:lastRenderedPageBreak/>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82"/>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83" w:name="_Toc154752115"/>
      <w:r>
        <w:rPr>
          <w:rStyle w:val="CharSectno"/>
        </w:rPr>
        <w:t>62</w:t>
      </w:r>
      <w:r>
        <w:t>.</w:t>
      </w:r>
      <w:r>
        <w:tab/>
        <w:t>Application of Act to deaths which occurred before Act came into operation</w:t>
      </w:r>
      <w:bookmarkEnd w:id="83"/>
    </w:p>
    <w:p>
      <w:pPr>
        <w:pStyle w:val="Subsection"/>
      </w:pPr>
      <w:r>
        <w:tab/>
      </w:r>
      <w:r>
        <w:tab/>
        <w:t>This Act applies to and in respect of deaths which occurred before this Act came into operation.</w:t>
      </w:r>
    </w:p>
    <w:p>
      <w:pPr>
        <w:pStyle w:val="Footnotesection"/>
        <w:keepLines w:val="0"/>
      </w:pPr>
      <w:r>
        <w:tab/>
        <w:t>[Section 62 inserted: No. 15 of 2003 s. 14(1).]</w:t>
      </w:r>
    </w:p>
    <w:p>
      <w:pPr>
        <w:pStyle w:val="yEdnoteschedule"/>
      </w:pPr>
      <w:r>
        <w:t>[Schedule 1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544" w:gutter="0"/>
          <w:pgNumType w:start="1"/>
          <w:cols w:space="720"/>
          <w:noEndnote/>
          <w:titlePg/>
          <w:docGrid w:linePitch="326"/>
        </w:sectPr>
      </w:pPr>
    </w:p>
    <w:p>
      <w:pPr>
        <w:pStyle w:val="nHeading2"/>
      </w:pPr>
      <w:bookmarkStart w:id="84" w:name="_Toc154752116"/>
      <w:r>
        <w:lastRenderedPageBreak/>
        <w:t>Notes</w:t>
      </w:r>
      <w:bookmarkEnd w:id="84"/>
    </w:p>
    <w:p>
      <w:pPr>
        <w:pStyle w:val="nStatement"/>
      </w:pPr>
      <w:r>
        <w:t xml:space="preserve">This is a compilation of the </w:t>
      </w:r>
      <w:r>
        <w:rPr>
          <w:i/>
          <w:noProof/>
        </w:rPr>
        <w:t>Coroners Act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5" w:name="_Toc154752117"/>
      <w:r>
        <w:t>Compilation table</w:t>
      </w:r>
      <w:bookmarkEnd w:id="8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1134"/>
        <w:gridCol w:w="1134"/>
        <w:gridCol w:w="2561"/>
      </w:tblGrid>
      <w:tr>
        <w:trPr>
          <w:tblHeader/>
        </w:trPr>
        <w:tc>
          <w:tcPr>
            <w:tcW w:w="2240"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61"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Coroners Act 1996</w:t>
            </w:r>
          </w:p>
        </w:tc>
        <w:tc>
          <w:tcPr>
            <w:tcW w:w="1134" w:type="dxa"/>
          </w:tcPr>
          <w:p>
            <w:pPr>
              <w:pStyle w:val="nTable"/>
              <w:spacing w:after="40"/>
            </w:pPr>
            <w:r>
              <w:t>2 of 1996</w:t>
            </w:r>
          </w:p>
        </w:tc>
        <w:tc>
          <w:tcPr>
            <w:tcW w:w="1134" w:type="dxa"/>
          </w:tcPr>
          <w:p>
            <w:pPr>
              <w:pStyle w:val="nTable"/>
              <w:spacing w:after="40"/>
            </w:pPr>
            <w:r>
              <w:t>24 May 1996</w:t>
            </w:r>
          </w:p>
        </w:tc>
        <w:tc>
          <w:tcPr>
            <w:tcW w:w="2561" w:type="dxa"/>
          </w:tcPr>
          <w:p>
            <w:pPr>
              <w:pStyle w:val="nTable"/>
              <w:spacing w:after="40"/>
            </w:pPr>
            <w:r>
              <w:t>s. 1 and 2: 24 May 1996;</w:t>
            </w:r>
            <w:r>
              <w:br/>
              <w:t xml:space="preserve">Act other than s. 1 and 2: 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61"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 xml:space="preserve">Statutes (Repeals and Minor Amendments) Act 1997 </w:t>
            </w:r>
            <w:r>
              <w:t>s. 42</w:t>
            </w:r>
          </w:p>
        </w:tc>
        <w:tc>
          <w:tcPr>
            <w:tcW w:w="1134" w:type="dxa"/>
          </w:tcPr>
          <w:p>
            <w:pPr>
              <w:pStyle w:val="nTable"/>
              <w:spacing w:after="40"/>
            </w:pPr>
            <w:r>
              <w:t>57 of 1997</w:t>
            </w:r>
          </w:p>
        </w:tc>
        <w:tc>
          <w:tcPr>
            <w:tcW w:w="1134" w:type="dxa"/>
          </w:tcPr>
          <w:p>
            <w:pPr>
              <w:pStyle w:val="nTable"/>
              <w:spacing w:after="40"/>
            </w:pPr>
            <w:r>
              <w:t>15 Dec 1997</w:t>
            </w:r>
          </w:p>
        </w:tc>
        <w:tc>
          <w:tcPr>
            <w:tcW w:w="2561"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Acts Repeal and Amendment (Births, Deaths and Marriages Registration) Act 1998 </w:t>
            </w:r>
            <w:r>
              <w:t>s. 8</w:t>
            </w:r>
          </w:p>
        </w:tc>
        <w:tc>
          <w:tcPr>
            <w:tcW w:w="1134" w:type="dxa"/>
          </w:tcPr>
          <w:p>
            <w:pPr>
              <w:pStyle w:val="nTable"/>
              <w:spacing w:after="40"/>
            </w:pPr>
            <w:r>
              <w:t>40 of 1998</w:t>
            </w:r>
          </w:p>
        </w:tc>
        <w:tc>
          <w:tcPr>
            <w:tcW w:w="1134" w:type="dxa"/>
          </w:tcPr>
          <w:p>
            <w:pPr>
              <w:pStyle w:val="nTable"/>
              <w:spacing w:after="40"/>
            </w:pPr>
            <w:r>
              <w:t>30 Oct 1998</w:t>
            </w:r>
          </w:p>
        </w:tc>
        <w:tc>
          <w:tcPr>
            <w:tcW w:w="2561" w:type="dxa"/>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Court Security and Custodial Services (Consequential Provisions) Act 1999 </w:t>
            </w:r>
            <w:r>
              <w:t>Pt. 4</w:t>
            </w:r>
          </w:p>
        </w:tc>
        <w:tc>
          <w:tcPr>
            <w:tcW w:w="1134" w:type="dxa"/>
          </w:tcPr>
          <w:p>
            <w:pPr>
              <w:pStyle w:val="nTable"/>
              <w:spacing w:after="40"/>
            </w:pPr>
            <w:r>
              <w:t>47 of 1999</w:t>
            </w:r>
          </w:p>
        </w:tc>
        <w:tc>
          <w:tcPr>
            <w:tcW w:w="1134" w:type="dxa"/>
          </w:tcPr>
          <w:p>
            <w:pPr>
              <w:pStyle w:val="nTable"/>
              <w:spacing w:after="40"/>
            </w:pPr>
            <w:r>
              <w:t>8 Dec 1999</w:t>
            </w:r>
          </w:p>
        </w:tc>
        <w:tc>
          <w:tcPr>
            <w:tcW w:w="2561"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Coroners Amendment Act 2000</w:t>
            </w:r>
          </w:p>
        </w:tc>
        <w:tc>
          <w:tcPr>
            <w:tcW w:w="1134" w:type="dxa"/>
          </w:tcPr>
          <w:p>
            <w:pPr>
              <w:pStyle w:val="nTable"/>
              <w:spacing w:after="40"/>
            </w:pPr>
            <w:r>
              <w:t>8 of 2000</w:t>
            </w:r>
          </w:p>
        </w:tc>
        <w:tc>
          <w:tcPr>
            <w:tcW w:w="1134" w:type="dxa"/>
          </w:tcPr>
          <w:p>
            <w:pPr>
              <w:pStyle w:val="nTable"/>
              <w:spacing w:after="40"/>
            </w:pPr>
            <w:r>
              <w:t>12 May 2000</w:t>
            </w:r>
          </w:p>
        </w:tc>
        <w:tc>
          <w:tcPr>
            <w:tcW w:w="2561" w:type="dxa"/>
          </w:tcPr>
          <w:p>
            <w:pPr>
              <w:pStyle w:val="nTable"/>
              <w:spacing w:after="40"/>
            </w:pPr>
            <w:r>
              <w:t>9 Jun 2000</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State Superannuation (Transitional and Consequential Provisions) Act 2000 </w:t>
            </w:r>
            <w:r>
              <w:t>s. 36(1)</w:t>
            </w:r>
          </w:p>
        </w:tc>
        <w:tc>
          <w:tcPr>
            <w:tcW w:w="1134" w:type="dxa"/>
          </w:tcPr>
          <w:p>
            <w:pPr>
              <w:pStyle w:val="nTable"/>
              <w:spacing w:after="40"/>
            </w:pPr>
            <w:r>
              <w:t>43 of 2000</w:t>
            </w:r>
          </w:p>
        </w:tc>
        <w:tc>
          <w:tcPr>
            <w:tcW w:w="1134" w:type="dxa"/>
          </w:tcPr>
          <w:p>
            <w:pPr>
              <w:pStyle w:val="nTable"/>
              <w:spacing w:after="40"/>
            </w:pPr>
            <w:r>
              <w:t>2 Nov 2000</w:t>
            </w:r>
          </w:p>
        </w:tc>
        <w:tc>
          <w:tcPr>
            <w:tcW w:w="2561" w:type="dxa"/>
          </w:tcPr>
          <w:p>
            <w:pPr>
              <w:pStyle w:val="nTable"/>
              <w:spacing w:after="40"/>
            </w:pPr>
            <w:r>
              <w:t xml:space="preserve">17 Feb 2001 (see s. 2(2)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7069" w:type="dxa"/>
            <w:gridSpan w:val="4"/>
          </w:tcPr>
          <w:p>
            <w:pPr>
              <w:pStyle w:val="nTable"/>
              <w:spacing w:after="40"/>
            </w:pPr>
            <w:r>
              <w:rPr>
                <w:b/>
              </w:rPr>
              <w:t xml:space="preserve">Reprint of the </w:t>
            </w:r>
            <w:r>
              <w:rPr>
                <w:b/>
                <w:i/>
              </w:rPr>
              <w:t>Coroners Act 1996</w:t>
            </w:r>
            <w:r>
              <w:rPr>
                <w:b/>
              </w:rPr>
              <w:t xml:space="preserve"> as at 3 Aug 2001 </w:t>
            </w:r>
            <w:r>
              <w:t>(includes amendments listed above)</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Acts Amendment (Criminal Investigation) Act 2001 </w:t>
            </w:r>
            <w:r>
              <w:t>s. 3</w:t>
            </w:r>
          </w:p>
        </w:tc>
        <w:tc>
          <w:tcPr>
            <w:tcW w:w="1134" w:type="dxa"/>
          </w:tcPr>
          <w:p>
            <w:pPr>
              <w:pStyle w:val="nTable"/>
              <w:spacing w:after="40"/>
            </w:pPr>
            <w:r>
              <w:t>35 of 2001</w:t>
            </w:r>
          </w:p>
        </w:tc>
        <w:tc>
          <w:tcPr>
            <w:tcW w:w="1134" w:type="dxa"/>
          </w:tcPr>
          <w:p>
            <w:pPr>
              <w:pStyle w:val="nTable"/>
              <w:spacing w:after="40"/>
            </w:pPr>
            <w:r>
              <w:t>7 Jan 2002</w:t>
            </w:r>
          </w:p>
        </w:tc>
        <w:tc>
          <w:tcPr>
            <w:tcW w:w="2561" w:type="dxa"/>
          </w:tcPr>
          <w:p>
            <w:pPr>
              <w:pStyle w:val="nTable"/>
              <w:spacing w:after="40"/>
            </w:pPr>
            <w:r>
              <w:t>14 Jan 2002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lastRenderedPageBreak/>
              <w:t>Coroners Amendment Act 2003</w:t>
            </w:r>
            <w:r>
              <w:rPr>
                <w:vertAlign w:val="superscript"/>
              </w:rPr>
              <w:t> 3</w:t>
            </w:r>
          </w:p>
        </w:tc>
        <w:tc>
          <w:tcPr>
            <w:tcW w:w="1134" w:type="dxa"/>
          </w:tcPr>
          <w:p>
            <w:pPr>
              <w:pStyle w:val="nTable"/>
              <w:spacing w:after="40"/>
            </w:pPr>
            <w:r>
              <w:t>15 of 2003</w:t>
            </w:r>
          </w:p>
        </w:tc>
        <w:tc>
          <w:tcPr>
            <w:tcW w:w="1134" w:type="dxa"/>
          </w:tcPr>
          <w:p>
            <w:pPr>
              <w:pStyle w:val="nTable"/>
              <w:spacing w:after="40"/>
            </w:pPr>
            <w:r>
              <w:t>17 Apr 2003</w:t>
            </w:r>
          </w:p>
        </w:tc>
        <w:tc>
          <w:tcPr>
            <w:tcW w:w="2561" w:type="dxa"/>
          </w:tcPr>
          <w:p>
            <w:pPr>
              <w:pStyle w:val="nTable"/>
              <w:spacing w:after="40"/>
            </w:pPr>
            <w:r>
              <w:t>s. 1 and 2: 17 Apr 2003;</w:t>
            </w:r>
            <w:r>
              <w:br/>
              <w:t xml:space="preserve">Act other than s. 1 and 2: 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vertAlign w:val="superscript"/>
              </w:rPr>
            </w:pPr>
            <w:r>
              <w:rPr>
                <w:i/>
              </w:rPr>
              <w:t>Acts Amendment (Equality of Status) Act 2003</w:t>
            </w:r>
            <w:r>
              <w:t xml:space="preserve"> Pt. 9</w:t>
            </w:r>
          </w:p>
        </w:tc>
        <w:tc>
          <w:tcPr>
            <w:tcW w:w="1134" w:type="dxa"/>
          </w:tcPr>
          <w:p>
            <w:pPr>
              <w:pStyle w:val="nTable"/>
              <w:spacing w:before="36" w:after="40"/>
            </w:pPr>
            <w:r>
              <w:t>28 of 2003</w:t>
            </w:r>
          </w:p>
        </w:tc>
        <w:tc>
          <w:tcPr>
            <w:tcW w:w="1134" w:type="dxa"/>
          </w:tcPr>
          <w:p>
            <w:pPr>
              <w:pStyle w:val="nTable"/>
              <w:spacing w:before="36" w:after="40"/>
            </w:pPr>
            <w:r>
              <w:t>22 May 2003</w:t>
            </w:r>
          </w:p>
        </w:tc>
        <w:tc>
          <w:tcPr>
            <w:tcW w:w="2561" w:type="dxa"/>
          </w:tcPr>
          <w:p>
            <w:pPr>
              <w:pStyle w:val="nTable"/>
              <w:spacing w:before="36"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pPr>
            <w:r>
              <w:rPr>
                <w:i/>
              </w:rPr>
              <w:t>Acts Amendment and Repeal (Courts and Legal Practice) Act 2003</w:t>
            </w:r>
            <w:r>
              <w:t xml:space="preserve"> s. 25</w:t>
            </w:r>
          </w:p>
        </w:tc>
        <w:tc>
          <w:tcPr>
            <w:tcW w:w="1134" w:type="dxa"/>
          </w:tcPr>
          <w:p>
            <w:pPr>
              <w:pStyle w:val="nTable"/>
              <w:spacing w:before="36" w:after="40"/>
            </w:pPr>
            <w:r>
              <w:t>65 of 2003</w:t>
            </w:r>
          </w:p>
        </w:tc>
        <w:tc>
          <w:tcPr>
            <w:tcW w:w="1134" w:type="dxa"/>
          </w:tcPr>
          <w:p>
            <w:pPr>
              <w:pStyle w:val="nTable"/>
              <w:spacing w:before="36" w:after="40"/>
            </w:pPr>
            <w:r>
              <w:t>4 Dec 2003</w:t>
            </w:r>
          </w:p>
        </w:tc>
        <w:tc>
          <w:tcPr>
            <w:tcW w:w="2561" w:type="dxa"/>
          </w:tcPr>
          <w:p>
            <w:pPr>
              <w:pStyle w:val="nTable"/>
              <w:spacing w:before="36"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rPr>
            </w:pPr>
            <w:r>
              <w:rPr>
                <w:i/>
              </w:rPr>
              <w:t>Criminal Code Amendment Act 2004</w:t>
            </w:r>
            <w:r>
              <w:t xml:space="preserve"> s. 58</w:t>
            </w:r>
          </w:p>
        </w:tc>
        <w:tc>
          <w:tcPr>
            <w:tcW w:w="1134" w:type="dxa"/>
          </w:tcPr>
          <w:p>
            <w:pPr>
              <w:pStyle w:val="nTable"/>
              <w:spacing w:before="36" w:after="40"/>
            </w:pPr>
            <w:r>
              <w:t>4 of 2004</w:t>
            </w:r>
          </w:p>
        </w:tc>
        <w:tc>
          <w:tcPr>
            <w:tcW w:w="1134" w:type="dxa"/>
          </w:tcPr>
          <w:p>
            <w:pPr>
              <w:pStyle w:val="nTable"/>
              <w:spacing w:before="36" w:after="40"/>
            </w:pPr>
            <w:r>
              <w:t>23 Apr 2004</w:t>
            </w:r>
          </w:p>
        </w:tc>
        <w:tc>
          <w:tcPr>
            <w:tcW w:w="2561" w:type="dxa"/>
          </w:tcPr>
          <w:p>
            <w:pPr>
              <w:pStyle w:val="nTable"/>
              <w:spacing w:before="36" w:after="40"/>
            </w:pPr>
            <w:r>
              <w:t>21 May 2004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pPr>
            <w:r>
              <w:rPr>
                <w:i/>
              </w:rPr>
              <w:t>Coroners Amendment Act 2004</w:t>
            </w:r>
            <w:r>
              <w:t xml:space="preserve"> </w:t>
            </w:r>
          </w:p>
        </w:tc>
        <w:tc>
          <w:tcPr>
            <w:tcW w:w="1134" w:type="dxa"/>
          </w:tcPr>
          <w:p>
            <w:pPr>
              <w:pStyle w:val="nTable"/>
              <w:spacing w:before="36" w:after="40"/>
            </w:pPr>
            <w:r>
              <w:t>22 of 2004</w:t>
            </w:r>
          </w:p>
        </w:tc>
        <w:tc>
          <w:tcPr>
            <w:tcW w:w="1134" w:type="dxa"/>
          </w:tcPr>
          <w:p>
            <w:pPr>
              <w:pStyle w:val="nTable"/>
              <w:spacing w:before="36" w:after="40"/>
            </w:pPr>
            <w:r>
              <w:t>8 Sep 2004</w:t>
            </w:r>
          </w:p>
        </w:tc>
        <w:tc>
          <w:tcPr>
            <w:tcW w:w="2561" w:type="dxa"/>
          </w:tcPr>
          <w:p>
            <w:pPr>
              <w:pStyle w:val="nTable"/>
              <w:spacing w:before="36" w:after="40"/>
            </w:pPr>
            <w:r>
              <w:t>6 Oct 2004</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rPr>
                <w:snapToGrid w:val="0"/>
              </w:rPr>
            </w:pPr>
            <w:r>
              <w:rPr>
                <w:i/>
                <w:snapToGrid w:val="0"/>
              </w:rPr>
              <w:t>Children and Community Services Act 2004</w:t>
            </w:r>
            <w:r>
              <w:rPr>
                <w:snapToGrid w:val="0"/>
              </w:rPr>
              <w:t xml:space="preserve"> Sch. 2 cl. 6</w:t>
            </w:r>
          </w:p>
        </w:tc>
        <w:tc>
          <w:tcPr>
            <w:tcW w:w="1134" w:type="dxa"/>
          </w:tcPr>
          <w:p>
            <w:pPr>
              <w:pStyle w:val="nTable"/>
              <w:spacing w:before="36" w:after="40"/>
              <w:rPr>
                <w:snapToGrid w:val="0"/>
              </w:rPr>
            </w:pPr>
            <w:r>
              <w:rPr>
                <w:snapToGrid w:val="0"/>
              </w:rPr>
              <w:t>34 of 2004</w:t>
            </w:r>
          </w:p>
        </w:tc>
        <w:tc>
          <w:tcPr>
            <w:tcW w:w="1134" w:type="dxa"/>
          </w:tcPr>
          <w:p>
            <w:pPr>
              <w:pStyle w:val="nTable"/>
              <w:spacing w:before="36" w:after="40"/>
              <w:rPr>
                <w:snapToGrid w:val="0"/>
              </w:rPr>
            </w:pPr>
            <w:r>
              <w:t>20 Oct 2004</w:t>
            </w:r>
          </w:p>
        </w:tc>
        <w:tc>
          <w:tcPr>
            <w:tcW w:w="2561" w:type="dxa"/>
          </w:tcPr>
          <w:p>
            <w:pPr>
              <w:pStyle w:val="nTable"/>
              <w:spacing w:before="36"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rPr>
            </w:pPr>
            <w:r>
              <w:rPr>
                <w:i/>
                <w:snapToGrid w:val="0"/>
              </w:rPr>
              <w:t>Courts Legislation Amendment and Repeal Act 2004</w:t>
            </w:r>
            <w:r>
              <w:rPr>
                <w:snapToGrid w:val="0"/>
              </w:rPr>
              <w:t xml:space="preserve"> Pt. 8</w:t>
            </w:r>
            <w:r>
              <w:rPr>
                <w:snapToGrid w:val="0"/>
                <w:vertAlign w:val="superscript"/>
              </w:rPr>
              <w:t> 4</w:t>
            </w:r>
          </w:p>
        </w:tc>
        <w:tc>
          <w:tcPr>
            <w:tcW w:w="1134" w:type="dxa"/>
          </w:tcPr>
          <w:p>
            <w:pPr>
              <w:pStyle w:val="nTable"/>
              <w:spacing w:before="36" w:after="40"/>
            </w:pPr>
            <w:r>
              <w:rPr>
                <w:snapToGrid w:val="0"/>
              </w:rPr>
              <w:t>59 of 2004</w:t>
            </w:r>
          </w:p>
        </w:tc>
        <w:tc>
          <w:tcPr>
            <w:tcW w:w="1134" w:type="dxa"/>
          </w:tcPr>
          <w:p>
            <w:pPr>
              <w:pStyle w:val="nTable"/>
              <w:spacing w:before="36" w:after="40"/>
            </w:pPr>
            <w:r>
              <w:t>23 Nov 2004</w:t>
            </w:r>
          </w:p>
        </w:tc>
        <w:tc>
          <w:tcPr>
            <w:tcW w:w="2561" w:type="dxa"/>
          </w:tcPr>
          <w:p>
            <w:pPr>
              <w:pStyle w:val="nTable"/>
              <w:spacing w:before="36"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7069" w:type="dxa"/>
            <w:gridSpan w:val="4"/>
          </w:tcPr>
          <w:p>
            <w:pPr>
              <w:pStyle w:val="nTable"/>
              <w:spacing w:before="36" w:after="40"/>
            </w:pPr>
            <w:r>
              <w:rPr>
                <w:b/>
              </w:rPr>
              <w:t xml:space="preserve">Reprint 2: The </w:t>
            </w:r>
            <w:r>
              <w:rPr>
                <w:b/>
                <w:i/>
              </w:rPr>
              <w:t>Coroners Act 1996</w:t>
            </w:r>
            <w:r>
              <w:rPr>
                <w:b/>
              </w:rPr>
              <w:t xml:space="preserve"> as at 10 Jun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snapToGrid w:val="0"/>
              </w:rPr>
            </w:pPr>
            <w:r>
              <w:rPr>
                <w:i/>
                <w:iCs/>
                <w:snapToGrid w:val="0"/>
              </w:rPr>
              <w:t>Legal Profession Act 2008</w:t>
            </w:r>
            <w:r>
              <w:rPr>
                <w:i/>
                <w:snapToGrid w:val="0"/>
              </w:rPr>
              <w:t xml:space="preserve"> </w:t>
            </w:r>
            <w:r>
              <w:rPr>
                <w:iCs/>
                <w:snapToGrid w:val="0"/>
              </w:rPr>
              <w:t xml:space="preserve">s. 652 </w:t>
            </w:r>
          </w:p>
        </w:tc>
        <w:tc>
          <w:tcPr>
            <w:tcW w:w="1134" w:type="dxa"/>
          </w:tcPr>
          <w:p>
            <w:pPr>
              <w:pStyle w:val="nTable"/>
              <w:spacing w:before="36" w:after="40"/>
              <w:rPr>
                <w:snapToGrid w:val="0"/>
              </w:rPr>
            </w:pPr>
            <w:r>
              <w:rPr>
                <w:snapToGrid w:val="0"/>
              </w:rPr>
              <w:t>21 of 2008</w:t>
            </w:r>
          </w:p>
        </w:tc>
        <w:tc>
          <w:tcPr>
            <w:tcW w:w="1134" w:type="dxa"/>
          </w:tcPr>
          <w:p>
            <w:pPr>
              <w:pStyle w:val="nTable"/>
              <w:spacing w:before="36" w:after="40"/>
            </w:pPr>
            <w:r>
              <w:rPr>
                <w:snapToGrid w:val="0"/>
              </w:rPr>
              <w:t>27 May 2008</w:t>
            </w:r>
          </w:p>
        </w:tc>
        <w:tc>
          <w:tcPr>
            <w:tcW w:w="2561" w:type="dxa"/>
          </w:tcPr>
          <w:p>
            <w:pPr>
              <w:pStyle w:val="nTable"/>
              <w:spacing w:before="36"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Cs/>
              </w:rPr>
            </w:pPr>
            <w:r>
              <w:rPr>
                <w:i/>
                <w:snapToGrid w:val="0"/>
              </w:rPr>
              <w:t>Medical Practitioners Act 2008</w:t>
            </w:r>
            <w:r>
              <w:rPr>
                <w:iCs/>
                <w:snapToGrid w:val="0"/>
              </w:rPr>
              <w:t xml:space="preserve"> Sch. 3 cl. 10</w:t>
            </w:r>
          </w:p>
        </w:tc>
        <w:tc>
          <w:tcPr>
            <w:tcW w:w="1134" w:type="dxa"/>
          </w:tcPr>
          <w:p>
            <w:pPr>
              <w:pStyle w:val="nTable"/>
              <w:spacing w:before="36" w:after="40"/>
            </w:pPr>
            <w:r>
              <w:rPr>
                <w:snapToGrid w:val="0"/>
              </w:rPr>
              <w:t>22 of 2008</w:t>
            </w:r>
          </w:p>
        </w:tc>
        <w:tc>
          <w:tcPr>
            <w:tcW w:w="1134" w:type="dxa"/>
          </w:tcPr>
          <w:p>
            <w:pPr>
              <w:pStyle w:val="nTable"/>
              <w:spacing w:before="36" w:after="40"/>
            </w:pPr>
            <w:r>
              <w:t>27 May 2008</w:t>
            </w:r>
          </w:p>
        </w:tc>
        <w:tc>
          <w:tcPr>
            <w:tcW w:w="2561" w:type="dxa"/>
          </w:tcPr>
          <w:p>
            <w:pPr>
              <w:pStyle w:val="nTable"/>
              <w:spacing w:before="36" w:after="40"/>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snapToGrid w:val="0"/>
              </w:rPr>
            </w:pPr>
            <w:r>
              <w:rPr>
                <w:i/>
                <w:snapToGrid w:val="0"/>
              </w:rPr>
              <w:t xml:space="preserve">Health Practitioner Regulation National Law (WA) Act 2010 </w:t>
            </w:r>
            <w:r>
              <w:rPr>
                <w:iCs/>
                <w:snapToGrid w:val="0"/>
              </w:rPr>
              <w:t>Pt. 5 Div. 11</w:t>
            </w:r>
          </w:p>
        </w:tc>
        <w:tc>
          <w:tcPr>
            <w:tcW w:w="1134" w:type="dxa"/>
            <w:shd w:val="clear" w:color="auto" w:fill="auto"/>
          </w:tcPr>
          <w:p>
            <w:pPr>
              <w:pStyle w:val="nTable"/>
              <w:spacing w:before="36" w:after="40"/>
              <w:rPr>
                <w:snapToGrid w:val="0"/>
              </w:rPr>
            </w:pPr>
            <w:r>
              <w:rPr>
                <w:snapToGrid w:val="0"/>
              </w:rPr>
              <w:t>35 of 2010</w:t>
            </w:r>
          </w:p>
        </w:tc>
        <w:tc>
          <w:tcPr>
            <w:tcW w:w="1134" w:type="dxa"/>
            <w:shd w:val="clear" w:color="auto" w:fill="auto"/>
          </w:tcPr>
          <w:p>
            <w:pPr>
              <w:pStyle w:val="nTable"/>
              <w:spacing w:before="36" w:after="40"/>
            </w:pPr>
            <w:r>
              <w:rPr>
                <w:snapToGrid w:val="0"/>
              </w:rPr>
              <w:t>30 Aug 2010</w:t>
            </w:r>
          </w:p>
        </w:tc>
        <w:tc>
          <w:tcPr>
            <w:tcW w:w="2561" w:type="dxa"/>
            <w:shd w:val="clear" w:color="auto" w:fill="auto"/>
          </w:tcPr>
          <w:p>
            <w:pPr>
              <w:pStyle w:val="nTable"/>
              <w:spacing w:before="36"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after="40"/>
              <w:rPr>
                <w:i/>
              </w:rPr>
            </w:pPr>
            <w:r>
              <w:rPr>
                <w:i/>
              </w:rPr>
              <w:t>Mental Health Legislation Amendment Act 2014</w:t>
            </w:r>
            <w:r>
              <w:t xml:space="preserve"> Pt. 4 Div. 4 Subdiv. 5</w:t>
            </w:r>
          </w:p>
        </w:tc>
        <w:tc>
          <w:tcPr>
            <w:tcW w:w="1134" w:type="dxa"/>
            <w:shd w:val="clear" w:color="auto" w:fill="auto"/>
          </w:tcPr>
          <w:p>
            <w:pPr>
              <w:pStyle w:val="nTable"/>
              <w:spacing w:after="40"/>
            </w:pPr>
            <w:r>
              <w:rPr>
                <w:snapToGrid w:val="0"/>
              </w:rPr>
              <w:t>25 of 2014</w:t>
            </w:r>
          </w:p>
        </w:tc>
        <w:tc>
          <w:tcPr>
            <w:tcW w:w="1134" w:type="dxa"/>
            <w:shd w:val="clear" w:color="auto" w:fill="auto"/>
          </w:tcPr>
          <w:p>
            <w:pPr>
              <w:pStyle w:val="nTable"/>
              <w:spacing w:after="40"/>
            </w:pPr>
            <w:r>
              <w:t>3 Nov 2014</w:t>
            </w:r>
          </w:p>
        </w:tc>
        <w:tc>
          <w:tcPr>
            <w:tcW w:w="2561" w:type="dxa"/>
            <w:shd w:val="clear" w:color="auto" w:fill="auto"/>
          </w:tcPr>
          <w:p>
            <w:pPr>
              <w:pStyle w:val="nTable"/>
              <w:spacing w:after="40"/>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7069" w:type="dxa"/>
            <w:gridSpan w:val="4"/>
            <w:shd w:val="clear" w:color="auto" w:fill="auto"/>
          </w:tcPr>
          <w:p>
            <w:pPr>
              <w:pStyle w:val="nTable"/>
              <w:spacing w:before="36" w:after="40"/>
              <w:rPr>
                <w:snapToGrid w:val="0"/>
              </w:rPr>
            </w:pPr>
            <w:r>
              <w:rPr>
                <w:b/>
              </w:rPr>
              <w:t xml:space="preserve">Reprint 3: The </w:t>
            </w:r>
            <w:r>
              <w:rPr>
                <w:b/>
                <w:i/>
              </w:rPr>
              <w:t>Coroners Act 1996</w:t>
            </w:r>
            <w:r>
              <w:rPr>
                <w:b/>
              </w:rPr>
              <w:t xml:space="preserve"> as at 7 Nov 2014 </w:t>
            </w:r>
            <w:r>
              <w:t xml:space="preserve">(includes amendments listed above except those in the </w:t>
            </w:r>
            <w:r>
              <w:rPr>
                <w:i/>
              </w:rPr>
              <w:t>Mental Health Legislation Amendment Act 2014</w:t>
            </w:r>
            <w:r>
              <w:t>)</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rPr>
            </w:pPr>
            <w:r>
              <w:rPr>
                <w:i/>
                <w:snapToGrid w:val="0"/>
              </w:rPr>
              <w:t xml:space="preserve">Alcohol and Drug Authority Amendment Act 2015 </w:t>
            </w:r>
            <w:r>
              <w:rPr>
                <w:snapToGrid w:val="0"/>
              </w:rPr>
              <w:t>s. 15</w:t>
            </w:r>
          </w:p>
        </w:tc>
        <w:tc>
          <w:tcPr>
            <w:tcW w:w="1134" w:type="dxa"/>
            <w:shd w:val="clear" w:color="auto" w:fill="auto"/>
          </w:tcPr>
          <w:p>
            <w:pPr>
              <w:pStyle w:val="nTable"/>
              <w:spacing w:before="36" w:after="40"/>
              <w:rPr>
                <w:snapToGrid w:val="0"/>
              </w:rPr>
            </w:pPr>
            <w:r>
              <w:t>3 of 2015</w:t>
            </w:r>
          </w:p>
        </w:tc>
        <w:tc>
          <w:tcPr>
            <w:tcW w:w="1134" w:type="dxa"/>
            <w:shd w:val="clear" w:color="auto" w:fill="auto"/>
          </w:tcPr>
          <w:p>
            <w:pPr>
              <w:pStyle w:val="nTable"/>
              <w:spacing w:before="36" w:after="40"/>
            </w:pPr>
            <w:r>
              <w:t>25 Feb 2015</w:t>
            </w:r>
          </w:p>
        </w:tc>
        <w:tc>
          <w:tcPr>
            <w:tcW w:w="2561" w:type="dxa"/>
            <w:shd w:val="clear" w:color="auto" w:fill="auto"/>
          </w:tcPr>
          <w:p>
            <w:pPr>
              <w:pStyle w:val="nTable"/>
              <w:spacing w:before="36" w:after="40"/>
              <w:rPr>
                <w:snapToGrid w:val="0"/>
              </w:rPr>
            </w:pPr>
            <w:r>
              <w:t xml:space="preserve">1 Jul 2015 (see s. 2(b) and </w:t>
            </w:r>
            <w:r>
              <w:rPr>
                <w:i/>
              </w:rPr>
              <w:t>Gazette</w:t>
            </w:r>
            <w:r>
              <w:t xml:space="preserve"> 10 Apr 2015 p. 1249)</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snapToGrid w:val="0"/>
              </w:rPr>
            </w:pPr>
            <w:r>
              <w:rPr>
                <w:i/>
              </w:rPr>
              <w:lastRenderedPageBreak/>
              <w:t>Declared Places (Mentally Impaired Accused) Act 2015</w:t>
            </w:r>
            <w:r>
              <w:t xml:space="preserve"> s. 83</w:t>
            </w:r>
          </w:p>
        </w:tc>
        <w:tc>
          <w:tcPr>
            <w:tcW w:w="1134" w:type="dxa"/>
            <w:shd w:val="clear" w:color="auto" w:fill="auto"/>
          </w:tcPr>
          <w:p>
            <w:pPr>
              <w:pStyle w:val="nTable"/>
              <w:spacing w:before="36" w:after="40"/>
              <w:rPr>
                <w:snapToGrid w:val="0"/>
              </w:rPr>
            </w:pPr>
            <w:r>
              <w:rPr>
                <w:snapToGrid w:val="0"/>
              </w:rPr>
              <w:t>4 of 2015</w:t>
            </w:r>
          </w:p>
        </w:tc>
        <w:tc>
          <w:tcPr>
            <w:tcW w:w="1134" w:type="dxa"/>
            <w:shd w:val="clear" w:color="auto" w:fill="auto"/>
          </w:tcPr>
          <w:p>
            <w:pPr>
              <w:pStyle w:val="nTable"/>
              <w:spacing w:before="36" w:after="40"/>
            </w:pPr>
            <w:r>
              <w:t>3 Mar 2015</w:t>
            </w:r>
          </w:p>
        </w:tc>
        <w:tc>
          <w:tcPr>
            <w:tcW w:w="2561" w:type="dxa"/>
            <w:shd w:val="clear" w:color="auto" w:fill="auto"/>
          </w:tcPr>
          <w:p>
            <w:pPr>
              <w:pStyle w:val="nTable"/>
              <w:spacing w:before="36"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40" w:type="dxa"/>
            <w:tcBorders>
              <w:top w:val="nil"/>
              <w:bottom w:val="nil"/>
            </w:tcBorders>
            <w:shd w:val="clear" w:color="auto" w:fill="auto"/>
          </w:tcPr>
          <w:p>
            <w:pPr>
              <w:pStyle w:val="nTable"/>
              <w:spacing w:before="36" w:after="40"/>
              <w:ind w:right="113"/>
              <w:rPr>
                <w:i/>
              </w:rPr>
            </w:pPr>
            <w:r>
              <w:rPr>
                <w:i/>
              </w:rPr>
              <w:t>Coroners Amendment Act 2018</w:t>
            </w:r>
          </w:p>
        </w:tc>
        <w:tc>
          <w:tcPr>
            <w:tcW w:w="1134" w:type="dxa"/>
            <w:tcBorders>
              <w:top w:val="nil"/>
              <w:bottom w:val="nil"/>
            </w:tcBorders>
            <w:shd w:val="clear" w:color="auto" w:fill="auto"/>
          </w:tcPr>
          <w:p>
            <w:pPr>
              <w:pStyle w:val="nTable"/>
              <w:spacing w:before="36" w:after="40"/>
              <w:rPr>
                <w:snapToGrid w:val="0"/>
              </w:rPr>
            </w:pPr>
            <w:r>
              <w:rPr>
                <w:snapToGrid w:val="0"/>
              </w:rPr>
              <w:t>23 of 2018</w:t>
            </w:r>
          </w:p>
        </w:tc>
        <w:tc>
          <w:tcPr>
            <w:tcW w:w="1134" w:type="dxa"/>
            <w:tcBorders>
              <w:top w:val="nil"/>
              <w:bottom w:val="nil"/>
            </w:tcBorders>
            <w:shd w:val="clear" w:color="auto" w:fill="auto"/>
          </w:tcPr>
          <w:p>
            <w:pPr>
              <w:pStyle w:val="nTable"/>
              <w:spacing w:before="36" w:after="40"/>
            </w:pPr>
            <w:r>
              <w:t>21 Sep 2018</w:t>
            </w:r>
          </w:p>
        </w:tc>
        <w:tc>
          <w:tcPr>
            <w:tcW w:w="2561" w:type="dxa"/>
            <w:tcBorders>
              <w:top w:val="nil"/>
              <w:bottom w:val="nil"/>
            </w:tcBorders>
            <w:shd w:val="clear" w:color="auto" w:fill="auto"/>
          </w:tcPr>
          <w:p>
            <w:pPr>
              <w:pStyle w:val="nTable"/>
              <w:spacing w:before="36" w:after="40"/>
              <w:rPr>
                <w:snapToGrid w:val="0"/>
              </w:rPr>
            </w:pPr>
            <w:r>
              <w:t>s. 1 and 2: 21 Sep 2018 (see s. 2(a));</w:t>
            </w:r>
            <w:r>
              <w:br/>
              <w:t>Act other than s. 1 and 2: 22 Sep 2018 (see s. 2(b))</w:t>
            </w:r>
          </w:p>
        </w:tc>
      </w:tr>
      <w:tr>
        <w:trPr>
          <w:cantSplit/>
        </w:trPr>
        <w:tc>
          <w:tcPr>
            <w:tcW w:w="2240" w:type="dxa"/>
            <w:tcBorders>
              <w:top w:val="nil"/>
              <w:bottom w:val="nil"/>
            </w:tcBorders>
            <w:shd w:val="clear" w:color="auto" w:fill="auto"/>
          </w:tcPr>
          <w:p>
            <w:pPr>
              <w:pStyle w:val="nTable"/>
              <w:spacing w:before="36" w:after="40"/>
              <w:ind w:right="113"/>
              <w:rPr>
                <w:i/>
              </w:rPr>
            </w:pPr>
            <w:r>
              <w:rPr>
                <w:i/>
              </w:rPr>
              <w:t xml:space="preserve">Voluntary Assisted Dying Act 2019 </w:t>
            </w:r>
            <w:r>
              <w:t>Pt. 12 Div. 2</w:t>
            </w:r>
          </w:p>
        </w:tc>
        <w:tc>
          <w:tcPr>
            <w:tcW w:w="1134" w:type="dxa"/>
            <w:tcBorders>
              <w:top w:val="nil"/>
              <w:bottom w:val="nil"/>
            </w:tcBorders>
            <w:shd w:val="clear" w:color="auto" w:fill="auto"/>
          </w:tcPr>
          <w:p>
            <w:pPr>
              <w:pStyle w:val="nTable"/>
              <w:spacing w:before="36" w:after="40"/>
              <w:rPr>
                <w:snapToGrid w:val="0"/>
              </w:rPr>
            </w:pPr>
            <w:r>
              <w:t>27 of 2019</w:t>
            </w:r>
          </w:p>
        </w:tc>
        <w:tc>
          <w:tcPr>
            <w:tcW w:w="1134" w:type="dxa"/>
            <w:tcBorders>
              <w:top w:val="nil"/>
              <w:bottom w:val="nil"/>
            </w:tcBorders>
            <w:shd w:val="clear" w:color="auto" w:fill="auto"/>
          </w:tcPr>
          <w:p>
            <w:pPr>
              <w:pStyle w:val="nTable"/>
              <w:spacing w:before="36" w:after="40"/>
            </w:pPr>
            <w:r>
              <w:t>19 Dec 2019</w:t>
            </w:r>
          </w:p>
        </w:tc>
        <w:tc>
          <w:tcPr>
            <w:tcW w:w="2561" w:type="dxa"/>
            <w:tcBorders>
              <w:top w:val="nil"/>
              <w:bottom w:val="nil"/>
            </w:tcBorders>
            <w:shd w:val="clear" w:color="auto" w:fill="auto"/>
          </w:tcPr>
          <w:p>
            <w:pPr>
              <w:pStyle w:val="nTable"/>
              <w:spacing w:before="36" w:after="40"/>
            </w:pPr>
            <w:r>
              <w:t>1 Jul 2021 (see s 2(b) and SL 2021/83 cl. 2)</w:t>
            </w:r>
          </w:p>
        </w:tc>
      </w:tr>
      <w:tr>
        <w:trPr>
          <w:cantSplit/>
        </w:trPr>
        <w:tc>
          <w:tcPr>
            <w:tcW w:w="2240" w:type="dxa"/>
            <w:tcBorders>
              <w:top w:val="nil"/>
              <w:bottom w:val="nil"/>
            </w:tcBorders>
            <w:shd w:val="clear" w:color="auto" w:fill="auto"/>
          </w:tcPr>
          <w:p>
            <w:pPr>
              <w:pStyle w:val="nTable"/>
              <w:spacing w:before="36" w:after="40"/>
              <w:ind w:right="113"/>
            </w:pPr>
            <w:r>
              <w:rPr>
                <w:i/>
              </w:rPr>
              <w:t>COVID</w:t>
            </w:r>
            <w:r>
              <w:rPr>
                <w:i/>
              </w:rPr>
              <w:noBreakHyphen/>
              <w:t>19 Response and Economic Recovery Omnibus Act 2020</w:t>
            </w:r>
            <w:r>
              <w:t xml:space="preserve"> s. 54</w:t>
            </w:r>
          </w:p>
        </w:tc>
        <w:tc>
          <w:tcPr>
            <w:tcW w:w="1134" w:type="dxa"/>
            <w:tcBorders>
              <w:top w:val="nil"/>
              <w:bottom w:val="nil"/>
            </w:tcBorders>
            <w:shd w:val="clear" w:color="auto" w:fill="auto"/>
          </w:tcPr>
          <w:p>
            <w:pPr>
              <w:pStyle w:val="nTable"/>
              <w:spacing w:before="36" w:after="40"/>
              <w:rPr>
                <w:snapToGrid w:val="0"/>
              </w:rPr>
            </w:pPr>
            <w:r>
              <w:rPr>
                <w:snapToGrid w:val="0"/>
              </w:rPr>
              <w:t>34 of 2020</w:t>
            </w:r>
          </w:p>
        </w:tc>
        <w:tc>
          <w:tcPr>
            <w:tcW w:w="1134" w:type="dxa"/>
            <w:tcBorders>
              <w:top w:val="nil"/>
              <w:bottom w:val="nil"/>
            </w:tcBorders>
            <w:shd w:val="clear" w:color="auto" w:fill="auto"/>
          </w:tcPr>
          <w:p>
            <w:pPr>
              <w:pStyle w:val="nTable"/>
              <w:spacing w:before="36" w:after="40"/>
            </w:pPr>
            <w:r>
              <w:t>11 Sep 2020</w:t>
            </w:r>
          </w:p>
        </w:tc>
        <w:tc>
          <w:tcPr>
            <w:tcW w:w="2561" w:type="dxa"/>
            <w:tcBorders>
              <w:top w:val="nil"/>
              <w:bottom w:val="nil"/>
            </w:tcBorders>
            <w:shd w:val="clear" w:color="auto" w:fill="auto"/>
          </w:tcPr>
          <w:p>
            <w:pPr>
              <w:pStyle w:val="nTable"/>
              <w:spacing w:before="36" w:after="40"/>
            </w:pPr>
            <w:r>
              <w:t>12 Sep 2020 (see s. 2(b))</w:t>
            </w:r>
          </w:p>
        </w:tc>
      </w:tr>
      <w:tr>
        <w:trPr>
          <w:cantSplit/>
        </w:trPr>
        <w:tc>
          <w:tcPr>
            <w:tcW w:w="2240" w:type="dxa"/>
            <w:tcBorders>
              <w:top w:val="nil"/>
              <w:bottom w:val="nil"/>
            </w:tcBorders>
            <w:shd w:val="clear" w:color="auto" w:fill="auto"/>
          </w:tcPr>
          <w:p>
            <w:pPr>
              <w:pStyle w:val="nTable"/>
              <w:spacing w:before="36" w:after="40"/>
              <w:ind w:right="113"/>
              <w:rPr>
                <w:i/>
              </w:rPr>
            </w:pPr>
            <w:r>
              <w:rPr>
                <w:i/>
              </w:rPr>
              <w:t>Aboriginal Cultural Heritage Act 2021</w:t>
            </w:r>
            <w:r>
              <w:t xml:space="preserve"> s. 346</w:t>
            </w:r>
          </w:p>
        </w:tc>
        <w:tc>
          <w:tcPr>
            <w:tcW w:w="1134" w:type="dxa"/>
            <w:tcBorders>
              <w:top w:val="nil"/>
              <w:bottom w:val="nil"/>
            </w:tcBorders>
            <w:shd w:val="clear" w:color="auto" w:fill="auto"/>
          </w:tcPr>
          <w:p>
            <w:pPr>
              <w:pStyle w:val="nTable"/>
              <w:spacing w:before="36" w:after="40"/>
              <w:rPr>
                <w:snapToGrid w:val="0"/>
              </w:rPr>
            </w:pPr>
            <w:r>
              <w:t>27 of 2021</w:t>
            </w:r>
          </w:p>
        </w:tc>
        <w:tc>
          <w:tcPr>
            <w:tcW w:w="1134" w:type="dxa"/>
            <w:tcBorders>
              <w:top w:val="nil"/>
              <w:bottom w:val="nil"/>
            </w:tcBorders>
            <w:shd w:val="clear" w:color="auto" w:fill="auto"/>
          </w:tcPr>
          <w:p>
            <w:pPr>
              <w:pStyle w:val="nTable"/>
              <w:spacing w:before="36" w:after="40"/>
            </w:pPr>
            <w:r>
              <w:t>22 Dec 2021</w:t>
            </w:r>
          </w:p>
        </w:tc>
        <w:tc>
          <w:tcPr>
            <w:tcW w:w="2561" w:type="dxa"/>
            <w:tcBorders>
              <w:top w:val="nil"/>
              <w:bottom w:val="nil"/>
            </w:tcBorders>
            <w:shd w:val="clear" w:color="auto" w:fill="auto"/>
          </w:tcPr>
          <w:p>
            <w:pPr>
              <w:pStyle w:val="nTable"/>
              <w:spacing w:before="36" w:after="40"/>
            </w:pPr>
            <w:r>
              <w:t>1 Jul 2023 (see s. 2(e) and SL 2023/40 cl. 2(b))</w:t>
            </w:r>
          </w:p>
        </w:tc>
      </w:tr>
      <w:tr>
        <w:tblPrEx>
          <w:tblBorders>
            <w:top w:val="none" w:sz="0" w:space="0" w:color="auto"/>
            <w:bottom w:val="none" w:sz="0" w:space="0" w:color="auto"/>
            <w:insideH w:val="none" w:sz="0" w:space="0" w:color="auto"/>
          </w:tblBorders>
        </w:tblPrEx>
        <w:trPr>
          <w:cantSplit/>
        </w:trPr>
        <w:tc>
          <w:tcPr>
            <w:tcW w:w="2240" w:type="dxa"/>
            <w:tcBorders>
              <w:bottom w:val="single" w:sz="4" w:space="0" w:color="auto"/>
            </w:tcBorders>
            <w:shd w:val="clear" w:color="auto" w:fill="auto"/>
          </w:tcPr>
          <w:p>
            <w:pPr>
              <w:pStyle w:val="nTable"/>
              <w:spacing w:before="36" w:after="40"/>
              <w:ind w:right="113"/>
              <w:rPr>
                <w:i/>
              </w:rPr>
            </w:pPr>
            <w:r>
              <w:rPr>
                <w:i/>
              </w:rPr>
              <w:t>Legal Profession Uniform Law Application Act 2022</w:t>
            </w:r>
            <w:r>
              <w:t xml:space="preserve"> s. 424</w:t>
            </w:r>
          </w:p>
        </w:tc>
        <w:tc>
          <w:tcPr>
            <w:tcW w:w="1134" w:type="dxa"/>
            <w:tcBorders>
              <w:bottom w:val="single" w:sz="4" w:space="0" w:color="auto"/>
            </w:tcBorders>
            <w:shd w:val="clear" w:color="auto" w:fill="auto"/>
          </w:tcPr>
          <w:p>
            <w:pPr>
              <w:pStyle w:val="nTable"/>
              <w:spacing w:before="36" w:after="40"/>
              <w:rPr>
                <w:snapToGrid w:val="0"/>
              </w:rPr>
            </w:pPr>
            <w:r>
              <w:t>9 of 2022</w:t>
            </w:r>
          </w:p>
        </w:tc>
        <w:tc>
          <w:tcPr>
            <w:tcW w:w="1134" w:type="dxa"/>
            <w:tcBorders>
              <w:bottom w:val="single" w:sz="4" w:space="0" w:color="auto"/>
            </w:tcBorders>
            <w:shd w:val="clear" w:color="auto" w:fill="auto"/>
          </w:tcPr>
          <w:p>
            <w:pPr>
              <w:pStyle w:val="nTable"/>
              <w:spacing w:before="36" w:after="40"/>
            </w:pPr>
            <w:r>
              <w:t>14 Apr 2022</w:t>
            </w:r>
          </w:p>
        </w:tc>
        <w:tc>
          <w:tcPr>
            <w:tcW w:w="2561" w:type="dxa"/>
            <w:tcBorders>
              <w:bottom w:val="single" w:sz="4" w:space="0" w:color="auto"/>
            </w:tcBorders>
            <w:shd w:val="clear" w:color="auto" w:fill="auto"/>
          </w:tcPr>
          <w:p>
            <w:pPr>
              <w:pStyle w:val="nTable"/>
              <w:spacing w:before="36" w:after="40"/>
            </w:pPr>
            <w:r>
              <w:rPr>
                <w:snapToGrid w:val="0"/>
                <w:spacing w:val="-2"/>
              </w:rPr>
              <w:t>1 Jul 2022 (see s. 2(c) and SL 2022/113 cl. 2)</w:t>
            </w:r>
          </w:p>
        </w:tc>
      </w:tr>
    </w:tbl>
    <w:p>
      <w:pPr>
        <w:pStyle w:val="nHeading3"/>
      </w:pPr>
      <w:bookmarkStart w:id="86" w:name="_Toc154752118"/>
      <w:r>
        <w:t>Uncommenced provisions table</w:t>
      </w:r>
      <w:bookmarkEnd w:id="8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1134"/>
        <w:gridCol w:w="1134"/>
        <w:gridCol w:w="2580"/>
      </w:tblGrid>
      <w:tr>
        <w:trPr>
          <w:tblHeader/>
        </w:trPr>
        <w:tc>
          <w:tcPr>
            <w:tcW w:w="2240"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80" w:type="dxa"/>
            <w:tcBorders>
              <w:bottom w:val="single" w:sz="8" w:space="0" w:color="auto"/>
            </w:tcBorders>
          </w:tcPr>
          <w:p>
            <w:pPr>
              <w:pStyle w:val="nTable"/>
              <w:spacing w:after="40"/>
              <w:rPr>
                <w:b/>
              </w:rPr>
            </w:pPr>
            <w:r>
              <w:rPr>
                <w:b/>
              </w:rPr>
              <w:t>Commencement</w:t>
            </w:r>
          </w:p>
        </w:tc>
      </w:tr>
      <w:tr>
        <w:trPr>
          <w:cantSplit/>
        </w:trPr>
        <w:tc>
          <w:tcPr>
            <w:tcW w:w="2240" w:type="dxa"/>
            <w:tcBorders>
              <w:top w:val="single" w:sz="8" w:space="0" w:color="auto"/>
              <w:bottom w:val="nil"/>
            </w:tcBorders>
            <w:shd w:val="clear" w:color="auto" w:fill="auto"/>
          </w:tcPr>
          <w:p>
            <w:pPr>
              <w:pStyle w:val="nTable"/>
              <w:spacing w:after="40"/>
              <w:rPr>
                <w:i/>
              </w:rPr>
            </w:pPr>
            <w:r>
              <w:rPr>
                <w:i/>
              </w:rPr>
              <w:t>State Superannuation (Transitional and Consequential Provisions) Act 2000</w:t>
            </w:r>
            <w:r>
              <w:t xml:space="preserve"> s. 36(2)</w:t>
            </w:r>
          </w:p>
        </w:tc>
        <w:tc>
          <w:tcPr>
            <w:tcW w:w="1134" w:type="dxa"/>
            <w:tcBorders>
              <w:top w:val="single" w:sz="8" w:space="0" w:color="auto"/>
              <w:bottom w:val="nil"/>
            </w:tcBorders>
            <w:shd w:val="clear" w:color="auto" w:fill="auto"/>
          </w:tcPr>
          <w:p>
            <w:pPr>
              <w:pStyle w:val="nTable"/>
              <w:spacing w:after="40"/>
            </w:pPr>
            <w:r>
              <w:t>43 of 2000</w:t>
            </w:r>
          </w:p>
        </w:tc>
        <w:tc>
          <w:tcPr>
            <w:tcW w:w="1134" w:type="dxa"/>
            <w:tcBorders>
              <w:top w:val="single" w:sz="8" w:space="0" w:color="auto"/>
              <w:bottom w:val="nil"/>
            </w:tcBorders>
            <w:shd w:val="clear" w:color="auto" w:fill="auto"/>
          </w:tcPr>
          <w:p>
            <w:pPr>
              <w:pStyle w:val="nTable"/>
              <w:spacing w:after="40"/>
            </w:pPr>
            <w:r>
              <w:t>2 Nov 2000</w:t>
            </w:r>
          </w:p>
        </w:tc>
        <w:tc>
          <w:tcPr>
            <w:tcW w:w="2580" w:type="dxa"/>
            <w:tcBorders>
              <w:top w:val="single" w:sz="8" w:space="0" w:color="auto"/>
              <w:bottom w:val="nil"/>
            </w:tcBorders>
            <w:shd w:val="clear" w:color="auto" w:fill="auto"/>
          </w:tcPr>
          <w:p>
            <w:pPr>
              <w:pStyle w:val="nTable"/>
              <w:spacing w:after="40"/>
            </w:pPr>
            <w:r>
              <w:t>To be proclaimed (see s. 2(2))</w:t>
            </w:r>
          </w:p>
        </w:tc>
      </w:tr>
      <w:tr>
        <w:trPr>
          <w:cantSplit/>
        </w:trPr>
        <w:tc>
          <w:tcPr>
            <w:tcW w:w="2240" w:type="dxa"/>
            <w:tcBorders>
              <w:top w:val="nil"/>
              <w:bottom w:val="nil"/>
            </w:tcBorders>
            <w:shd w:val="clear" w:color="auto" w:fill="auto"/>
          </w:tcPr>
          <w:p>
            <w:pPr>
              <w:pStyle w:val="nTable"/>
              <w:spacing w:after="40"/>
              <w:rPr>
                <w:i/>
              </w:rPr>
            </w:pPr>
            <w:r>
              <w:rPr>
                <w:i/>
              </w:rPr>
              <w:t>Criminal Law (Mental Impairment) Act 2023</w:t>
            </w:r>
            <w:r>
              <w:t xml:space="preserve"> Pt. 15 Div. 4 and s. 410</w:t>
            </w:r>
          </w:p>
        </w:tc>
        <w:tc>
          <w:tcPr>
            <w:tcW w:w="1134" w:type="dxa"/>
            <w:tcBorders>
              <w:top w:val="nil"/>
              <w:bottom w:val="nil"/>
            </w:tcBorders>
            <w:shd w:val="clear" w:color="auto" w:fill="auto"/>
          </w:tcPr>
          <w:p>
            <w:pPr>
              <w:pStyle w:val="nTable"/>
              <w:spacing w:after="40"/>
            </w:pPr>
            <w:r>
              <w:t>10 of 2023</w:t>
            </w:r>
          </w:p>
        </w:tc>
        <w:tc>
          <w:tcPr>
            <w:tcW w:w="1134" w:type="dxa"/>
            <w:tcBorders>
              <w:top w:val="nil"/>
              <w:bottom w:val="nil"/>
            </w:tcBorders>
            <w:shd w:val="clear" w:color="auto" w:fill="auto"/>
          </w:tcPr>
          <w:p>
            <w:pPr>
              <w:pStyle w:val="nTable"/>
              <w:spacing w:after="40"/>
            </w:pPr>
            <w:r>
              <w:t>13 Apr 2023</w:t>
            </w:r>
          </w:p>
        </w:tc>
        <w:tc>
          <w:tcPr>
            <w:tcW w:w="2580" w:type="dxa"/>
            <w:tcBorders>
              <w:top w:val="nil"/>
              <w:bottom w:val="nil"/>
            </w:tcBorders>
            <w:shd w:val="clear" w:color="auto" w:fill="auto"/>
          </w:tcPr>
          <w:p>
            <w:pPr>
              <w:pStyle w:val="nTable"/>
              <w:spacing w:after="40"/>
            </w:pPr>
            <w:r>
              <w:t>To be proclaimed (see s. 2(b))</w:t>
            </w:r>
          </w:p>
        </w:tc>
      </w:tr>
      <w:tr>
        <w:trPr>
          <w:cantSplit/>
        </w:trPr>
        <w:tc>
          <w:tcPr>
            <w:tcW w:w="2240" w:type="dxa"/>
            <w:tcBorders>
              <w:top w:val="nil"/>
              <w:bottom w:val="nil"/>
            </w:tcBorders>
            <w:shd w:val="clear" w:color="auto" w:fill="auto"/>
          </w:tcPr>
          <w:p>
            <w:pPr>
              <w:pStyle w:val="nTable"/>
              <w:spacing w:after="40"/>
              <w:rPr>
                <w:i/>
              </w:rPr>
            </w:pPr>
            <w:r>
              <w:rPr>
                <w:i/>
              </w:rPr>
              <w:t xml:space="preserve">Abortion Legislation Reform Act 2023 </w:t>
            </w:r>
            <w:r>
              <w:t>Pt. 4 Div. 2</w:t>
            </w:r>
          </w:p>
        </w:tc>
        <w:tc>
          <w:tcPr>
            <w:tcW w:w="1134" w:type="dxa"/>
            <w:tcBorders>
              <w:top w:val="nil"/>
              <w:bottom w:val="nil"/>
            </w:tcBorders>
            <w:shd w:val="clear" w:color="auto" w:fill="auto"/>
          </w:tcPr>
          <w:p>
            <w:pPr>
              <w:pStyle w:val="nTable"/>
              <w:spacing w:after="40"/>
            </w:pPr>
            <w:r>
              <w:t>20 of 2023</w:t>
            </w:r>
          </w:p>
        </w:tc>
        <w:tc>
          <w:tcPr>
            <w:tcW w:w="1134" w:type="dxa"/>
            <w:tcBorders>
              <w:top w:val="nil"/>
              <w:bottom w:val="nil"/>
            </w:tcBorders>
            <w:shd w:val="clear" w:color="auto" w:fill="auto"/>
          </w:tcPr>
          <w:p>
            <w:pPr>
              <w:pStyle w:val="nTable"/>
              <w:spacing w:after="40"/>
            </w:pPr>
            <w:r>
              <w:t>27 Sep 2023</w:t>
            </w:r>
          </w:p>
        </w:tc>
        <w:tc>
          <w:tcPr>
            <w:tcW w:w="2580" w:type="dxa"/>
            <w:tcBorders>
              <w:top w:val="nil"/>
              <w:bottom w:val="nil"/>
            </w:tcBorders>
            <w:shd w:val="clear" w:color="auto" w:fill="auto"/>
          </w:tcPr>
          <w:p>
            <w:pPr>
              <w:pStyle w:val="nTable"/>
              <w:spacing w:after="40"/>
            </w:pPr>
            <w:r>
              <w:t>To be proclaimed (see s. 2(b))</w:t>
            </w:r>
          </w:p>
        </w:tc>
      </w:tr>
      <w:tr>
        <w:trPr>
          <w:cantSplit/>
        </w:trPr>
        <w:tc>
          <w:tcPr>
            <w:tcW w:w="2240" w:type="dxa"/>
            <w:tcBorders>
              <w:top w:val="nil"/>
              <w:bottom w:val="single" w:sz="4" w:space="0" w:color="auto"/>
            </w:tcBorders>
            <w:shd w:val="clear" w:color="auto" w:fill="auto"/>
          </w:tcPr>
          <w:p>
            <w:pPr>
              <w:pStyle w:val="nTable"/>
              <w:spacing w:after="40"/>
              <w:rPr>
                <w:iCs/>
              </w:rPr>
            </w:pPr>
            <w:r>
              <w:rPr>
                <w:i/>
              </w:rPr>
              <w:t>Aboriginal Heritage Legislation Amendment and Repeal Act 2023</w:t>
            </w:r>
            <w:r>
              <w:rPr>
                <w:iCs/>
              </w:rPr>
              <w:t xml:space="preserve"> s. 27</w:t>
            </w:r>
          </w:p>
        </w:tc>
        <w:tc>
          <w:tcPr>
            <w:tcW w:w="1134" w:type="dxa"/>
            <w:tcBorders>
              <w:top w:val="nil"/>
              <w:bottom w:val="single" w:sz="4" w:space="0" w:color="auto"/>
            </w:tcBorders>
            <w:shd w:val="clear" w:color="auto" w:fill="auto"/>
          </w:tcPr>
          <w:p>
            <w:pPr>
              <w:pStyle w:val="nTable"/>
              <w:spacing w:after="40"/>
            </w:pPr>
            <w:r>
              <w:t>23 of 2023</w:t>
            </w:r>
          </w:p>
        </w:tc>
        <w:tc>
          <w:tcPr>
            <w:tcW w:w="1134" w:type="dxa"/>
            <w:tcBorders>
              <w:top w:val="nil"/>
              <w:bottom w:val="single" w:sz="4" w:space="0" w:color="auto"/>
            </w:tcBorders>
            <w:shd w:val="clear" w:color="auto" w:fill="auto"/>
          </w:tcPr>
          <w:p>
            <w:pPr>
              <w:pStyle w:val="nTable"/>
              <w:spacing w:after="40"/>
              <w:rPr>
                <w:highlight w:val="yellow"/>
              </w:rPr>
            </w:pPr>
            <w:r>
              <w:t>24 Oct 2023</w:t>
            </w:r>
          </w:p>
        </w:tc>
        <w:tc>
          <w:tcPr>
            <w:tcW w:w="2580" w:type="dxa"/>
            <w:tcBorders>
              <w:top w:val="nil"/>
              <w:bottom w:val="single" w:sz="4" w:space="0" w:color="auto"/>
            </w:tcBorders>
            <w:shd w:val="clear" w:color="auto" w:fill="auto"/>
          </w:tcPr>
          <w:p>
            <w:pPr>
              <w:pStyle w:val="nTable"/>
              <w:spacing w:after="40"/>
            </w:pPr>
            <w:r>
              <w:t>15 Nov 2023 (see s. 2(d) and SL 2023/161 cl. 2)</w:t>
            </w:r>
          </w:p>
        </w:tc>
      </w:tr>
    </w:tbl>
    <w:p>
      <w:pPr>
        <w:pStyle w:val="nHeading3"/>
      </w:pPr>
      <w:bookmarkStart w:id="87" w:name="_Toc154752119"/>
      <w:r>
        <w:lastRenderedPageBreak/>
        <w:t>Other notes</w:t>
      </w:r>
      <w:bookmarkEnd w:id="87"/>
    </w:p>
    <w:p>
      <w:pPr>
        <w:pStyle w:val="nNote"/>
        <w:spacing w:before="120"/>
        <w:rPr>
          <w:snapToGrid w:val="0"/>
        </w:rPr>
      </w:pPr>
      <w:r>
        <w:rPr>
          <w:snapToGrid w:val="0"/>
          <w:vertAlign w:val="superscript"/>
        </w:rPr>
        <w:t>1</w:t>
      </w:r>
      <w:r>
        <w:rPr>
          <w:snapToGrid w:val="0"/>
        </w:rPr>
        <w:tab/>
        <w:t xml:space="preserve">The provision in this Act repealing that Act has been omitted under the </w:t>
      </w:r>
      <w:r>
        <w:rPr>
          <w:i/>
          <w:snapToGrid w:val="0"/>
        </w:rPr>
        <w:t xml:space="preserve">Reprints Act 1984 </w:t>
      </w:r>
      <w:r>
        <w:rPr>
          <w:snapToGrid w:val="0"/>
        </w:rPr>
        <w:t>s. 7(4)(f).</w:t>
      </w:r>
    </w:p>
    <w:p>
      <w:pPr>
        <w:pStyle w:val="nNote"/>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keepNext/>
        <w:rPr>
          <w:snapToGrid w:val="0"/>
        </w:rPr>
      </w:pPr>
      <w:r>
        <w:rPr>
          <w:snapToGrid w:val="0"/>
          <w:vertAlign w:val="superscript"/>
        </w:rPr>
        <w:t>3</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BlankOpen"/>
      </w:pPr>
    </w:p>
    <w:p>
      <w:pPr>
        <w:pStyle w:val="nzSubsection"/>
      </w:pPr>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keepNext/>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BlankClose"/>
        <w:rPr>
          <w:snapToGrid w:val="0"/>
        </w:rPr>
      </w:pPr>
    </w:p>
    <w:p>
      <w:pPr>
        <w:pStyle w:val="nNote"/>
        <w:keepNext/>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 75(2) reads as follows:</w:t>
      </w:r>
    </w:p>
    <w:p>
      <w:pPr>
        <w:pStyle w:val="BlankOpen"/>
        <w:rPr>
          <w:snapToGrid w:val="0"/>
        </w:rPr>
      </w:pP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BlankClose"/>
        <w:rPr>
          <w:snapToGrid w:val="0"/>
        </w:rPr>
      </w:pPr>
    </w:p>
    <w:p/>
    <w:p>
      <w:pPr>
        <w:sectPr>
          <w:headerReference w:type="even" r:id="rId25"/>
          <w:headerReference w:type="default" r:id="rId26"/>
          <w:pgSz w:w="11907" w:h="16840" w:code="9"/>
          <w:pgMar w:top="2376" w:right="2405" w:bottom="3542" w:left="2405" w:header="706" w:footer="3544" w:gutter="0"/>
          <w:cols w:space="720"/>
          <w:noEndnote/>
          <w:docGrid w:linePitch="326"/>
        </w:sectPr>
      </w:pPr>
    </w:p>
    <w:p>
      <w:pPr>
        <w:pStyle w:val="nHeading2"/>
        <w:rPr>
          <w:sz w:val="28"/>
        </w:rPr>
      </w:pPr>
      <w:bookmarkStart w:id="89" w:name="_Toc154752120"/>
      <w:r>
        <w:rPr>
          <w:sz w:val="28"/>
        </w:rPr>
        <w:lastRenderedPageBreak/>
        <w:t>Defined terms</w:t>
      </w:r>
      <w:bookmarkEnd w:id="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ancestral remains</w:t>
      </w:r>
      <w:r>
        <w:tab/>
        <w:t>19B(1)</w:t>
      </w:r>
    </w:p>
    <w:p>
      <w:pPr>
        <w:pStyle w:val="DefinedTerms"/>
      </w:pPr>
      <w:r>
        <w:t>Aboriginal Cultural Heritage Council</w:t>
      </w:r>
      <w:r>
        <w:tab/>
        <w:t>19B(1)</w:t>
      </w:r>
    </w:p>
    <w:p>
      <w:pPr>
        <w:pStyle w:val="DefinedTerms"/>
      </w:pPr>
      <w:r>
        <w:t>agency</w:t>
      </w:r>
      <w:r>
        <w:tab/>
        <w:t>3</w:t>
      </w:r>
    </w:p>
    <w:p>
      <w:pPr>
        <w:pStyle w:val="DefinedTerms"/>
      </w:pPr>
      <w:r>
        <w:t>body having jurisdiction over a person carrying on a trade or profession</w:t>
      </w:r>
      <w:r>
        <w:tab/>
        <w:t>50(2)</w:t>
      </w:r>
    </w:p>
    <w:p>
      <w:pPr>
        <w:pStyle w:val="DefinedTerms"/>
      </w:pPr>
      <w:r>
        <w:t>coroner</w:t>
      </w:r>
      <w:r>
        <w:tab/>
        <w:t>3</w:t>
      </w:r>
    </w:p>
    <w:p>
      <w:pPr>
        <w:pStyle w:val="DefinedTerms"/>
      </w:pPr>
      <w:r>
        <w:t>coroner’s investigator</w:t>
      </w:r>
      <w:r>
        <w:tab/>
        <w:t>3</w:t>
      </w:r>
    </w:p>
    <w:p>
      <w:pPr>
        <w:pStyle w:val="DefinedTerms"/>
      </w:pPr>
      <w:r>
        <w:t>coroner’s registrar</w:t>
      </w:r>
      <w:r>
        <w:tab/>
        <w:t>3</w:t>
      </w:r>
    </w:p>
    <w:p>
      <w:pPr>
        <w:pStyle w:val="DefinedTerms"/>
      </w:pPr>
      <w:r>
        <w:t>court</w:t>
      </w:r>
      <w:r>
        <w:tab/>
        <w:t>3</w:t>
      </w:r>
    </w:p>
    <w:p>
      <w:pPr>
        <w:pStyle w:val="DefinedTerms"/>
      </w:pPr>
      <w:r>
        <w:t>death</w:t>
      </w:r>
      <w:r>
        <w:tab/>
        <w:t>3</w:t>
      </w:r>
    </w:p>
    <w:p>
      <w:pPr>
        <w:pStyle w:val="DefinedTerms"/>
      </w:pPr>
      <w:r>
        <w:t>Deputy State Coroner</w:t>
      </w:r>
      <w:r>
        <w:tab/>
        <w:t>3</w:t>
      </w:r>
    </w:p>
    <w:p>
      <w:pPr>
        <w:pStyle w:val="DefinedTerms"/>
      </w:pPr>
      <w:r>
        <w:t>Director of Public Prosecutions</w:t>
      </w:r>
      <w:r>
        <w:tab/>
        <w:t>3</w:t>
      </w:r>
    </w:p>
    <w:p>
      <w:pPr>
        <w:pStyle w:val="DefinedTerms"/>
      </w:pPr>
      <w:r>
        <w:t>doctor</w:t>
      </w:r>
      <w:r>
        <w:tab/>
        <w:t>3</w:t>
      </w:r>
    </w:p>
    <w:p>
      <w:pPr>
        <w:pStyle w:val="DefinedTerms"/>
      </w:pPr>
      <w:r>
        <w:t>guidelines</w:t>
      </w:r>
      <w:r>
        <w:tab/>
        <w:t>3</w:t>
      </w:r>
    </w:p>
    <w:p>
      <w:pPr>
        <w:pStyle w:val="DefinedTerms"/>
      </w:pPr>
      <w:r>
        <w:t>human tissue donation agency</w:t>
      </w:r>
      <w:r>
        <w:tab/>
        <w:t>53A(3)</w:t>
      </w:r>
    </w:p>
    <w:p>
      <w:pPr>
        <w:pStyle w:val="DefinedTerms"/>
      </w:pPr>
      <w:r>
        <w:t>inquest</w:t>
      </w:r>
      <w:r>
        <w:tab/>
        <w:t>3</w:t>
      </w:r>
    </w:p>
    <w:p>
      <w:pPr>
        <w:pStyle w:val="DefinedTerms"/>
      </w:pPr>
      <w:r>
        <w:t>investigation</w:t>
      </w:r>
      <w:r>
        <w:tab/>
        <w:t>3</w:t>
      </w:r>
    </w:p>
    <w:p>
      <w:pPr>
        <w:pStyle w:val="DefinedTerms"/>
      </w:pPr>
      <w:r>
        <w:t>pathologist</w:t>
      </w:r>
      <w:r>
        <w:tab/>
        <w:t>3</w:t>
      </w:r>
    </w:p>
    <w:p>
      <w:pPr>
        <w:pStyle w:val="DefinedTerms"/>
      </w:pPr>
      <w:r>
        <w:t>person held in care</w:t>
      </w:r>
      <w:r>
        <w:tab/>
        <w:t>3</w:t>
      </w:r>
    </w:p>
    <w:p>
      <w:pPr>
        <w:pStyle w:val="DefinedTerms"/>
      </w:pPr>
      <w:r>
        <w:t>post mortem examination</w:t>
      </w:r>
      <w:r>
        <w:tab/>
        <w:t>3</w:t>
      </w:r>
    </w:p>
    <w:p>
      <w:pPr>
        <w:pStyle w:val="DefinedTerms"/>
      </w:pPr>
      <w:r>
        <w:t>prescribed</w:t>
      </w:r>
      <w:r>
        <w:tab/>
        <w:t>3</w:t>
      </w:r>
    </w:p>
    <w:p>
      <w:pPr>
        <w:pStyle w:val="DefinedTerms"/>
      </w:pPr>
      <w:r>
        <w:t>reportable death</w:t>
      </w:r>
      <w:r>
        <w:tab/>
        <w:t>3</w:t>
      </w:r>
    </w:p>
    <w:p>
      <w:pPr>
        <w:pStyle w:val="DefinedTerms"/>
      </w:pPr>
      <w:r>
        <w:t>senior next of kin</w:t>
      </w:r>
      <w:r>
        <w:tab/>
        <w:t>3, 37(5), 59(2)</w:t>
      </w:r>
    </w:p>
    <w:p>
      <w:pPr>
        <w:pStyle w:val="DefinedTerms"/>
      </w:pPr>
      <w:r>
        <w:t>State Coroner</w:t>
      </w:r>
      <w:r>
        <w:tab/>
        <w:t>3</w:t>
      </w:r>
    </w:p>
    <w:p>
      <w:pPr>
        <w:pStyle w:val="DefinedTerms"/>
      </w:pPr>
      <w:r>
        <w:t>tissue</w:t>
      </w:r>
      <w:r>
        <w:tab/>
        <w:t>3</w:t>
      </w:r>
    </w:p>
    <w:p>
      <w:pPr>
        <w:pStyle w:val="DefinedTerms"/>
      </w:pPr>
      <w:r>
        <w:t>Western Australian death</w:t>
      </w:r>
      <w:r>
        <w:tab/>
        <w:t>3</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03-q0-02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03-q0-02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03-q0-02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xlviii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03-q0-02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xlix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03-q0-02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03-q0-02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8" w:name="Compilation"/>
    <w:bookmarkEnd w:id="8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90" w:name="DefinedTerms"/>
    <w:bookmarkEnd w:id="9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1" w:name="Coversheet"/>
    <w:bookmarkEnd w:id="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AD1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3242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1C20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E04E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928E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8837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00AD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B0C1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A0E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4AD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27064B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093301"/>
    <w:docVar w:name="WAFER_20140121161525" w:val="RemoveTocBookmarks,RemoveUnusedBookmarks,RemoveLanguageTags,UsedStyles,ResetPageSize,UpdateArrangement"/>
    <w:docVar w:name="WAFER_20140121161525_GUID" w:val="aa28f3b0-c478-442c-bf77-1924936a2d58"/>
    <w:docVar w:name="WAFER_20140121163848" w:val="RemoveTocBookmarks,RunningHeaders"/>
    <w:docVar w:name="WAFER_20140121163848_GUID" w:val="1f6ba27a-9493-4ce5-afd0-b86889ff75c2"/>
    <w:docVar w:name="WAFER_20141006095113" w:val="RemoveTocBookmarks,RemoveUnusedBookmarks,RemoveLanguageTags,UsedStyles,RemoveTrackChanges"/>
    <w:docVar w:name="WAFER_20141006095113_GUID" w:val="7d874db2-1392-4249-b64c-0cef28dfc455"/>
    <w:docVar w:name="WAFER_20141006095125" w:val="RemoveTocBookmarks,RemoveLanguageTags,RemoveTrackChanges,RunningHeaders"/>
    <w:docVar w:name="WAFER_20141006095125_GUID" w:val="7a3b5139-4be7-4371-88a3-1678995f44c3"/>
    <w:docVar w:name="WAFER_20150303103348" w:val="ResetPageSize,UpdateArrangement,UpdateNTable"/>
    <w:docVar w:name="WAFER_20150303103348_GUID" w:val="b6b0e6a3-65e0-4fa9-b709-5e634b4a6afa"/>
    <w:docVar w:name="WAFER_20151102162118" w:val="UpdateStyles,UsedStyles"/>
    <w:docVar w:name="WAFER_20151102162118_GUID" w:val="03acaa7b-f01e-4030-9d1a-8d7d5b13294d"/>
    <w:docVar w:name="WAFER_20180926115730" w:val="RemoveTocBookmarks,RemoveUnusedBookmarks,RemoveLanguageTags,UsedStyles,ResetPageSize"/>
    <w:docVar w:name="WAFER_20180926115730_GUID" w:val="5a31e86f-be5a-4da7-8839-0f3f2dcde173"/>
    <w:docVar w:name="WAFER_20191220110519" w:val="RemoveTocBookmarks,RemoveUnusedBookmarks,RemoveLanguageTags,ResetPageSize,RunningHeaders,UpdateStyles,UsedStyles"/>
    <w:docVar w:name="WAFER_20191220110519_GUID" w:val="692adcf3-aea5-4f1e-a84b-da4b1ca1cfb7"/>
    <w:docVar w:name="WAFER_202002101346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RemoveIncorrectStyles.ProcessStyles,RemoveIncorrectStyles.ProcessStyles"/>
    <w:docVar w:name="WAFER_20200210134634_GUID" w:val="17310f9f-4519-4766-81f6-a678c1913a15"/>
    <w:docVar w:name="WAFER_202009111003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0319_GUID" w:val="a84920fd-7bf0-4ab8-a41a-464b16ec990d"/>
    <w:docVar w:name="WAFER_2021061711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56_GUID" w:val="9ba6c6dc-3064-4d53-935a-230d730cef10"/>
    <w:docVar w:name="WAFER_202106251445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19_GUID" w:val="e1c1a913-268c-487e-9b1d-dad7369881d8"/>
    <w:docVar w:name="WAFER_202112211017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1740_GUID" w:val="3945c4b6-5939-49c7-8f11-1ccca64277c8"/>
    <w:docVar w:name="WAFER_202204071513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1327_GUID" w:val="3e697741-4ce7-4841-bf7a-dbc6a5dfeec5"/>
    <w:docVar w:name="WAFER_202206281507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50755_GUID" w:val="cd40a30c-3ca2-485d-adb8-eb0b6919f307"/>
    <w:docVar w:name="WAFER_202304120952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095230_GUID" w:val="d95a8ecb-e511-4f39-ba96-9e8cae343416"/>
    <w:docVar w:name="WAFER_202305151028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5102839_GUID" w:val="d8933aa3-59d2-483a-a45d-2a87f33a22e0"/>
    <w:docVar w:name="WAFER_202306271058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5857_GUID" w:val="cd725667-72cb-4c06-a47d-b074899edb5c"/>
    <w:docVar w:name="WAFER_202306291523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629152350_GUID" w:val="7a0674b1-2faa-41c3-af8a-19352f9f4ba0"/>
    <w:docVar w:name="WAFER_202309211500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21150034_GUID" w:val="cda38aee-69b6-4f22-bdfa-658513194496"/>
    <w:docVar w:name="WAFER_202310191049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19104908_GUID" w:val="16f17a62-daa4-41d9-ac12-d06153a3bda2"/>
    <w:docVar w:name="WAFER_202310271350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35055_GUID" w:val="198f99ce-56b1-4303-8233-c01d11fe4364"/>
    <w:docVar w:name="WAFER_202312220933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3301_GUID" w:val="1c168507-7dd1-48ad-95d6-6533de8cc4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Subsection">
    <w:name w:val="nzSubsection"/>
    <w:basedOn w:val="zSubsection"/>
    <w:pPr>
      <w:spacing w:before="8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C53B-01BC-4606-A160-18069A39E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12481</Words>
  <Characters>57666</Characters>
  <Application>Microsoft Office Word</Application>
  <DocSecurity>0</DocSecurity>
  <Lines>1647</Lines>
  <Paragraphs>987</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69160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1996 - 03-q0-02</dc:title>
  <dc:subject/>
  <dc:creator/>
  <cp:keywords/>
  <dc:description/>
  <cp:lastModifiedBy>Master Repository Process</cp:lastModifiedBy>
  <cp:revision>4</cp:revision>
  <cp:lastPrinted>2019-12-20T06:03:00Z</cp:lastPrinted>
  <dcterms:created xsi:type="dcterms:W3CDTF">2023-12-29T06:20:00Z</dcterms:created>
  <dcterms:modified xsi:type="dcterms:W3CDTF">2023-12-29T06:20:00Z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DocumentType">
    <vt:lpwstr>Act</vt:lpwstr>
  </property>
  <property fmtid="{D5CDD505-2E9C-101B-9397-08002B2CF9AE}" pid="4" name="OwlsUID">
    <vt:i4>185</vt:i4>
  </property>
  <property fmtid="{D5CDD505-2E9C-101B-9397-08002B2CF9AE}" pid="5" name="ReprintNo">
    <vt:lpwstr>3</vt:lpwstr>
  </property>
  <property fmtid="{D5CDD505-2E9C-101B-9397-08002B2CF9AE}" pid="6" name="ReprintedAsAt">
    <vt:filetime>2014-11-06T16:00:00Z</vt:filetime>
  </property>
  <property fmtid="{D5CDD505-2E9C-101B-9397-08002B2CF9AE}" pid="7" name="AsAtDate">
    <vt:lpwstr>24 Oct 2023</vt:lpwstr>
  </property>
  <property fmtid="{D5CDD505-2E9C-101B-9397-08002B2CF9AE}" pid="8" name="Suffix">
    <vt:lpwstr>03-q0-02</vt:lpwstr>
  </property>
  <property fmtid="{D5CDD505-2E9C-101B-9397-08002B2CF9AE}" pid="9" name="Official">
    <vt:lpwstr/>
  </property>
  <property fmtid="{D5CDD505-2E9C-101B-9397-08002B2CF9AE}" pid="10" name="CommencementDate">
    <vt:lpwstr>20231024</vt:lpwstr>
  </property>
  <property fmtid="{D5CDD505-2E9C-101B-9397-08002B2CF9AE}" pid="11" name="CommencementYear">
    <vt:lpwstr>2023</vt:lpwstr>
  </property>
</Properties>
</file>